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01.11.2024 </w:t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 № 1712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sz w:val="20"/>
          <w:szCs w:val="24"/>
          <w:lang w:eastAsia="ru-RU"/>
        </w:rPr>
      </w:pP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Об утверждении муниципальной программы 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</w:r>
      <w:r>
        <w:rPr>
          <w:rFonts w:ascii="Times New Roman" w:hAnsi="Times New Roman"/>
          <w:b/>
          <w:bCs/>
          <w:sz w:val="20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sz w:val="20"/>
          <w:szCs w:val="24"/>
          <w:lang w:eastAsia="ru-RU"/>
        </w:rPr>
      </w:pP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«Обеспечение общественного порядка и безопасности населения» на 202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5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-202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7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  <w:t xml:space="preserve"> годы</w:t>
      </w:r>
      <w:r>
        <w:rPr>
          <w:rFonts w:ascii="Times New Roman" w:hAnsi="Times New Roman"/>
          <w:b/>
          <w:bCs/>
          <w:sz w:val="20"/>
          <w:szCs w:val="24"/>
          <w:lang w:eastAsia="ru-RU"/>
        </w:rPr>
      </w:r>
      <w:r>
        <w:rPr>
          <w:rFonts w:ascii="Times New Roman" w:hAnsi="Times New Roman"/>
          <w:b/>
          <w:bCs/>
          <w:sz w:val="20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Руководствуясь</w:t>
      </w:r>
      <w:r>
        <w:rPr>
          <w:rFonts w:ascii="Times New Roman" w:hAnsi="Times New Roman"/>
          <w:sz w:val="24"/>
          <w:szCs w:val="24"/>
        </w:rPr>
        <w:t xml:space="preserve"> Федеральным законом от 06.10.2003 № 131-ФЗ «Об общих принципах организации местного самоупр</w:t>
      </w:r>
      <w:r>
        <w:rPr>
          <w:rFonts w:ascii="Times New Roman" w:hAnsi="Times New Roman"/>
          <w:sz w:val="24"/>
          <w:szCs w:val="24"/>
        </w:rPr>
        <w:t xml:space="preserve">авления в Российской Федерации»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от 16.08.2021 № 838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в целях повышения безопасности жизнедеятельности населения</w:t>
      </w:r>
      <w:r>
        <w:rPr>
          <w:rFonts w:ascii="Times New Roman" w:hAnsi="Times New Roman"/>
          <w:sz w:val="24"/>
          <w:szCs w:val="24"/>
        </w:rPr>
        <w:t xml:space="preserve"> на территории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Утвердить муниципальную программу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«Обеспечение общественного порядка и безопасности населения» на 202</w:t>
      </w:r>
      <w:r>
        <w:rPr>
          <w:rFonts w:ascii="Times New Roman" w:hAnsi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NewRomanPSMT"/>
          <w:sz w:val="24"/>
          <w:szCs w:val="24"/>
        </w:rPr>
        <w:t xml:space="preserve">(далее - </w:t>
      </w:r>
      <w:r>
        <w:rPr>
          <w:rFonts w:ascii="Times New Roman" w:hAnsi="Times New Roman" w:eastAsia="TimesNewRomanPSMT"/>
          <w:sz w:val="24"/>
          <w:szCs w:val="24"/>
        </w:rPr>
        <w:t xml:space="preserve">п</w:t>
      </w:r>
      <w:r>
        <w:rPr>
          <w:rFonts w:ascii="Times New Roman" w:hAnsi="Times New Roman" w:eastAsia="TimesNewRomanPSMT"/>
          <w:sz w:val="24"/>
          <w:szCs w:val="24"/>
        </w:rPr>
        <w:t xml:space="preserve">рограмма) </w:t>
      </w:r>
      <w:r>
        <w:rPr>
          <w:rFonts w:ascii="Times New Roman" w:hAnsi="Times New Roman"/>
          <w:sz w:val="24"/>
          <w:szCs w:val="24"/>
          <w:lang w:eastAsia="ru-RU"/>
        </w:rPr>
        <w:t xml:space="preserve">согласно приложению.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/>
          <w:sz w:val="24"/>
          <w:szCs w:val="24"/>
          <w:lang w:eastAsia="ru-RU"/>
        </w:rPr>
        <w:t xml:space="preserve">. Настоящее постановление вступает в силу с 01 января 202</w:t>
      </w:r>
      <w:r>
        <w:rPr>
          <w:rFonts w:ascii="Times New Roman" w:hAnsi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 Настоящее постановление опубликовать в официальном издании газета «Печенга» и разместить на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Пономарева А.В.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                                                       А.В. Кузнецов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Соболев А.В.,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50007</w:t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01.11.2024</w:t>
      </w:r>
      <w:r>
        <w:rPr>
          <w:rFonts w:ascii="Times New Roman" w:hAnsi="Times New Roman"/>
          <w:sz w:val="24"/>
          <w:szCs w:val="24"/>
          <w:lang w:eastAsia="ru-RU"/>
        </w:rPr>
        <w:t xml:space="preserve"> № 1712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</w:t>
      </w:r>
      <w:r>
        <w:rPr>
          <w:rFonts w:ascii="Times New Roman" w:hAnsi="Times New Roman"/>
          <w:b/>
          <w:sz w:val="24"/>
          <w:szCs w:val="24"/>
        </w:rPr>
        <w:t xml:space="preserve">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rFonts w:ascii="Times New Roman" w:hAnsi="Times New Roman"/>
          <w:b/>
          <w:sz w:val="24"/>
          <w:szCs w:val="24"/>
        </w:rPr>
        <w:t xml:space="preserve"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4"/>
          <w:szCs w:val="24"/>
        </w:rPr>
        <w:t xml:space="preserve">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-202</w:t>
      </w: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«Обеспечение общественного порядка и безопасност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населения»</w:t>
      </w:r>
      <w:r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442" w:type="dxa"/>
        <w:jc w:val="center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272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0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безопасности жизнедеятельности населения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округа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72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widowControl w:val="off"/>
              <w:tabs>
                <w:tab w:val="left" w:pos="25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и снижение дорожно-транспортного травматизма.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2"/>
              <w:numPr>
                <w:ilvl w:val="0"/>
                <w:numId w:val="1"/>
              </w:numPr>
              <w:ind w:hanging="720"/>
              <w:jc w:val="both"/>
              <w:spacing w:after="0" w:line="240" w:lineRule="auto"/>
              <w:widowControl w:val="off"/>
              <w:tabs>
                <w:tab w:val="left" w:pos="25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общественной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8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защиты населения и территорий от чрезвычайных ситуаций.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908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противоэкстремистской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заседаний МВК по обеспечению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Анализ аварийности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Количество комиссионных проверок улично-дорожной сети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Исполнение решений суда по организации работ по устранению нарушений требований законодательства по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Профилактика детского дорожно-транспортного травматизма.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Освещение в СМИ проводимых мероприятий по совершенствованию системы обеспечения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светоотражающими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фликерами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начальных классов.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Пропаганда безопасности дорожного движения среди учащихся образовательных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организаций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Формирование у детей навыков безопасного участия в дорожном движении.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Наличие стендов, наглядных пособий по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проведенных заседаний МВК по профилактике правонарушений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муниципальном округе.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Информирование населения о состоянии преступности на территории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Анализ эффективности работы по профилактике правонарушений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муниципальном округе.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несовершеннолетних, привлеченных к административной ответственности за совершение правонарушений.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преступлений и правонарушений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совершенных несовершеннолетними.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повторно совершенных преступлений.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Организация и проведение мониторинга миграционной составляющей на рынке труда.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Обеспечение деятельности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комиссии по делам несовершеннолетних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19. Приобретение печатной продукции профилактической направленности.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0. Оказание содействия в получении юридической, социальной и психологической помощи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Оказание содействия в восстановлении и формировании социально-полезных связей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2. 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Доля обученного населения действиям при ГО и ЧС.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Количество проведенных конкурсов детского рисунка в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образовательных организациях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по правилам безопасности поведения на водных объектах.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Предупреждение гибели людей и повреждения имущества.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Недопущение распространения огня (при лесном пожаре) на жилые постройки.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Наличие противопожарного спасательного оборудования,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резервного запаса питьевой воды,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для оснащения волонтеров при тушении лестных пожаров.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Количество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приобретенных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и установленных сетевых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-камер.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Поддержание в рабочем состоянии системы МАСО.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. 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проведенных заседаний антитеррористической комиссии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размещенной информации по профилактике терроризма и экстремизма в СМИ, на сайте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публикаций о порядке действий при угрозе возникновения террористических актов посредством размещения информации в СМИ, 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сайте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проверок объектов массового пребывания граждан на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соответствие установленным нормам антитеррористической защищенности.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Информирование жителей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 о порядке действий при угрозе возникновения те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ррористических актов, посредство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 размещения информации в СМИ, на сайте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Повышение уровня компетентности обучающихся образовательных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организаций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 вопросах профилактики терроризма, экстремизма, межнациональных и межконфессиональных конфликтов.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Обеспечение проведения адресной и индивидуальной работы с лицами, прибывающими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Усиление антитеррористической защищенности объектов, находящихся в ведении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«Повышение безопасности дорожного движения и снижение дорожно-транспортного травматизма».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2 «Профилактика правонарушений».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«Обеспечение защиты населения и территорий от чрезвычайных ситуаций».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4 «Противодействие терроризму и профилактика экстремизма».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72 819,0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9569,4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63249,6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24450,1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4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ind w:hanging="31"/>
              <w:jc w:val="both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ф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ормирование среди населения, в том числе несовершеннолетних граждан, безопасного поведения на дорогах;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ind w:hanging="31"/>
              <w:jc w:val="both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-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окращение количества несовершеннолетних, привлеченных к административной ответственности за совершение правонарушений;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отсутствие предпосылок возникновения чрезвычайных ситуаций техногенного характера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доли обученного руководящего состава гражданской обороны и РСЧС;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количества объектов гражданской обороны, находящихся в муниципальной собственности, готовых к применению;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сокращение времени реагирования органов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звена Мурманской территориальной подсистемы государственной системы предупреждения и ликвидации чрезвычайных ситуаций при возникновении (угрозе) чрезвычайной ситуации;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доли объектов массового пребывания граждан, соответствующих установленным нормам антитеррористической защищенности;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работы по профилактике правонарушений и преступлений среди осужденных без изоляции от общества.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гражданской обороны, чрезвычайных ситуаций и пожарной безопасности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- Отдел ГО, ЧС и ПБ)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культуры,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спорта и молодежной политики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строительства и ЖКХ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ОС и ЖКХ)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омиссия по делам несовершеннолетних и защите их прав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Комиссия ПДН и ЗП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соответствующие структурные подразделения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 образования), Комитет по управлению имуществом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КУИ), муниципальное казенное учреждение «Единая дежурно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диспетчерская служба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МКУ «ЕДДС»),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«Управление по обеспечению деятельности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(о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округа»)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(далее - ОРН),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образовательные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организации, подведомственные отделу образования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округа (далее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образовательные организации), муниципальное бюджетное учреждение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Ремонтно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–эксплуатационная служба» (далее - МБУ «РЭС»), муниципальное бюджетное учреждение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Никельская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дорожная служба» (далее - МБУ «НДС»), муниципальное казенное учреждение «Управление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благоустройства и развития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округа Мурманской области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(далее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МКУ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»), муниципальное автономное учреждение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нформационный центр»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округа Мурманской области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(далее - МАУ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нформцентр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7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Межведомственная комиссия по обеспечению безопасности дорожного движения (далее - МВК); ОМВД России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»; отделение ГИБДД ОМВД России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»;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кадровый центр ГОБУ ЦЗН Мурманской области (далее –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кадровый центр);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Филиал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Печенгскому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району ФКУ УИИ УФСИН России по Мурманской области (далее - ФКУ УИИ УФСИН)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08"/>
        <w:ind w:left="0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8"/>
        <w:numPr>
          <w:ilvl w:val="0"/>
          <w:numId w:val="36"/>
        </w:numPr>
        <w:ind w:left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Характеристика </w:t>
      </w:r>
      <w:r>
        <w:rPr>
          <w:rFonts w:ascii="Times New Roman" w:hAnsi="Times New Roman"/>
          <w:b/>
          <w:sz w:val="24"/>
          <w:szCs w:val="24"/>
        </w:rPr>
        <w:t xml:space="preserve">проблемы, </w:t>
      </w:r>
      <w:r>
        <w:rPr>
          <w:rFonts w:ascii="Times New Roman" w:hAnsi="Times New Roman"/>
          <w:b/>
          <w:sz w:val="24"/>
          <w:szCs w:val="24"/>
        </w:rPr>
        <w:t xml:space="preserve">на решение которой направлена</w:t>
      </w:r>
      <w:r>
        <w:rPr>
          <w:rFonts w:ascii="Times New Roman" w:hAnsi="Times New Roman"/>
          <w:b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sz w:val="24"/>
          <w:szCs w:val="24"/>
        </w:rPr>
        <w:t xml:space="preserve">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8"/>
        <w:ind w:left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</w:t>
      </w:r>
      <w:r>
        <w:rPr>
          <w:rFonts w:ascii="Times New Roman" w:hAnsi="Times New Roman"/>
          <w:sz w:val="24"/>
          <w:szCs w:val="24"/>
        </w:rPr>
        <w:t xml:space="preserve">еменный период развития общества характеризуется все более нарастающими противоречиями между человеком и окружающей его природной средой. При этом сохраняется опасность возникновения чрезвычайных ситуаций природного и техногенного характера.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 xml:space="preserve">расположено 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потенциально опасных объектов, от безопасной эксплуатации которых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ависит жизнедеятельность населения округа. Опасность возникновения чрезвычайных ситуаций в сложившихся социально-экономических условиях повышается, так как сохраняется тенденция ухудшения материально-технического обеспечения производства, снижения качества</w:t>
      </w:r>
      <w:r>
        <w:rPr>
          <w:rFonts w:ascii="Times New Roman" w:hAnsi="Times New Roman"/>
          <w:sz w:val="24"/>
          <w:szCs w:val="24"/>
        </w:rPr>
        <w:t xml:space="preserve"> профилактических и регламентных работ, увеличивается износ технологического оборудования. Обеспечение необходимого уровня пожарной безопасности и минимизация потерь вследствие пожаров является важным фактором устойчивого социально-экономического развития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2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Анализ мер по защите населения и территории от чрезвычайных ситуаций, осуществляемой органами местного самоуправления в рамках своих полномочий, в целом свидетельствует о недостаточной готовности сил и сре</w:t>
      </w:r>
      <w:r>
        <w:rPr>
          <w:rFonts w:ascii="Times New Roman" w:hAnsi="Times New Roman"/>
          <w:sz w:val="24"/>
          <w:szCs w:val="24"/>
          <w:lang w:eastAsia="ru-RU"/>
        </w:rPr>
        <w:t xml:space="preserve">дств дл</w:t>
      </w:r>
      <w:r>
        <w:rPr>
          <w:rFonts w:ascii="Times New Roman" w:hAnsi="Times New Roman"/>
          <w:sz w:val="24"/>
          <w:szCs w:val="24"/>
          <w:lang w:eastAsia="ru-RU"/>
        </w:rPr>
        <w:t xml:space="preserve">я ликвидации чрезвычайных ситуаций. Недостаточное техническое обеспечение служб экстренного реагирования не позволяет обеспечить устойчивое снижение показателей риска </w:t>
      </w:r>
      <w:r>
        <w:rPr>
          <w:rFonts w:ascii="Times New Roman" w:hAnsi="Times New Roman"/>
          <w:sz w:val="24"/>
          <w:szCs w:val="24"/>
          <w:lang w:eastAsia="ru-RU"/>
        </w:rPr>
        <w:t xml:space="preserve">чрезвычайных ситуаций</w:t>
      </w:r>
      <w:r>
        <w:rPr>
          <w:rFonts w:ascii="Times New Roman" w:hAnsi="Times New Roman"/>
          <w:sz w:val="24"/>
          <w:szCs w:val="24"/>
          <w:lang w:eastAsia="ru-RU"/>
        </w:rPr>
        <w:t xml:space="preserve"> для населения, территории и конкретных объектов.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общая протяженность </w:t>
      </w:r>
      <w:r>
        <w:rPr>
          <w:rFonts w:ascii="Times New Roman" w:hAnsi="Times New Roman"/>
          <w:sz w:val="24"/>
          <w:szCs w:val="24"/>
        </w:rPr>
        <w:t xml:space="preserve">автомобильных дорог общего пользования </w:t>
      </w:r>
      <w:r>
        <w:rPr>
          <w:rFonts w:ascii="Times New Roman" w:hAnsi="Times New Roman"/>
          <w:sz w:val="24"/>
          <w:szCs w:val="24"/>
          <w:lang w:eastAsia="ar-SA"/>
        </w:rPr>
        <w:t xml:space="preserve">составляет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332,5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км</w:t>
      </w:r>
      <w:r>
        <w:rPr>
          <w:rFonts w:ascii="Times New Roman" w:hAnsi="Times New Roman"/>
          <w:sz w:val="24"/>
          <w:szCs w:val="24"/>
        </w:rPr>
        <w:t xml:space="preserve">, в том числе дорог общего пользования местного значения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7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363</w:t>
      </w:r>
      <w:r>
        <w:rPr>
          <w:rFonts w:ascii="Times New Roman" w:hAnsi="Times New Roman"/>
          <w:sz w:val="24"/>
          <w:szCs w:val="24"/>
        </w:rPr>
        <w:t xml:space="preserve"> км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Анализируя причины, влияющие на возникновение дорожно</w:t>
      </w:r>
      <w:r>
        <w:rPr>
          <w:rFonts w:ascii="Times New Roman" w:hAnsi="Times New Roman"/>
          <w:sz w:val="24"/>
          <w:szCs w:val="24"/>
        </w:rPr>
        <w:t xml:space="preserve">-т</w:t>
      </w:r>
      <w:r>
        <w:rPr>
          <w:rFonts w:ascii="Times New Roman" w:hAnsi="Times New Roman"/>
          <w:sz w:val="24"/>
          <w:szCs w:val="24"/>
        </w:rPr>
        <w:t xml:space="preserve">ранспортных происшествий, и расставляя их по степени</w:t>
      </w:r>
      <w:r>
        <w:rPr>
          <w:rFonts w:ascii="Times New Roman" w:hAnsi="Times New Roman"/>
          <w:sz w:val="24"/>
          <w:szCs w:val="24"/>
        </w:rPr>
        <w:t xml:space="preserve"> значимости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отмечаются следующие причины: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низкая дисциплина водителей и пешеходов;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плохое состояние дорог и улиц;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плохая организация движения;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недостаточный уровень подготовки водителей;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неудовлетворительное техническое состояние транспортных средств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постоянно возрастающая мобильность населения;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перевозок общественным транспортом и увеличение перевозок личным транспортом;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в</w:t>
      </w:r>
      <w:r>
        <w:rPr>
          <w:rFonts w:ascii="Times New Roman" w:hAnsi="Times New Roman"/>
          <w:sz w:val="24"/>
          <w:szCs w:val="24"/>
        </w:rPr>
        <w:t xml:space="preserve">ажной задачей органов местного самоуправления является выработка мер по противодействию терроризму. В первую очередь должна быть обеспечена безопасность детских, дошкольных, учебных, спортивно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оздоровительных учреждений, а также безопасность в местах проведения культурно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развлекательных, спортивно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массовых и других мероприятий с массовым пребыванием граждан.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Целью настоящей программы является п</w:t>
      </w:r>
      <w:r>
        <w:rPr>
          <w:rFonts w:ascii="Times New Roman" w:hAnsi="Times New Roman"/>
          <w:sz w:val="24"/>
          <w:szCs w:val="24"/>
        </w:rPr>
        <w:t xml:space="preserve">овышение безопасности жизнедеятельности населения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цели программы будет осуществляться путем решения следующих задач в рамках соответствующих подпрограмм: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</w:t>
      </w:r>
      <w:r>
        <w:rPr>
          <w:rFonts w:ascii="Times New Roman" w:hAnsi="Times New Roman"/>
          <w:sz w:val="24"/>
          <w:szCs w:val="24"/>
          <w:lang w:eastAsia="ru-RU"/>
        </w:rPr>
        <w:t xml:space="preserve">овышение безопасности дорожного движения и снижение дорожно-транспортного травматизма;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повышение общественной безопасности населения;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</w:t>
      </w:r>
      <w:r>
        <w:rPr>
          <w:rFonts w:ascii="Times New Roman" w:hAnsi="Times New Roman"/>
          <w:sz w:val="24"/>
          <w:szCs w:val="24"/>
        </w:rPr>
        <w:t xml:space="preserve">беспечение защиты населения и территорий от чрезвычайных ситуаций;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системы профилактических мер антитеррористической, </w:t>
      </w:r>
      <w:r>
        <w:rPr>
          <w:rFonts w:ascii="Times New Roman" w:hAnsi="Times New Roman"/>
          <w:sz w:val="24"/>
          <w:szCs w:val="24"/>
        </w:rPr>
        <w:t xml:space="preserve">противоэкстремистской</w:t>
      </w:r>
      <w:r>
        <w:rPr>
          <w:rFonts w:ascii="Times New Roman" w:hAnsi="Times New Roman"/>
          <w:sz w:val="24"/>
          <w:szCs w:val="24"/>
        </w:rPr>
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результате реализации мероприятий программы и решения вышеуказанных задач должно быть обеспечено достижение следующих результатов: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pacing w:val="-4"/>
          <w:sz w:val="24"/>
          <w:szCs w:val="24"/>
        </w:rPr>
        <w:t xml:space="preserve">ормирование среди населения, в том числе несовершеннолетних граждан</w:t>
      </w:r>
      <w:r>
        <w:rPr>
          <w:rFonts w:ascii="Times New Roman" w:hAnsi="Times New Roman"/>
          <w:spacing w:val="-4"/>
          <w:sz w:val="24"/>
          <w:szCs w:val="24"/>
        </w:rPr>
        <w:t xml:space="preserve">,</w:t>
      </w:r>
      <w:r>
        <w:rPr>
          <w:rFonts w:ascii="Times New Roman" w:hAnsi="Times New Roman"/>
          <w:spacing w:val="-4"/>
          <w:sz w:val="24"/>
          <w:szCs w:val="24"/>
        </w:rPr>
        <w:t xml:space="preserve"> безопасного поведения на дорогах;</w:t>
      </w:r>
      <w:r>
        <w:rPr>
          <w:rFonts w:ascii="Times New Roman" w:hAnsi="Times New Roman"/>
          <w:spacing w:val="-4"/>
          <w:sz w:val="24"/>
          <w:szCs w:val="24"/>
        </w:rPr>
      </w:r>
      <w:r>
        <w:rPr>
          <w:rFonts w:ascii="Times New Roman" w:hAnsi="Times New Roman"/>
          <w:spacing w:val="-4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- </w:t>
      </w:r>
      <w:r>
        <w:rPr>
          <w:rFonts w:ascii="Times New Roman" w:hAnsi="Times New Roman"/>
          <w:spacing w:val="-4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окращение количества несовершеннолетних, привлеченных к административной ответственности за совершение правонарушений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отсутствие предпосылок возникновения чрезвычайных ситуаций техногенного характера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увеличение доли обученного руководящего состава гражданской обороны и РСЧС;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увеличение количества объектов гражданской обороны, находящихся в муниципальной собственности, готовых к применению;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сокращение времени реагирования органов управления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звена Мурманской территориальной подсистемы государственной системы предупреждения и ликвидации чрезвычайных ситуаций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при возникновении (угрозе) чрезвычайной ситуации;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увеличение доли объектов массового пребывания граждан, соответствующих установленным нормам ан</w:t>
      </w:r>
      <w:r>
        <w:rPr>
          <w:rFonts w:ascii="Times New Roman" w:hAnsi="Times New Roman"/>
          <w:sz w:val="24"/>
          <w:szCs w:val="24"/>
        </w:rPr>
        <w:t xml:space="preserve">титеррористической защищенности;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повышение качества работы по профилактике правонарушений и преступлений среди осужденных без изоляции от общества.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8"/>
        <w:numPr>
          <w:ilvl w:val="0"/>
          <w:numId w:val="36"/>
        </w:num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данной программы является повышение безопасности жизнедеятельности населения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outlineLvl w:val="1"/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outlineLvl w:val="1"/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tbl>
      <w:tblPr>
        <w:tblStyle w:val="924"/>
        <w:tblW w:w="9606" w:type="dxa"/>
        <w:tblLayout w:type="fixed"/>
        <w:tblLook w:val="04A0" w:firstRow="1" w:lastRow="0" w:firstColumn="1" w:lastColumn="0" w:noHBand="0" w:noVBand="1"/>
      </w:tblPr>
      <w:tblGrid>
        <w:gridCol w:w="766"/>
        <w:gridCol w:w="2495"/>
        <w:gridCol w:w="809"/>
        <w:gridCol w:w="781"/>
        <w:gridCol w:w="850"/>
        <w:gridCol w:w="806"/>
        <w:gridCol w:w="807"/>
        <w:gridCol w:w="732"/>
        <w:gridCol w:w="75"/>
        <w:gridCol w:w="1485"/>
      </w:tblGrid>
      <w:tr>
        <w:tblPrEx/>
        <w:trPr/>
        <w:tc>
          <w:tcPr>
            <w:tcW w:w="76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№№ </w:t>
            </w:r>
            <w:r>
              <w:rPr>
                <w:sz w:val="20"/>
                <w:szCs w:val="20"/>
                <w:lang w:eastAsia="ru-RU"/>
              </w:rPr>
              <w:t xml:space="preserve">п</w:t>
            </w:r>
            <w:r>
              <w:rPr>
                <w:sz w:val="20"/>
                <w:szCs w:val="20"/>
                <w:lang w:eastAsia="ru-RU"/>
              </w:rPr>
              <w:t xml:space="preserve">/п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Цели, мероприятия, показатели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Ед.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изм.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6"/>
            <w:tcW w:w="40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Значение показателя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Источник данных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Оценка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W w:w="24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Годы реализации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202</w:t>
            </w: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202</w:t>
            </w: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202</w:t>
            </w: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202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202</w:t>
            </w:r>
            <w:r>
              <w:rPr>
                <w:sz w:val="20"/>
                <w:szCs w:val="20"/>
                <w:lang w:eastAsia="ru-RU"/>
              </w:rPr>
              <w:t xml:space="preserve">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lang w:eastAsia="ru-RU"/>
              </w:rPr>
              <w:outlineLvl w:val="1"/>
            </w:pPr>
            <w:r>
              <w:rPr>
                <w:b/>
                <w:lang w:eastAsia="ru-RU"/>
              </w:rPr>
              <w:t xml:space="preserve">1.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lang w:eastAsia="ru-RU"/>
              </w:rPr>
              <w:outlineLvl w:val="1"/>
            </w:pPr>
            <w:r>
              <w:rPr>
                <w:b/>
                <w:lang w:eastAsia="ru-RU"/>
              </w:rPr>
              <w:t xml:space="preserve">Показатель цели программы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1.1.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Повышение безопасности жизнедеятельности населения на территории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lang w:eastAsia="ru-RU"/>
              </w:rPr>
              <w:outlineLvl w:val="1"/>
            </w:pPr>
            <w:r>
              <w:rPr>
                <w:b/>
                <w:lang w:eastAsia="ru-RU"/>
              </w:rPr>
              <w:t xml:space="preserve">2.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lang w:eastAsia="ru-RU"/>
              </w:rPr>
              <w:outlineLvl w:val="1"/>
            </w:pPr>
            <w:r>
              <w:rPr>
                <w:b/>
                <w:lang w:eastAsia="ru-RU"/>
              </w:rPr>
              <w:t xml:space="preserve">Показатели мероприятий программы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sz w:val="20"/>
                <w:szCs w:val="20"/>
                <w:lang w:eastAsia="ru-RU"/>
              </w:rPr>
              <w:outlineLvl w:val="1"/>
            </w:pPr>
            <w:r>
              <w:rPr>
                <w:b/>
                <w:sz w:val="20"/>
                <w:szCs w:val="20"/>
                <w:lang w:eastAsia="ru-RU"/>
              </w:rPr>
              <w:t xml:space="preserve">2.1.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1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заседаний МВК по обеспечению безопасности дорожного движения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2.1.2.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Анализ аварийности на территории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</w:t>
            </w:r>
            <w:r>
              <w:rPr>
                <w:sz w:val="20"/>
                <w:szCs w:val="20"/>
                <w:lang w:eastAsia="ru-RU"/>
              </w:rPr>
              <w:t xml:space="preserve">ы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соисполнителей программы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2.1.3.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комиссионных проверок улично-дорожной сети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highlight w:val="yellow"/>
                <w:lang w:eastAsia="ru-RU"/>
              </w:rPr>
              <w:outlineLvl w:val="1"/>
            </w:pP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</w:t>
            </w:r>
            <w:r>
              <w:rPr>
                <w:sz w:val="20"/>
                <w:szCs w:val="20"/>
                <w:lang w:eastAsia="ru-RU"/>
              </w:rPr>
              <w:t xml:space="preserve">, соисполнителей 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Исполнение решений суда по организации работ по устранению нарушений требований законодательства по безопасности дорожного движения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Профилактика детского дорожно-транспортного травматизма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исполнителей, соисполнителей 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исполнителей, соисполнителей 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2.1.7.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Обеспечение </w:t>
            </w:r>
            <w:r>
              <w:rPr>
                <w:sz w:val="20"/>
                <w:szCs w:val="20"/>
                <w:lang w:eastAsia="ru-RU"/>
              </w:rPr>
              <w:t xml:space="preserve">светоотражающими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фликерами</w:t>
            </w:r>
            <w:r>
              <w:rPr>
                <w:sz w:val="20"/>
                <w:szCs w:val="20"/>
                <w:lang w:eastAsia="ru-RU"/>
              </w:rPr>
              <w:t xml:space="preserve"> обучающихся начальных классов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</w:t>
            </w:r>
            <w:r>
              <w:rPr>
                <w:sz w:val="20"/>
                <w:szCs w:val="20"/>
                <w:lang w:eastAsia="ru-RU"/>
              </w:rPr>
              <w:t xml:space="preserve">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образования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2.1.8.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учреждений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образования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2.1.9.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Формирование у детей навыков безопасного участия в дорожном движении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образования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2.1.10.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Наличие стендов, наглядных пособий по безопасности дорожного движения.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образования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sz w:val="20"/>
                <w:szCs w:val="20"/>
                <w:lang w:eastAsia="ru-RU"/>
              </w:rPr>
              <w:outlineLvl w:val="1"/>
            </w:pPr>
            <w:r>
              <w:rPr>
                <w:b/>
                <w:sz w:val="20"/>
                <w:szCs w:val="20"/>
                <w:lang w:eastAsia="ru-RU"/>
              </w:rPr>
              <w:t xml:space="preserve">2.2.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ind w:right="22"/>
              <w:jc w:val="both"/>
              <w:spacing w:before="4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2 «Профилактика правонарушений»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заседаний МВК по профилактике правонарушений в </w:t>
            </w:r>
            <w:r>
              <w:rPr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sz w:val="20"/>
                <w:szCs w:val="20"/>
                <w:lang w:eastAsia="ru-RU"/>
              </w:rPr>
              <w:t xml:space="preserve"> округе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2.2.2.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Информирование населения о состоянии преступности на территории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</w:t>
            </w:r>
            <w:r>
              <w:rPr>
                <w:sz w:val="20"/>
                <w:szCs w:val="20"/>
                <w:lang w:eastAsia="ru-RU"/>
              </w:rPr>
              <w:t xml:space="preserve">ы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соисполнителей программы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2.2.3.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Анализ эффективности работы по профилактике правонарушений в </w:t>
            </w:r>
            <w:r>
              <w:rPr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sz w:val="20"/>
                <w:szCs w:val="20"/>
                <w:lang w:eastAsia="ru-RU"/>
              </w:rPr>
              <w:t xml:space="preserve"> муниципальном округе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соисполнителей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несовершеннолетних, привлеченных к административной ответственности за совершение правонарушений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highlight w:val="yellow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51</w:t>
            </w: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highlight w:val="yellow"/>
                <w:lang w:eastAsia="ru-RU"/>
              </w:rPr>
              <w:outlineLvl w:val="1"/>
            </w:pP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19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              </w:t>
            </w: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eastAsia="ru-RU"/>
              </w:rPr>
              <w:t xml:space="preserve">омиссии  П</w:t>
            </w:r>
            <w:r>
              <w:rPr>
                <w:sz w:val="20"/>
                <w:szCs w:val="20"/>
                <w:lang w:eastAsia="ru-RU"/>
              </w:rPr>
              <w:t xml:space="preserve">ДН и ЗП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преступлений и правонарушений, совершенных несовершеннолетними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11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исполнителей, соисполнителей 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повторно совершенных преступлений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исполнителей, соисполнителей 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2.2.7.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Организация и проведение мониторинга миграционной составляющей на рынке труда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Отчеты исполнителей, соисполнителей 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2.2.8.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Обеспечение деятельности комиссии по делам несовершеннолетних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</w:t>
            </w: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eastAsia="ru-RU"/>
              </w:rPr>
              <w:t xml:space="preserve">омиссии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</w:t>
            </w:r>
            <w:r>
              <w:rPr>
                <w:sz w:val="20"/>
                <w:szCs w:val="20"/>
                <w:lang w:eastAsia="ru-RU"/>
              </w:rPr>
              <w:t xml:space="preserve">ДН и ЗП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2.2.9.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Приобретение печатной продукции профилактической направленности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289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отдела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ind w:right="29"/>
              <w:jc w:val="both"/>
              <w:spacing w:after="0" w:line="240" w:lineRule="auto"/>
              <w:widowControl w:val="off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</w:t>
            </w:r>
            <w:r>
              <w:rPr>
                <w:sz w:val="20"/>
                <w:szCs w:val="20"/>
              </w:rPr>
              <w:t xml:space="preserve">со</w:t>
            </w:r>
            <w:r>
              <w:rPr>
                <w:sz w:val="20"/>
                <w:szCs w:val="20"/>
              </w:rPr>
              <w:t xml:space="preserve">исполнителей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2.2.11.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ind w:right="29"/>
              <w:jc w:val="both"/>
              <w:spacing w:after="0" w:line="240" w:lineRule="auto"/>
              <w:widowControl w:val="off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</w:t>
            </w:r>
            <w:r>
              <w:rPr>
                <w:sz w:val="20"/>
                <w:szCs w:val="20"/>
              </w:rPr>
              <w:t xml:space="preserve">со</w:t>
            </w:r>
            <w:r>
              <w:rPr>
                <w:sz w:val="20"/>
                <w:szCs w:val="20"/>
              </w:rPr>
              <w:t xml:space="preserve">исполнителей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2.2.12.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ind w:right="29"/>
              <w:jc w:val="both"/>
              <w:spacing w:after="0" w:line="240" w:lineRule="auto"/>
              <w:widowControl w:val="off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Привлечение организаций различных организационно-</w:t>
            </w:r>
            <w:r>
              <w:rPr>
                <w:sz w:val="20"/>
                <w:szCs w:val="20"/>
              </w:rPr>
              <w:t xml:space="preserve">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3420" w:leader="none"/>
                <w:tab w:val="left" w:pos="8518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</w:t>
            </w:r>
            <w:r>
              <w:rPr>
                <w:sz w:val="20"/>
                <w:szCs w:val="20"/>
              </w:rPr>
              <w:t xml:space="preserve">со</w:t>
            </w:r>
            <w:r>
              <w:rPr>
                <w:sz w:val="20"/>
                <w:szCs w:val="20"/>
              </w:rPr>
              <w:t xml:space="preserve">исполнителей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b/>
                <w:sz w:val="20"/>
                <w:szCs w:val="20"/>
                <w:lang w:eastAsia="ru-RU"/>
              </w:rPr>
              <w:outlineLvl w:val="1"/>
            </w:pPr>
            <w:r>
              <w:rPr>
                <w:b/>
                <w:sz w:val="20"/>
                <w:szCs w:val="20"/>
                <w:lang w:eastAsia="ru-RU"/>
              </w:rPr>
              <w:t xml:space="preserve">2.3.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tcW w:w="884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3 «Обеспечение защиты населения и территорий от чрезвычайных ситуаций»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Доля обученного населения действиям при ГО и ЧС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%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85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86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2.3.2.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установленной наглядной агитации с разъяснением правил поведения граждан на водных объектах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2.3.3.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образовательных учреждениях по правилам безопасности поведения на водных объектах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образования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Предупреждение гибели людей и повреждения имущества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</w:t>
            </w:r>
            <w:r>
              <w:rPr>
                <w:sz w:val="20"/>
                <w:szCs w:val="20"/>
                <w:lang w:eastAsia="ru-RU"/>
              </w:rPr>
              <w:t xml:space="preserve">резервного запаса питьевой воды, </w:t>
            </w:r>
            <w:r>
              <w:rPr>
                <w:sz w:val="20"/>
                <w:szCs w:val="20"/>
                <w:lang w:eastAsia="ru-RU"/>
              </w:rPr>
              <w:t xml:space="preserve">СИЗ</w:t>
            </w:r>
            <w:r>
              <w:rPr>
                <w:sz w:val="20"/>
                <w:szCs w:val="20"/>
                <w:lang w:eastAsia="ru-RU"/>
              </w:rPr>
              <w:t xml:space="preserve"> для оснащения волонтеров при тушении лесных пожаров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2.3.7.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sz w:val="20"/>
                <w:szCs w:val="20"/>
                <w:lang w:eastAsia="ru-RU"/>
              </w:rPr>
              <w:t xml:space="preserve">приобретенных</w:t>
            </w:r>
            <w:r>
              <w:rPr>
                <w:sz w:val="20"/>
                <w:szCs w:val="20"/>
                <w:lang w:eastAsia="ru-RU"/>
              </w:rPr>
              <w:t xml:space="preserve"> и установленных </w:t>
            </w:r>
            <w:r>
              <w:rPr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sz w:val="20"/>
                <w:szCs w:val="20"/>
                <w:lang w:eastAsia="ru-RU"/>
              </w:rPr>
              <w:t xml:space="preserve">-камер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10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2.3.8.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Поддержка в рабочем состоянии системы МАСО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2.3.9.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и средств РСЧС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</w:t>
            </w:r>
            <w:r>
              <w:rPr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2.4.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9"/>
            <w:tcBorders>
              <w:bottom w:val="single" w:color="auto" w:sz="4" w:space="0"/>
            </w:tcBorders>
            <w:tcW w:w="884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4 «Противодействие терроризму и профилактика экстремизма»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заседаний антитеррористической комиссии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2.4.2.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2.4.3.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Информирование жителей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</w:t>
            </w:r>
            <w:r>
              <w:rPr>
                <w:sz w:val="20"/>
                <w:szCs w:val="20"/>
                <w:lang w:eastAsia="ru-RU"/>
              </w:rPr>
              <w:t xml:space="preserve">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2.4.7.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учреждений в вопросах профилактике терроризма, экстремизма, межнациональных и межконфессиональных конфликтов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2.4.8.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</w:t>
            </w:r>
            <w:r>
              <w:rPr>
                <w:sz w:val="20"/>
                <w:szCs w:val="20"/>
                <w:lang w:eastAsia="ru-RU"/>
              </w:rPr>
              <w:t xml:space="preserve">терроризму и экстремизму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о</w:t>
            </w:r>
            <w:r>
              <w:rPr>
                <w:sz w:val="20"/>
                <w:szCs w:val="20"/>
                <w:lang w:eastAsia="ru-RU"/>
              </w:rPr>
              <w:t xml:space="preserve">тдел</w:t>
            </w:r>
            <w:r>
              <w:rPr>
                <w:sz w:val="20"/>
                <w:szCs w:val="20"/>
                <w:lang w:eastAsia="ru-RU"/>
              </w:rPr>
              <w:t xml:space="preserve">а</w:t>
            </w:r>
            <w:r>
              <w:rPr>
                <w:sz w:val="20"/>
                <w:szCs w:val="20"/>
                <w:lang w:eastAsia="ru-RU"/>
              </w:rPr>
              <w:t xml:space="preserve"> ГО, ЧС и ПБ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2.4.9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Обеспечение проведения адресной и индивидуальной работы с лицами, прибывающими в </w:t>
            </w:r>
            <w:r>
              <w:rPr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sz w:val="20"/>
                <w:szCs w:val="20"/>
                <w:lang w:eastAsia="ru-RU"/>
              </w:rPr>
              <w:t xml:space="preserve">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2.4.</w:t>
            </w:r>
            <w:r>
              <w:rPr>
                <w:sz w:val="20"/>
                <w:szCs w:val="20"/>
                <w:lang w:eastAsia="ru-RU"/>
              </w:rPr>
              <w:t xml:space="preserve">10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Усиление антитеррористической защищенности объектов, находящихся в ведении </w:t>
            </w:r>
            <w:r>
              <w:rPr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Да/нет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8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567" w:leader="none"/>
              </w:tabs>
              <w:rPr>
                <w:sz w:val="20"/>
                <w:szCs w:val="20"/>
                <w:lang w:eastAsia="ru-RU"/>
              </w:rPr>
              <w:outlineLvl w:val="1"/>
            </w:pPr>
            <w:r>
              <w:rPr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6"/>
        </w:numPr>
        <w:ind w:left="0" w:firstLine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Перечень и краткое описание подпрограмм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структуру программы входят четыре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 </w:t>
      </w:r>
      <w:r>
        <w:rPr>
          <w:rFonts w:ascii="Times New Roman" w:hAnsi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/>
          <w:sz w:val="24"/>
          <w:szCs w:val="24"/>
          <w:u w:val="single"/>
        </w:rPr>
        <w:t xml:space="preserve">Повышение безопасности дорожного движения и снижение дорожно-транспортного травматизма</w:t>
      </w:r>
      <w:r>
        <w:rPr>
          <w:rFonts w:ascii="Times New Roman" w:hAnsi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1):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72"/>
        <w:numPr>
          <w:ilvl w:val="0"/>
          <w:numId w:val="14"/>
        </w:numPr>
        <w:ind w:left="0" w:right="29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2"/>
        <w:numPr>
          <w:ilvl w:val="0"/>
          <w:numId w:val="14"/>
        </w:numPr>
        <w:ind w:left="0" w:right="29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безопасного поведения участников дорожного движения и предупреждение детского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улучшению условий дорожного движения, влияющих на уровень безопасности, по профилактике безопасного поведения среди населения, в том числе среди несовершеннолетних.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задач в рамках подпрограммы позволит повысить уровень защищенности участников дорожного движения, будет способствовать формированию среди населения, в том числе несовершеннолетних граждан безопасного поведения на дорогах.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2 </w:t>
      </w:r>
      <w:r>
        <w:rPr>
          <w:rFonts w:ascii="Times New Roman" w:hAnsi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/>
          <w:sz w:val="24"/>
          <w:szCs w:val="24"/>
          <w:u w:val="single"/>
        </w:rPr>
        <w:t xml:space="preserve">Профилактика правонарушений</w:t>
      </w:r>
      <w:r>
        <w:rPr>
          <w:rFonts w:ascii="Times New Roman" w:hAnsi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2):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повышение общественной безопасности</w:t>
      </w:r>
      <w:r>
        <w:rPr>
          <w:rFonts w:ascii="Times New Roman" w:hAnsi="Times New Roman"/>
          <w:sz w:val="24"/>
          <w:szCs w:val="24"/>
        </w:rPr>
        <w:t xml:space="preserve">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72"/>
        <w:numPr>
          <w:ilvl w:val="0"/>
          <w:numId w:val="13"/>
        </w:numPr>
        <w:ind w:left="0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обеспечения правопорядка в общественных местах;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2"/>
        <w:numPr>
          <w:ilvl w:val="0"/>
          <w:numId w:val="13"/>
        </w:numPr>
        <w:ind w:left="0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профилактики правонарушений.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выявлению и устранению причин и условий, способствующих безнадзорности, правонарушениям и антиобщественным действиям </w:t>
      </w:r>
      <w:r>
        <w:rPr>
          <w:rFonts w:ascii="Times New Roman" w:hAnsi="Times New Roman"/>
          <w:sz w:val="24"/>
          <w:szCs w:val="24"/>
        </w:rPr>
        <w:t xml:space="preserve">граждан (в т.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ч. </w:t>
      </w:r>
      <w:r>
        <w:rPr>
          <w:rFonts w:ascii="Times New Roman" w:hAnsi="Times New Roman"/>
          <w:sz w:val="24"/>
          <w:szCs w:val="24"/>
        </w:rPr>
        <w:t xml:space="preserve">несовершеннолетних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вовлечению несовершеннолетних граждан в мероприятия по профилактике правонарушений.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/>
          <w:sz w:val="24"/>
          <w:szCs w:val="24"/>
          <w:u w:val="single"/>
        </w:rPr>
        <w:t xml:space="preserve">Обеспечение защиты населения и территорий от чрезвычайных ситуаций</w:t>
      </w:r>
      <w:r>
        <w:rPr>
          <w:rFonts w:ascii="Times New Roman" w:hAnsi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обеспечение защиты населения и территорий от чрезвычайных ситуаций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 xml:space="preserve">совершенствование системы подготовки населения по вопросам гражданской обороны, способам защиты и действиям в чрезвычайных ситуациях;</w:t>
      </w:r>
      <w:r>
        <w:rPr>
          <w:rFonts w:ascii="Times New Roman" w:hAnsi="Times New Roman"/>
          <w:sz w:val="24"/>
          <w:szCs w:val="24"/>
          <w:lang w:eastAsia="ru-RU"/>
        </w:rPr>
        <w:t xml:space="preserve"> обеспечение пожарной безопасности на территории муниципального образования;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972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готовности сил и сре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дств гр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ажданской обо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роны, муниципального звена РСЧС.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формированию системы </w:t>
      </w:r>
      <w:r>
        <w:rPr>
          <w:rFonts w:ascii="Times New Roman" w:hAnsi="Times New Roman"/>
          <w:sz w:val="24"/>
          <w:szCs w:val="24"/>
          <w:lang w:eastAsia="ru-RU"/>
        </w:rPr>
        <w:t xml:space="preserve">повышения квалиф</w:t>
      </w:r>
      <w:r>
        <w:rPr>
          <w:rFonts w:ascii="Times New Roman" w:hAnsi="Times New Roman"/>
          <w:sz w:val="24"/>
          <w:szCs w:val="24"/>
          <w:lang w:eastAsia="ru-RU"/>
        </w:rPr>
        <w:t xml:space="preserve">икации, подготовки и обучения руководителей и специалистов организаций в области гражданской обороны, защиты от чрезвычайных ситуаций природного и техногенного характера, обеспечения пожарной безопасности и безопасности людей на водных объектах, а также по</w:t>
      </w:r>
      <w:r>
        <w:rPr>
          <w:rFonts w:ascii="Times New Roman" w:hAnsi="Times New Roman"/>
          <w:sz w:val="24"/>
          <w:szCs w:val="24"/>
        </w:rPr>
        <w:t xml:space="preserve"> поддержанию необходимой готовности сил и средств реагирования на угрозы возникновения чрезвычайных ситуаций, по реализации функций в области гражданской обороны</w:t>
      </w:r>
      <w:r>
        <w:rPr>
          <w:rFonts w:ascii="Times New Roman" w:hAnsi="Times New Roman"/>
          <w:sz w:val="24"/>
          <w:szCs w:val="24"/>
        </w:rPr>
        <w:t xml:space="preserve">, предупреждения и ликвидации чрезвычайных ситуаций, по обеспечению информирования и оповещения населения об опасностях, по развитию системы мониторинга и прогнозирования чрезвычайных ситуаций природного и техногенного характера.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4 «Противодействие терроризму и профилактика экстремизма» (приложение 4):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совершенствование системы профилактических мер антитеррористической, </w:t>
      </w:r>
      <w:r>
        <w:rPr>
          <w:rFonts w:ascii="Times New Roman" w:hAnsi="Times New Roman"/>
          <w:sz w:val="24"/>
          <w:szCs w:val="24"/>
        </w:rPr>
        <w:t xml:space="preserve">противоэкстремистской</w:t>
      </w:r>
      <w:r>
        <w:rPr>
          <w:rFonts w:ascii="Times New Roman" w:hAnsi="Times New Roman"/>
          <w:sz w:val="24"/>
          <w:szCs w:val="24"/>
        </w:rPr>
        <w:t xml:space="preserve"> направленности, формировани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принципов соблюдения прав и свобод человека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72"/>
        <w:ind w:lef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совершенствование системы профилактики терроризма и экстремизма;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72"/>
        <w:ind w:lef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антитеррористической защищенности объектов, находящихся в собственности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51"/>
        <w:ind w:firstLine="708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</w:t>
      </w:r>
      <w:r>
        <w:rPr>
          <w:rFonts w:ascii="Times New Roman" w:hAnsi="Times New Roman"/>
          <w:sz w:val="24"/>
          <w:szCs w:val="24"/>
        </w:rPr>
        <w:t xml:space="preserve"> по</w:t>
      </w:r>
      <w:r>
        <w:rPr>
          <w:rFonts w:ascii="Times New Roman" w:hAnsi="Times New Roman" w:eastAsia="Times New Roman"/>
          <w:sz w:val="24"/>
          <w:szCs w:val="24"/>
        </w:rPr>
        <w:t xml:space="preserve"> организации взаимодействия по вопросам профилактики терроризма и экстремизма, </w:t>
      </w:r>
      <w:r>
        <w:rPr>
          <w:rFonts w:ascii="Times New Roman" w:hAnsi="Times New Roman" w:eastAsia="Times New Roman"/>
          <w:bCs/>
          <w:sz w:val="24"/>
          <w:szCs w:val="24"/>
        </w:rPr>
        <w:t xml:space="preserve">повышению эффективности мониторинга политичес</w:t>
      </w:r>
      <w:r>
        <w:rPr>
          <w:rFonts w:ascii="Times New Roman" w:hAnsi="Times New Roman" w:eastAsia="Times New Roman"/>
          <w:bCs/>
          <w:sz w:val="24"/>
          <w:szCs w:val="24"/>
        </w:rPr>
        <w:t xml:space="preserve">ких, социально-экономических и иных процессов, оказывающих влияние на ситуацию в сфере противодействия терроризму, повышению уровня антитеррористической защищенности  потенциальных объектов террористических посягательств и мест массового пребывания людей, </w:t>
      </w:r>
      <w:r>
        <w:rPr>
          <w:rFonts w:ascii="Times New Roman" w:hAnsi="Times New Roman" w:eastAsia="Times New Roman"/>
          <w:sz w:val="24"/>
          <w:szCs w:val="24"/>
        </w:rPr>
        <w:t xml:space="preserve">расширению информационно-пропагандистской, просветительской и разъяснительной работы в молодежной среде, в первую очередь среди учащихся общеобразовательных организаций.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r>
    </w:p>
    <w:p>
      <w:pPr>
        <w:pStyle w:val="908"/>
        <w:numPr>
          <w:ilvl w:val="0"/>
          <w:numId w:val="36"/>
        </w:numPr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/>
      <w:bookmarkStart w:id="0" w:name="Par507"/>
      <w:r/>
      <w:bookmarkStart w:id="1" w:name="Par2853"/>
      <w:r/>
      <w:bookmarkEnd w:id="0"/>
      <w:r/>
      <w:bookmarkEnd w:id="1"/>
      <w:r>
        <w:rPr>
          <w:rFonts w:ascii="Times New Roman" w:hAnsi="Times New Roman"/>
          <w:b/>
          <w:sz w:val="24"/>
          <w:szCs w:val="24"/>
        </w:rPr>
        <w:t xml:space="preserve">Механизм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Механизм реализации п</w:t>
      </w:r>
      <w:r>
        <w:rPr>
          <w:rFonts w:ascii="Times New Roman" w:hAnsi="Times New Roman"/>
          <w:sz w:val="24"/>
          <w:szCs w:val="24"/>
          <w:lang w:eastAsia="ru-RU"/>
        </w:rPr>
        <w:t xml:space="preserve">рограммы предполагает финансирование мероприятий в соответствии с полномочиями, определенными Федеральным </w:t>
      </w:r>
      <w:hyperlink r:id="rId11" w:tooltip="consultantplus://offline/ref=1A24FC3C11285B300782E9CB0329188EEB82E12BE48E108548ED697E4802E167A8C83577FDCC22743007781EF0z4x8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06.10.2003 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/>
          <w:sz w:val="24"/>
          <w:szCs w:val="24"/>
          <w:lang w:eastAsia="ru-RU"/>
        </w:rPr>
        <w:t xml:space="preserve"> 131-ФЗ </w:t>
      </w:r>
      <w:r>
        <w:rPr>
          <w:rFonts w:ascii="Times New Roman" w:hAnsi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lang w:eastAsia="ru-RU"/>
        </w:rPr>
        <w:t xml:space="preserve"> и нормативно-правовыми актами, устанавливающими расходные обязательства по бюджету.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Объемы финансирования подлежат уточнению исходя из возможностей бюджета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очередной финансовый год.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Заказчиком, заказчиком-координ</w:t>
      </w:r>
      <w:r>
        <w:rPr>
          <w:rFonts w:ascii="Times New Roman" w:hAnsi="Times New Roman"/>
          <w:sz w:val="24"/>
          <w:szCs w:val="24"/>
          <w:lang w:eastAsia="ru-RU"/>
        </w:rPr>
        <w:t xml:space="preserve">атором и основным исполнителем п</w:t>
      </w:r>
      <w:r>
        <w:rPr>
          <w:rFonts w:ascii="Times New Roman" w:hAnsi="Times New Roman"/>
          <w:sz w:val="24"/>
          <w:szCs w:val="24"/>
          <w:lang w:eastAsia="ru-RU"/>
        </w:rPr>
        <w:t xml:space="preserve">рограммы является Отдел ГО, ЧС и ПБ.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Отдел</w:t>
      </w:r>
      <w:r>
        <w:rPr>
          <w:rFonts w:ascii="Times New Roman" w:hAnsi="Times New Roman"/>
          <w:sz w:val="24"/>
          <w:szCs w:val="24"/>
          <w:lang w:eastAsia="ru-RU"/>
        </w:rPr>
        <w:t xml:space="preserve"> ГО, ЧС и ПБ</w:t>
      </w:r>
      <w:r>
        <w:rPr>
          <w:rFonts w:ascii="Times New Roman" w:hAnsi="Times New Roman"/>
          <w:sz w:val="24"/>
          <w:szCs w:val="24"/>
          <w:lang w:eastAsia="ru-RU"/>
        </w:rPr>
        <w:t xml:space="preserve"> осуще</w:t>
      </w:r>
      <w:r>
        <w:rPr>
          <w:rFonts w:ascii="Times New Roman" w:hAnsi="Times New Roman"/>
          <w:sz w:val="24"/>
          <w:szCs w:val="24"/>
          <w:lang w:eastAsia="ru-RU"/>
        </w:rPr>
        <w:t xml:space="preserve">ствляет управление реализацией п</w:t>
      </w:r>
      <w:r>
        <w:rPr>
          <w:rFonts w:ascii="Times New Roman" w:hAnsi="Times New Roman"/>
          <w:sz w:val="24"/>
          <w:szCs w:val="24"/>
          <w:lang w:eastAsia="ru-RU"/>
        </w:rPr>
        <w:t xml:space="preserve">рограммы, ее мониторинг, составляет, представляет отчетность, оценку эффективности реализации программы.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Закупка товарно-материальных ценнос</w:t>
      </w:r>
      <w:r>
        <w:rPr>
          <w:rFonts w:ascii="Times New Roman" w:hAnsi="Times New Roman"/>
          <w:sz w:val="24"/>
          <w:szCs w:val="24"/>
          <w:lang w:eastAsia="ru-RU"/>
        </w:rPr>
        <w:t xml:space="preserve">тей для реализации мероприятий п</w:t>
      </w:r>
      <w:r>
        <w:rPr>
          <w:rFonts w:ascii="Times New Roman" w:hAnsi="Times New Roman"/>
          <w:sz w:val="24"/>
          <w:szCs w:val="24"/>
          <w:lang w:eastAsia="ru-RU"/>
        </w:rPr>
        <w:t xml:space="preserve">одпрограммы осуществляется в соответствии с Федеральным </w:t>
      </w:r>
      <w:hyperlink r:id="rId12" w:tooltip="consultantplus://offline/ref=1A24FC3C11285B300782E9CB0329188EEB82E12BE484108548ED697E4802E167A8C83577FDCC22743007781EF0z4x8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05.04.2013 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/>
          <w:sz w:val="24"/>
          <w:szCs w:val="24"/>
          <w:lang w:eastAsia="ru-RU"/>
        </w:rPr>
        <w:t xml:space="preserve"> 44-ФЗ </w:t>
      </w:r>
      <w:r>
        <w:rPr>
          <w:rFonts w:ascii="Times New Roman" w:hAnsi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908"/>
        <w:numPr>
          <w:ilvl w:val="0"/>
          <w:numId w:val="36"/>
        </w:numPr>
        <w:ind w:left="0" w:firstLine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</w:t>
      </w:r>
      <w:r>
        <w:rPr>
          <w:rFonts w:ascii="Times New Roman" w:hAnsi="Times New Roman"/>
          <w:b/>
          <w:sz w:val="24"/>
          <w:szCs w:val="24"/>
        </w:rPr>
        <w:t xml:space="preserve">ценка эффективности программы и</w:t>
      </w:r>
      <w:r>
        <w:rPr>
          <w:rFonts w:ascii="Times New Roman" w:hAnsi="Times New Roman"/>
          <w:b/>
          <w:sz w:val="24"/>
          <w:szCs w:val="24"/>
        </w:rPr>
        <w:t xml:space="preserve"> риск</w:t>
      </w:r>
      <w:r>
        <w:rPr>
          <w:rFonts w:ascii="Times New Roman" w:hAnsi="Times New Roman"/>
          <w:b/>
          <w:sz w:val="24"/>
          <w:szCs w:val="24"/>
        </w:rPr>
        <w:t xml:space="preserve">ов ее реализации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080"/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</w:t>
      </w:r>
      <w:r>
        <w:rPr>
          <w:rFonts w:ascii="Times New Roman" w:hAnsi="Times New Roman"/>
          <w:sz w:val="24"/>
          <w:szCs w:val="24"/>
        </w:rPr>
        <w:t xml:space="preserve">ффективности выполнения п</w:t>
      </w:r>
      <w:r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</w:t>
      </w:r>
      <w:r>
        <w:rPr>
          <w:rFonts w:ascii="Times New Roman" w:hAnsi="Times New Roman"/>
          <w:sz w:val="24"/>
          <w:szCs w:val="24"/>
        </w:rPr>
        <w:t xml:space="preserve">задач и выполнении мероприятий п</w:t>
      </w:r>
      <w:r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</w:t>
      </w:r>
      <w:r>
        <w:rPr>
          <w:rFonts w:ascii="Times New Roman" w:hAnsi="Times New Roman"/>
          <w:sz w:val="24"/>
          <w:szCs w:val="24"/>
        </w:rPr>
        <w:t xml:space="preserve">по внесению изменений в п</w:t>
      </w:r>
      <w:r>
        <w:rPr>
          <w:rFonts w:ascii="Times New Roman" w:hAnsi="Times New Roman"/>
          <w:sz w:val="24"/>
          <w:szCs w:val="24"/>
        </w:rPr>
        <w:t xml:space="preserve">рограмму.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реализации п</w:t>
      </w:r>
      <w:r>
        <w:rPr>
          <w:rFonts w:ascii="Times New Roman" w:hAnsi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</w:t>
      </w:r>
      <w:r>
        <w:rPr>
          <w:rFonts w:ascii="Times New Roman" w:hAnsi="Times New Roman"/>
          <w:sz w:val="24"/>
          <w:szCs w:val="24"/>
        </w:rPr>
        <w:t xml:space="preserve">ений показателей и индикаторов п</w:t>
      </w:r>
      <w:r>
        <w:rPr>
          <w:rFonts w:ascii="Times New Roman" w:hAnsi="Times New Roman"/>
          <w:sz w:val="24"/>
          <w:szCs w:val="24"/>
        </w:rPr>
        <w:t xml:space="preserve">рограммы) при условии соблюдения обоснованного объема расходов.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</w:t>
      </w:r>
      <w:r>
        <w:rPr>
          <w:rFonts w:ascii="Times New Roman" w:hAnsi="Times New Roman"/>
          <w:sz w:val="24"/>
          <w:szCs w:val="24"/>
        </w:rPr>
        <w:t xml:space="preserve">рограммы подвержена влиянию следующих групп рисков и негативных факторов: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 в </w:t>
      </w:r>
      <w:r>
        <w:rPr>
          <w:rFonts w:ascii="Times New Roman" w:hAnsi="Times New Roman"/>
          <w:sz w:val="24"/>
          <w:szCs w:val="24"/>
        </w:rPr>
        <w:t xml:space="preserve">ходе формирования и реализации п</w:t>
      </w:r>
      <w:r>
        <w:rPr>
          <w:rFonts w:ascii="Times New Roman" w:hAnsi="Times New Roman"/>
          <w:sz w:val="24"/>
          <w:szCs w:val="24"/>
        </w:rPr>
        <w:t xml:space="preserve"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</w:t>
      </w:r>
      <w:r>
        <w:rPr>
          <w:rFonts w:ascii="Times New Roman" w:hAnsi="Times New Roman"/>
          <w:sz w:val="24"/>
          <w:szCs w:val="24"/>
        </w:rPr>
        <w:t xml:space="preserve">анного риска на ход реализации п</w:t>
      </w:r>
      <w:r>
        <w:rPr>
          <w:rFonts w:ascii="Times New Roman" w:hAnsi="Times New Roman"/>
          <w:sz w:val="24"/>
          <w:szCs w:val="24"/>
        </w:rPr>
        <w:t xml:space="preserve">рограммы необходимо обеспечить сбалансированное распределение финансовых средств по подпрограммам, з</w:t>
      </w:r>
      <w:r>
        <w:rPr>
          <w:rFonts w:ascii="Times New Roman" w:hAnsi="Times New Roman"/>
          <w:sz w:val="24"/>
          <w:szCs w:val="24"/>
        </w:rPr>
        <w:t xml:space="preserve">адачам и основным мероприятиям п</w:t>
      </w:r>
      <w:r>
        <w:rPr>
          <w:rFonts w:ascii="Times New Roman" w:hAnsi="Times New Roman"/>
          <w:sz w:val="24"/>
          <w:szCs w:val="24"/>
        </w:rPr>
        <w:t xml:space="preserve"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Правовые риски, связанные с вне</w:t>
      </w:r>
      <w:r>
        <w:rPr>
          <w:rFonts w:ascii="Times New Roman" w:hAnsi="Times New Roman"/>
          <w:sz w:val="24"/>
          <w:szCs w:val="24"/>
        </w:rPr>
        <w:t xml:space="preserve">сением не предусмотренных п</w:t>
      </w:r>
      <w:r>
        <w:rPr>
          <w:rFonts w:ascii="Times New Roman" w:hAnsi="Times New Roman"/>
          <w:sz w:val="24"/>
          <w:szCs w:val="24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</w:t>
      </w:r>
      <w:r>
        <w:rPr>
          <w:rFonts w:ascii="Times New Roman" w:hAnsi="Times New Roman"/>
          <w:sz w:val="24"/>
          <w:szCs w:val="24"/>
        </w:rPr>
        <w:t xml:space="preserve">влияние на конечные результаты 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Повышение уровня инфляции может привести к изменению цен на рынке товаров, работ, услуг, что в свою очередь существенно повлияет на запланиро</w:t>
      </w:r>
      <w:r>
        <w:rPr>
          <w:rFonts w:ascii="Times New Roman" w:hAnsi="Times New Roman"/>
          <w:sz w:val="24"/>
          <w:szCs w:val="24"/>
        </w:rPr>
        <w:t xml:space="preserve">ванный к приобретению в рамках п</w:t>
      </w:r>
      <w:r>
        <w:rPr>
          <w:rFonts w:ascii="Times New Roman" w:hAnsi="Times New Roman"/>
          <w:sz w:val="24"/>
          <w:szCs w:val="24"/>
        </w:rPr>
        <w:t xml:space="preserve">рограммы объем таких товаров, работ,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мониторинг цен и прогнозирование текущи</w:t>
      </w:r>
      <w:r>
        <w:rPr>
          <w:rFonts w:ascii="Times New Roman" w:hAnsi="Times New Roman"/>
          <w:sz w:val="24"/>
          <w:szCs w:val="24"/>
        </w:rPr>
        <w:t xml:space="preserve">х тенденций в сфере реализации п</w:t>
      </w:r>
      <w:r>
        <w:rPr>
          <w:rFonts w:ascii="Times New Roman" w:hAnsi="Times New Roman"/>
          <w:sz w:val="24"/>
          <w:szCs w:val="24"/>
        </w:rPr>
        <w:t xml:space="preserve">рограммы для своевременного пересмотра объема финансирования и его перераспределения по подпрограммам, з</w:t>
      </w:r>
      <w:r>
        <w:rPr>
          <w:rFonts w:ascii="Times New Roman" w:hAnsi="Times New Roman"/>
          <w:sz w:val="24"/>
          <w:szCs w:val="24"/>
        </w:rPr>
        <w:t xml:space="preserve">адачам и основным мероприятиям п</w:t>
      </w:r>
      <w:r>
        <w:rPr>
          <w:rFonts w:ascii="Times New Roman" w:hAnsi="Times New Roman"/>
          <w:sz w:val="24"/>
          <w:szCs w:val="24"/>
        </w:rPr>
        <w:t xml:space="preserve">рограммы для обеспечения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</w:t>
      </w:r>
      <w:r>
        <w:rPr>
          <w:rFonts w:ascii="Times New Roman" w:hAnsi="Times New Roman"/>
          <w:sz w:val="24"/>
          <w:szCs w:val="24"/>
        </w:rPr>
        <w:t xml:space="preserve">ьтаты 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</w:t>
      </w:r>
      <w:r>
        <w:rPr>
          <w:rFonts w:ascii="Times New Roman" w:hAnsi="Times New Roman"/>
          <w:sz w:val="24"/>
          <w:szCs w:val="24"/>
        </w:rPr>
        <w:t xml:space="preserve">анного риска на ход реализации п</w:t>
      </w:r>
      <w:r>
        <w:rPr>
          <w:rFonts w:ascii="Times New Roman" w:hAnsi="Times New Roman"/>
          <w:sz w:val="24"/>
          <w:szCs w:val="24"/>
        </w:rPr>
        <w:t xml:space="preserve">рограммы необходимо обеспечить оперативный мон</w:t>
      </w:r>
      <w:r>
        <w:rPr>
          <w:rFonts w:ascii="Times New Roman" w:hAnsi="Times New Roman"/>
          <w:sz w:val="24"/>
          <w:szCs w:val="24"/>
        </w:rPr>
        <w:t xml:space="preserve">иторинг выполнения мероприятий п</w:t>
      </w:r>
      <w:r>
        <w:rPr>
          <w:rFonts w:ascii="Times New Roman" w:hAnsi="Times New Roman"/>
          <w:sz w:val="24"/>
          <w:szCs w:val="24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</w:t>
      </w:r>
      <w:r>
        <w:rPr>
          <w:rFonts w:ascii="Times New Roman" w:hAnsi="Times New Roman"/>
          <w:sz w:val="24"/>
          <w:szCs w:val="24"/>
        </w:rPr>
        <w:t xml:space="preserve">ияние на результаты реализации п</w:t>
      </w:r>
      <w:r>
        <w:rPr>
          <w:rFonts w:ascii="Times New Roman" w:hAnsi="Times New Roman"/>
          <w:sz w:val="24"/>
          <w:szCs w:val="24"/>
        </w:rPr>
        <w:t xml:space="preserve">рограммы и существенно снизить показатели ее результативности.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 рисками будет осуществляться на основе регу</w:t>
      </w:r>
      <w:r>
        <w:rPr>
          <w:rFonts w:ascii="Times New Roman" w:hAnsi="Times New Roman"/>
          <w:sz w:val="24"/>
          <w:szCs w:val="24"/>
        </w:rPr>
        <w:t xml:space="preserve">лярного мониторинга </w:t>
      </w:r>
      <w:r>
        <w:rPr>
          <w:rFonts w:ascii="Times New Roman" w:hAnsi="Times New Roman"/>
          <w:sz w:val="24"/>
          <w:szCs w:val="24"/>
        </w:rPr>
        <w:t xml:space="preserve">реализации 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«Повышение безопасности дорожного движения и снижение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дорожно-транспортного травматизма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442" w:type="dxa"/>
        <w:jc w:val="center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0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«Обеспечение общественного порядка и безопасности населения»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2025-2027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0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72"/>
              <w:numPr>
                <w:ilvl w:val="0"/>
                <w:numId w:val="16"/>
              </w:numPr>
              <w:ind w:left="19" w:firstLine="0"/>
              <w:jc w:val="both"/>
              <w:spacing w:after="0" w:line="240" w:lineRule="auto"/>
              <w:tabs>
                <w:tab w:val="left" w:pos="30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16"/>
              </w:numPr>
              <w:ind w:left="52" w:firstLine="0"/>
              <w:jc w:val="both"/>
              <w:spacing w:after="0" w:line="240" w:lineRule="auto"/>
              <w:tabs>
                <w:tab w:val="left" w:pos="52" w:leader="none"/>
                <w:tab w:val="left" w:pos="271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безопасного поведения участников дорожного движения и предупреждение детского дорожно-транспортного травматизма.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8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заседаний МВК по обеспечению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 аварийности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комиссионных проверок улично-дорожной сети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Исполнение решений суда по организации работ по устранению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нарушений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требований законодательства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Профилактика детского дорожно-транспортного травматизма.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Освещение в СМИ проводимых мероприятий по совершенствованию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системы обеспечения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светоотражающими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фликерами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начальных классов.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Пропаганда безопасности дорожного движения среди учащихся образовательных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у детей навыков безопасного участия в дорожном движении.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Наличие стендов, наглядных пособий по безопасности дорожного движения.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3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условий дорожного движения, повышение уровня защищенности участников дорожного движения, формирование среди населения, в том числе несовершеннолетних граждан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безопасного поведения на дорогах.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ГО, ЧС и ПБ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 образования, образовательные организации, МБУ «РЭС», МБУ «НДС», МКУ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», МАУ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нформцентр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МВК;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ГИБДД ОМВД России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color w:val="ff0000"/>
          <w:sz w:val="24"/>
          <w:szCs w:val="24"/>
        </w:rPr>
        <w:framePr w:w="9849" w:wrap="auto" w:hAnchor="text" w:x="1418"/>
        <w:sectPr>
          <w:footnotePr/>
          <w:endnotePr/>
          <w:type w:val="nextPage"/>
          <w:pgSz w:w="11905" w:h="16838" w:orient="portrait"/>
          <w:pgMar w:top="1134" w:right="850" w:bottom="1135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918"/>
        <w:jc w:val="right"/>
        <w:spacing w:before="0" w:beforeAutospacing="0" w:after="0" w:afterAutospacing="0"/>
      </w:pPr>
      <w:r/>
      <w:bookmarkStart w:id="2" w:name="Par3713"/>
      <w:r/>
      <w:bookmarkEnd w:id="2"/>
      <w:r/>
      <w:r/>
    </w:p>
    <w:p>
      <w:pPr>
        <w:pStyle w:val="918"/>
        <w:jc w:val="right"/>
        <w:spacing w:before="0" w:beforeAutospacing="0" w:after="0" w:afterAutospacing="0"/>
      </w:pPr>
      <w:r>
        <w:t xml:space="preserve">Таблица 1</w:t>
      </w:r>
      <w:r/>
    </w:p>
    <w:p>
      <w:pPr>
        <w:pStyle w:val="918"/>
        <w:jc w:val="right"/>
        <w:spacing w:before="0" w:beforeAutospacing="0" w:after="0" w:afterAutospacing="0"/>
      </w:pPr>
      <w:r>
        <w:t xml:space="preserve">к подпрограмме 1</w:t>
      </w:r>
      <w:r/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pStyle w:val="918"/>
        <w:jc w:val="center"/>
        <w:spacing w:before="0" w:beforeAutospacing="0" w:after="0" w:afterAutospacing="0"/>
      </w:pPr>
      <w:r>
        <w:t xml:space="preserve"> мероприятий подпрограммы с объемом финансирования</w:t>
      </w:r>
      <w:r/>
    </w:p>
    <w:p>
      <w:pPr>
        <w:pStyle w:val="918"/>
        <w:jc w:val="center"/>
        <w:spacing w:before="0" w:beforeAutospacing="0" w:after="0" w:afterAutospacing="0"/>
      </w:pPr>
      <w:r/>
      <w:r/>
    </w:p>
    <w:tbl>
      <w:tblPr>
        <w:tblW w:w="152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61"/>
        <w:gridCol w:w="1418"/>
        <w:gridCol w:w="1134"/>
        <w:gridCol w:w="1134"/>
        <w:gridCol w:w="1276"/>
        <w:gridCol w:w="1275"/>
        <w:gridCol w:w="1134"/>
        <w:gridCol w:w="142"/>
        <w:gridCol w:w="1985"/>
      </w:tblGrid>
      <w:tr>
        <w:tblPrEx/>
        <w:trPr/>
        <w:tc>
          <w:tcPr>
            <w:shd w:val="clear" w:color="auto" w:fill="auto"/>
            <w:tcW w:w="8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Объём финансирования,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1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анализа аварийности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МВК, отделение ГИБДД ОМВД Росси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комиссионных проверок улично-дорожной сети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ГИБДД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КУИ, отдел ГО, ЧС и ПБ, ОС и ЖКХ,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НДС»,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    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  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Устранение нарушений требований законодательства по безопасности дорожного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«НДС»,                        МКУ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     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276" w:type="dxa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в образовательных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ГИБДД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светоотражающих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фликеров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для обучающихся начальных классов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работы Юных инспекторов дорожного движения при образовательных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образования.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образования.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  <w:rPr>
          <w:color w:val="ff0000"/>
          <w:sz w:val="22"/>
          <w:szCs w:val="22"/>
        </w:rPr>
        <w:sectPr>
          <w:footnotePr/>
          <w:endnotePr/>
          <w:type w:val="nextPage"/>
          <w:pgSz w:w="16838" w:h="11905" w:orient="landscape"/>
          <w:pgMar w:top="993" w:right="851" w:bottom="851" w:left="1134" w:header="720" w:footer="720" w:gutter="0"/>
          <w:cols w:num="1" w:sep="0" w:space="720" w:equalWidth="1"/>
          <w:docGrid w:linePitch="360"/>
        </w:sectPr>
      </w:pPr>
      <w:r>
        <w:rPr>
          <w:color w:val="ff0000"/>
          <w:sz w:val="22"/>
          <w:szCs w:val="22"/>
        </w:rPr>
      </w:r>
      <w:r>
        <w:rPr>
          <w:color w:val="ff0000"/>
          <w:sz w:val="22"/>
          <w:szCs w:val="22"/>
        </w:rPr>
      </w:r>
      <w:r>
        <w:rPr>
          <w:color w:val="ff0000"/>
          <w:sz w:val="22"/>
          <w:szCs w:val="22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52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394"/>
        <w:gridCol w:w="1276"/>
        <w:gridCol w:w="2977"/>
        <w:gridCol w:w="708"/>
        <w:gridCol w:w="993"/>
        <w:gridCol w:w="992"/>
        <w:gridCol w:w="992"/>
        <w:gridCol w:w="1985"/>
      </w:tblGrid>
      <w:tr>
        <w:tblPrEx/>
        <w:trPr/>
        <w:tc>
          <w:tcPr>
            <w:shd w:val="clear" w:color="auto" w:fill="auto"/>
            <w:tcW w:w="9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Исполнения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Показателя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1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заседаний МВК по обеспечению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анализа аварийности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 с целью выявления аварийно-опасных участков улично-дорожной сети.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Анализ аварийности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МВК, отделение ГИБДД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комиссионных проверок улично-дорожной сети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комиссионных проверок улично-дорожной сети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РФ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отдел ГО, ЧС и ПБ, КУИ, ОС и ЖКХ,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«НДС»,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/>
              </w:rPr>
              <w:t xml:space="preserve">Исполнение решений суда по организации работ по устранению нарушений </w:t>
            </w:r>
            <w:r>
              <w:rPr>
                <w:rFonts w:ascii="Times New Roman" w:hAnsi="Times New Roman"/>
              </w:rPr>
              <w:t xml:space="preserve">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«НДС»,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МБУ « РЭС»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в образовательных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Профилактика детского дорожно-транспортного травматизма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образования, отделение ГИБДД ОМВД России 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России 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   отдел ГО, ЧС и ПБ,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светоотражающих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фликеров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для обучающихся начальных классов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Обеспечение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светоотражающими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фликерами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обучающихся начальных классов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работы Юных инспекторов дорожного движения при образовательных организациях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Пропаганда безопасности дорожного движения среди учащихся образовательных организаций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Формирование у детей навыков безопасного участия в дорожном движении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5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Наличие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pacing w:val="1"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pacing w:val="1"/>
          <w:sz w:val="24"/>
          <w:szCs w:val="24"/>
        </w:rPr>
      </w:r>
      <w:r>
        <w:rPr>
          <w:rFonts w:ascii="Times New Roman" w:hAnsi="Times New Roman"/>
          <w:color w:val="ff0000"/>
          <w:spacing w:val="1"/>
          <w:sz w:val="24"/>
          <w:szCs w:val="24"/>
        </w:rPr>
      </w:r>
      <w:r>
        <w:rPr>
          <w:rFonts w:ascii="Times New Roman" w:hAnsi="Times New Roman"/>
          <w:color w:val="ff0000"/>
          <w:spacing w:val="1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</w:rPr>
        <w:outlineLvl w:val="1"/>
      </w:pP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риложение </w:t>
      </w:r>
      <w:r>
        <w:rPr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4"/>
        </w:rPr>
        <w:t xml:space="preserve">2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</w:rPr>
        <w:outlineLvl w:val="1"/>
      </w:pPr>
      <w:r>
        <w:rPr>
          <w:rFonts w:ascii="Times New Roman" w:hAnsi="Times New Roman"/>
          <w:sz w:val="24"/>
        </w:rPr>
        <w:t xml:space="preserve">к программе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2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Профилактика правонарушений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951" w:type="dxa"/>
        <w:jc w:val="center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96"/>
        <w:gridCol w:w="7655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pStyle w:val="908"/>
              <w:ind w:left="0" w:right="-22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«Обеспечение общественного порядка и безопасности населения»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2025-2027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pStyle w:val="90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общественной безопасности населения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88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numPr>
                <w:ilvl w:val="0"/>
                <w:numId w:val="33"/>
              </w:numPr>
              <w:ind w:left="52" w:firstLine="0"/>
              <w:jc w:val="both"/>
              <w:spacing w:after="0" w:line="240" w:lineRule="auto"/>
              <w:tabs>
                <w:tab w:val="left" w:pos="52" w:leader="none"/>
                <w:tab w:val="left" w:pos="271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условий для обеспечения правопорядка в общественных местах.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numPr>
                <w:ilvl w:val="0"/>
                <w:numId w:val="33"/>
              </w:numPr>
              <w:ind w:left="52" w:firstLine="0"/>
              <w:jc w:val="both"/>
              <w:spacing w:after="0" w:line="240" w:lineRule="auto"/>
              <w:tabs>
                <w:tab w:val="left" w:pos="52" w:leader="none"/>
                <w:tab w:val="left" w:pos="271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системы профилактики правонарушений.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проведенных заседаний МВК по профилактике правонарушений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муниципальном округе.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Информирование населения о состоянии преступности на территории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Анализ эффективности работы по профилактике правонарушений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муниципальном округе.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несовершеннолетних, привлеченных к административной ответственности за совершение правонарушений.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личеств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преступлений 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правонарушений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совершенных несовершеннолетними.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оличеств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повторно совершенных преступлений.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Организация и проведение мониторинга миграционной составляющей на рынке труда.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Обеспечение деятельности комиссии по делам несовершеннолетних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9.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Приобретение печат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ной продукции профилактической направленности.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10. Оказание содействия в получении юридической, социальной и психологической помощи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11. Оказание содействия в восстановлении и формировании социально-полезных связей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2. 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9 599,4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9569,4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3189,8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3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Выявление и устранение причин и условий, способствующих безнадзорности, правонарушениям и антиобщест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венным действиям граждан (в том числе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несовершеннолетних), вовлечение несовершеннолетних граждан в мероприятия по профилактике правонарушений.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Комиссия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ПДН и ЗП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ОРН, МАУ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Информцентр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ОМВД России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кадровый центр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ФКУ УИИ УФСИН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08"/>
        <w:ind w:left="0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pStyle w:val="908"/>
        <w:ind w:left="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pacing w:val="1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pacing w:val="1"/>
          <w:sz w:val="24"/>
          <w:szCs w:val="24"/>
        </w:rPr>
      </w:r>
      <w:r>
        <w:rPr>
          <w:rFonts w:ascii="Times New Roman" w:hAnsi="Times New Roman"/>
          <w:color w:val="ff0000"/>
          <w:spacing w:val="1"/>
          <w:sz w:val="24"/>
          <w:szCs w:val="24"/>
        </w:rPr>
      </w:r>
      <w:r>
        <w:rPr>
          <w:rFonts w:ascii="Times New Roman" w:hAnsi="Times New Roman"/>
          <w:color w:val="ff0000"/>
          <w:spacing w:val="1"/>
          <w:sz w:val="24"/>
          <w:szCs w:val="24"/>
        </w:rPr>
      </w:r>
    </w:p>
    <w:p>
      <w:pPr>
        <w:pStyle w:val="918"/>
        <w:jc w:val="right"/>
        <w:spacing w:before="0" w:beforeAutospacing="0" w:after="0" w:afterAutospacing="0"/>
      </w:pPr>
      <w:r>
        <w:t xml:space="preserve">Таблица 1</w:t>
      </w:r>
      <w:r/>
    </w:p>
    <w:p>
      <w:pPr>
        <w:pStyle w:val="918"/>
        <w:jc w:val="right"/>
        <w:spacing w:before="0" w:beforeAutospacing="0" w:after="0" w:afterAutospacing="0"/>
      </w:pPr>
      <w:r>
        <w:t xml:space="preserve">к подпрограмме 2</w:t>
      </w:r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pStyle w:val="918"/>
        <w:jc w:val="center"/>
        <w:spacing w:before="0" w:beforeAutospacing="0" w:after="0" w:afterAutospacing="0"/>
      </w:pPr>
      <w:r>
        <w:t xml:space="preserve">мероприятий подпрограммы с объемом финансирования</w:t>
      </w:r>
      <w:r/>
    </w:p>
    <w:p>
      <w:pPr>
        <w:pStyle w:val="918"/>
        <w:jc w:val="center"/>
        <w:spacing w:before="0" w:beforeAutospacing="0" w:after="0" w:afterAutospacing="0"/>
      </w:pPr>
      <w:r/>
      <w:r/>
    </w:p>
    <w:tbl>
      <w:tblPr>
        <w:tblW w:w="15167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1418"/>
        <w:gridCol w:w="1134"/>
        <w:gridCol w:w="1134"/>
        <w:gridCol w:w="1275"/>
        <w:gridCol w:w="1276"/>
        <w:gridCol w:w="1276"/>
        <w:gridCol w:w="2267"/>
      </w:tblGrid>
      <w:tr>
        <w:tblPrEx/>
        <w:trPr/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Объём финансирования,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2. «Профилактика правонарушений»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Повышение общественной безопасности населения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МВК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ероприятие 2. Развитие сист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емы профилактики правонарушений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кадровый 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ФКУ УИИ УФСИН.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Комиссия 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ДН и ЗП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 несовершеннолетними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Комиссия ПДН и ЗП,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ФКУ УИИ УФСИН.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ОРН.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Реализация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акона Мурманской области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от 28.12.2004 № 571-01-ЗМО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Комиссия 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ДН и ЗП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9569,4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9569,4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преступлений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2.2.8.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ФБ           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                    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2.2.9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ФБ           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                    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2.2.10.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453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Обеспечение условий </w:t>
            </w:r>
            <w:r>
              <w:rPr>
                <w:rFonts w:ascii="Times New Roman" w:hAnsi="Times New Roman" w:eastAsia="Times New Roman"/>
                <w:spacing w:val="1"/>
              </w:rPr>
              <w:t xml:space="preserve">для привлечения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ФБ           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                    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0,0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</w:rPr>
            </w:pPr>
            <w:r>
              <w:rPr>
                <w:rFonts w:ascii="Times New Roman" w:hAnsi="Times New Roman" w:eastAsia="Times New Roman"/>
                <w:b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</w:rPr>
            </w:pPr>
            <w:r>
              <w:rPr>
                <w:rFonts w:ascii="Times New Roman" w:hAnsi="Times New Roman" w:eastAsia="Times New Roman"/>
                <w:b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</w:rPr>
            </w:pPr>
            <w:r>
              <w:rPr>
                <w:rFonts w:ascii="Times New Roman" w:hAnsi="Times New Roman" w:eastAsia="Times New Roman"/>
                <w:b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</w:rPr>
            </w:pPr>
            <w:r>
              <w:rPr>
                <w:rFonts w:ascii="Times New Roman" w:hAnsi="Times New Roman" w:eastAsia="Times New Roman"/>
                <w:b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  <w:r>
              <w:rPr>
                <w:rFonts w:ascii="Times New Roman" w:hAnsi="Times New Roman"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9569,4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9599,4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9569,4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9599,4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908"/>
        <w:ind w:left="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z w:val="18"/>
          <w:szCs w:val="18"/>
        </w:rPr>
      </w:pP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08"/>
        <w:ind w:left="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z w:val="18"/>
          <w:szCs w:val="18"/>
        </w:rPr>
        <w:sectPr>
          <w:footnotePr/>
          <w:endnotePr/>
          <w:type w:val="nextPage"/>
          <w:pgSz w:w="16838" w:h="11905" w:orient="landscape"/>
          <w:pgMar w:top="1134" w:right="851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72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5310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276"/>
        <w:gridCol w:w="3402"/>
        <w:gridCol w:w="708"/>
        <w:gridCol w:w="142"/>
        <w:gridCol w:w="850"/>
        <w:gridCol w:w="143"/>
        <w:gridCol w:w="850"/>
        <w:gridCol w:w="142"/>
        <w:gridCol w:w="850"/>
        <w:gridCol w:w="142"/>
        <w:gridCol w:w="1843"/>
      </w:tblGrid>
      <w:tr>
        <w:tblPrEx/>
        <w:trPr/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Исполнения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показателя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2. «Профилактика правонарушений»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Повышение общественной безопасности населения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МВК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заседаний МВК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населения о состоянии преступности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                            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2. Развитие системы профилактики правонарушений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Анализ эффективности работы по профилактике правонарушений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кадровый 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отдел ГО, ЧС и ПБ, 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несовершеннолетних, привлеченных к административной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ответственности за совершение правонарушений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Комиссия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ПДН и ЗП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преступлений и правонарушений, совершенных несовершеннолетними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Комиссия ПДН и ЗП, 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повторно совершенных преступлений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и 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», ОРН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Реализация закона Мурманской области от 28.12.2004 № 571-01-ЗМО 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Обеспечение деятельности комиссии по делам несовершеннолетних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Комиссия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ПДН и ЗП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преступлений 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печатной продукции профилактической направленности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ГО, ЧС и ПБ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2.2.8.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2.2.9.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  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2.2.10.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Обеспечение условий для привлечения организаций различных организационно-правовых форм, волонтерских и зарегистрированных религиозных организаций, </w:t>
            </w:r>
            <w:r>
              <w:rPr>
                <w:rFonts w:ascii="Times New Roman" w:hAnsi="Times New Roman" w:eastAsia="Times New Roman"/>
                <w:spacing w:val="1"/>
              </w:rPr>
              <w:t xml:space="preserve">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Привлечение организаций различных организационно-правовых форм, волонтерских и зарегистрированных религиозных организаций, </w:t>
            </w:r>
            <w:r>
              <w:rPr>
                <w:rFonts w:ascii="Times New Roman" w:hAnsi="Times New Roman" w:eastAsia="Times New Roman"/>
                <w:spacing w:val="1"/>
              </w:rPr>
              <w:t xml:space="preserve">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  <w:t xml:space="preserve">ФКУ УИИ УФСИН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</w:rPr>
            </w:r>
          </w:p>
        </w:tc>
      </w:tr>
    </w:tbl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/>
          <w:color w:val="ff0000"/>
          <w:sz w:val="18"/>
          <w:szCs w:val="18"/>
        </w:rPr>
        <w:sectPr>
          <w:footnotePr/>
          <w:endnotePr/>
          <w:type w:val="nextPage"/>
          <w:pgSz w:w="16838" w:h="11905" w:orient="landscape"/>
          <w:pgMar w:top="1134" w:right="851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3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Обеспечение защиты населения и территорий от чрезвычайных ситуаций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647" w:type="dxa"/>
        <w:jc w:val="center"/>
        <w:tblInd w:w="88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28"/>
        <w:gridCol w:w="7819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08"/>
              <w:ind w:left="0" w:right="-22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«Обеспечение общественного порядка и безопасности населения»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2025-2027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0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защиты населения и территорий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чрезвычайных ситуаций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88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Повышение готовности сил и сре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дств гр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ажданской обороны, муниципального звена РСЧС.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Доля обученного населения действиям при ГО и ЧС.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Количество установленной наглядной агитации с разъяснением правил поведения граждан на водных объектах.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Количество проведенных конкурсов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детского рисунка в образовательных учреждениях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правил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ам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безопасности поведения на водных объектах.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Предупреждение гибели людей и повреждения имущества.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5.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Недопущение распространения огня (при лесном пожаре) на жилые постройки.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6.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Наличие противопожарного спасательного оборудования,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резервного запаса питьевой воды,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для оснащения волонтеров при тушении лесных пожаров.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7.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приобретенных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и установленных сетевых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-камер.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8.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Поддержание в рабочем состоянии системы МАСО.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  <w:p>
            <w:pPr>
              <w:pStyle w:val="951"/>
              <w:jc w:val="both"/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9.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РСЧС.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59 299,6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9299,6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20780,1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72"/>
              <w:numPr>
                <w:ilvl w:val="0"/>
                <w:numId w:val="17"/>
              </w:numPr>
              <w:ind w:left="34" w:firstLine="0"/>
              <w:jc w:val="both"/>
              <w:spacing w:after="0" w:line="240" w:lineRule="auto"/>
              <w:tabs>
                <w:tab w:val="left" w:pos="31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предпосылок возникновения чрезвычайных ситуаций техногенного характера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2"/>
              <w:numPr>
                <w:ilvl w:val="0"/>
                <w:numId w:val="17"/>
              </w:numPr>
              <w:ind w:left="34" w:firstLine="0"/>
              <w:jc w:val="both"/>
              <w:spacing w:after="0" w:line="240" w:lineRule="auto"/>
              <w:tabs>
                <w:tab w:val="left" w:pos="31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обученного руководящего состава гражданской обороны и РСЧС;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2"/>
              <w:numPr>
                <w:ilvl w:val="0"/>
                <w:numId w:val="17"/>
              </w:numPr>
              <w:ind w:left="34" w:firstLine="0"/>
              <w:jc w:val="both"/>
              <w:spacing w:after="0" w:line="240" w:lineRule="auto"/>
              <w:tabs>
                <w:tab w:val="left" w:pos="31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объектов гражданской обороны, находящихся в муниципальной собственности, готовых к применению;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2"/>
              <w:numPr>
                <w:ilvl w:val="0"/>
                <w:numId w:val="17"/>
              </w:numPr>
              <w:ind w:left="34" w:firstLine="0"/>
              <w:jc w:val="both"/>
              <w:spacing w:after="0" w:line="240" w:lineRule="auto"/>
              <w:tabs>
                <w:tab w:val="left" w:pos="318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времени реагирования органов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звена Мурманской территориальной подсистемы государственной системы предупреждения и ликвидации чрезвычайных ситуаций при возникновении (угрозе) чрезвычайной ситуации.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ГО, ЧС и ПБ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МКУ «ЕДДС»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08"/>
        <w:ind w:left="0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/>
          <w:color w:val="ff0000"/>
          <w:sz w:val="18"/>
          <w:szCs w:val="18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tbl>
      <w:tblPr>
        <w:tblW w:w="0" w:type="auto"/>
        <w:tblInd w:w="10728" w:type="dxa"/>
        <w:tblLook w:val="01E0" w:firstRow="1" w:lastRow="1" w:firstColumn="1" w:lastColumn="1" w:noHBand="0" w:noVBand="0"/>
      </w:tblPr>
      <w:tblGrid>
        <w:gridCol w:w="3774"/>
      </w:tblGrid>
      <w:tr>
        <w:tblPrEx/>
        <w:trPr/>
        <w:tc>
          <w:tcPr>
            <w:shd w:val="clear" w:color="auto" w:fill="auto"/>
            <w:tcW w:w="37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Таблица 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 подпрограмме 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объемом финансирования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309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1276"/>
        <w:gridCol w:w="1134"/>
        <w:gridCol w:w="1275"/>
        <w:gridCol w:w="1276"/>
        <w:gridCol w:w="1134"/>
        <w:gridCol w:w="1134"/>
        <w:gridCol w:w="1984"/>
      </w:tblGrid>
      <w:tr>
        <w:tblPrEx/>
        <w:trPr/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Объём финансирования,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3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Цель: Обеспечение защиты населения и территорий от чрезвычайных ситуаций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конкурсов детского рисунка в образовательных организациях по правилам безопасного поведения на водных объектах (в т. 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работ по обеспечению пожарной безопасности в период летнего пожароопасного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периода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Основное мероприятие 2. Повышение готовности сил и сре</w:t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дств гр</w:t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ажданской обороны, муниципального звена РСЧС</w:t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противопожарного, спасательного оборудования,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300,0</w:t>
            </w:r>
            <w:r>
              <w:rPr>
                <w:rFonts w:ascii="Times New Roman" w:hAnsi="Times New Roman"/>
                <w:bCs/>
                <w:color w:val="000000"/>
              </w:rPr>
              <w:t xml:space="preserve">   </w:t>
            </w:r>
            <w:r>
              <w:rPr>
                <w:rFonts w:ascii="Times New Roman" w:hAnsi="Times New Roman" w:eastAsia="Times New Roman"/>
                <w:bCs/>
                <w:color w:val="000000"/>
              </w:rPr>
            </w:r>
            <w:r>
              <w:rPr>
                <w:rFonts w:ascii="Times New Roman" w:hAnsi="Times New Roman" w:eastAsia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100,0</w:t>
            </w:r>
            <w:r>
              <w:rPr>
                <w:rFonts w:ascii="Times New Roman" w:hAnsi="Times New Roman"/>
                <w:color w:val="000000"/>
              </w:rPr>
              <w:t xml:space="preserve">  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300,0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100,0</w:t>
            </w:r>
            <w:r>
              <w:rPr>
                <w:rFonts w:ascii="Times New Roman" w:hAnsi="Times New Roman"/>
                <w:b/>
                <w:color w:val="000000"/>
              </w:rPr>
              <w:t xml:space="preserve">   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100,0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100,0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-камер АПК «Безопасный город»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165,6</w:t>
            </w:r>
            <w:r>
              <w:rPr>
                <w:rFonts w:ascii="Times New Roman" w:hAnsi="Times New Roman"/>
                <w:bCs/>
                <w:color w:val="000000"/>
              </w:rPr>
              <w:t xml:space="preserve">   </w:t>
            </w:r>
            <w:r>
              <w:rPr>
                <w:rFonts w:ascii="Times New Roman" w:hAnsi="Times New Roman" w:eastAsia="Times New Roman"/>
                <w:bCs/>
                <w:color w:val="000000"/>
              </w:rPr>
            </w:r>
            <w:r>
              <w:rPr>
                <w:rFonts w:ascii="Times New Roman" w:hAnsi="Times New Roman" w:eastAsia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55,2  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55,2</w:t>
            </w:r>
            <w:r>
              <w:rPr>
                <w:rFonts w:ascii="Times New Roman" w:hAnsi="Times New Roman"/>
                <w:color w:val="000000"/>
              </w:rPr>
              <w:t xml:space="preserve">   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55,2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</w:rPr>
            </w:pPr>
            <w:r>
              <w:rPr>
                <w:rFonts w:ascii="Times New Roman" w:hAnsi="Times New Roman" w:eastAsia="Times New Roman"/>
                <w:spacing w:val="1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</w:rPr>
            </w:r>
            <w:r>
              <w:rPr>
                <w:rFonts w:ascii="Times New Roman" w:hAnsi="Times New Roman"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165,6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55,2   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55,2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55,2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Обеспечение функционирования МКУ «ЕДДС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56434,0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19624,9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18398,3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18410,8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24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56434,0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19624,9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18398,3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18410,8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val="en-US"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58799,6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20480,1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19153,5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166,0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8799,6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20480,1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153,5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166,0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59299,6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20780,1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253,5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266,0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59299,6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20780,1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253,5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266,0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08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spacing w:after="0" w:line="274" w:lineRule="exact"/>
        <w:shd w:val="clear" w:color="auto" w:fill="ffffff"/>
        <w:rPr>
          <w:rFonts w:ascii="Times New Roman" w:hAnsi="Times New Roman" w:eastAsia="Times New Roman"/>
          <w:color w:val="ff0000"/>
          <w:spacing w:val="1"/>
          <w:lang w:eastAsia="ru-RU"/>
        </w:rPr>
        <w:sectPr>
          <w:footnotePr/>
          <w:endnotePr/>
          <w:type w:val="nextPage"/>
          <w:pgSz w:w="16838" w:h="11905" w:orient="landscape"/>
          <w:pgMar w:top="1134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color w:val="ff0000"/>
          <w:spacing w:val="1"/>
          <w:lang w:eastAsia="ru-RU"/>
        </w:rPr>
      </w:r>
      <w:r>
        <w:rPr>
          <w:rFonts w:ascii="Times New Roman" w:hAnsi="Times New Roman" w:eastAsia="Times New Roman"/>
          <w:color w:val="ff0000"/>
          <w:spacing w:val="1"/>
          <w:lang w:eastAsia="ru-RU"/>
        </w:rPr>
      </w:r>
      <w:r>
        <w:rPr>
          <w:rFonts w:ascii="Times New Roman" w:hAnsi="Times New Roman" w:eastAsia="Times New Roman"/>
          <w:color w:val="ff0000"/>
          <w:spacing w:val="1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3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right"/>
        <w:spacing w:after="0" w:line="274" w:lineRule="exact"/>
        <w:shd w:val="clear" w:color="auto" w:fill="ffffff"/>
        <w:rPr>
          <w:rFonts w:ascii="Times New Roman" w:hAnsi="Times New Roman" w:eastAsia="Times New Roman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</w:r>
    </w:p>
    <w:tbl>
      <w:tblPr>
        <w:tblW w:w="1545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110"/>
        <w:gridCol w:w="1276"/>
        <w:gridCol w:w="3542"/>
        <w:gridCol w:w="714"/>
        <w:gridCol w:w="992"/>
        <w:gridCol w:w="993"/>
        <w:gridCol w:w="992"/>
        <w:gridCol w:w="1984"/>
      </w:tblGrid>
      <w:tr>
        <w:tblPrEx/>
        <w:trPr/>
        <w:tc>
          <w:tcPr>
            <w:shd w:val="clear" w:color="auto" w:fill="auto"/>
            <w:tcW w:w="8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исполнения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показателя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3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Цель: Обеспечение защиты населения и территорий от чрезвычайных ситуаций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Доля обученного населения действиям при ГО и ЧС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установленной наглядной агитации с разъяснением правил поведения граждан на водных объектах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конкурсов детского рисунка в образовательных организациях по правилам безопасного поведения на водных объектах (в т. 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конкурсов детского рисунка в образовательных организациях по правилам безопаснос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ти поведения на водных объектах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Предупреждение гибели людей и повреждения имущества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Основное мероприятие 2. Повышение готовности сил и сре</w:t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дств гр</w:t>
            </w:r>
            <w:r>
              <w:rPr>
                <w:rFonts w:ascii="Times New Roman" w:hAnsi="Times New Roman" w:eastAsia="Times New Roman"/>
                <w:b/>
                <w:spacing w:val="1"/>
                <w:sz w:val="23"/>
                <w:szCs w:val="23"/>
                <w:lang w:eastAsia="ru-RU"/>
              </w:rPr>
              <w:t xml:space="preserve">ажданской обороны, муниципального звена РСЧС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противопожарного, спасательного оборудования,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Наличие противопожарного спасательного оборудования, резервного запаса питьевой воды,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для оснащения волонтеров при тушении лесных пожаров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-камер АПК «Безопасный город»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приобретенных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и установленных сетевых </w:t>
            </w: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-камер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Поддержание в рабочем состоянии системы МАСО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Обеспечение функционирования МКУ «ЕДДС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542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1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18"/>
        <w:jc w:val="right"/>
        <w:spacing w:before="0" w:beforeAutospacing="0" w:after="0" w:afterAutospacing="0"/>
      </w:pPr>
      <w:r/>
      <w:r/>
    </w:p>
    <w:p>
      <w:pPr>
        <w:pStyle w:val="908"/>
        <w:ind w:left="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z w:val="18"/>
          <w:szCs w:val="18"/>
        </w:rPr>
        <w:sectPr>
          <w:footnotePr/>
          <w:endnotePr/>
          <w:type w:val="nextPage"/>
          <w:pgSz w:w="16838" w:h="11905" w:orient="landscape"/>
          <w:pgMar w:top="1134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4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«Противодействие терроризму и профилактика экстремизма»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935" w:type="dxa"/>
        <w:jc w:val="center"/>
        <w:tblInd w:w="88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28"/>
        <w:gridCol w:w="8107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pStyle w:val="908"/>
              <w:ind w:left="0" w:right="-22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«Обеспечение общественного порядка и безопасности населения»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2025-2027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ind w:left="34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противоэкстремистской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88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Совершенствование системы профилактики терроризма и экстремизма.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Повышение антитеррористической защищенности объектов, находящихся в собственности муниципального округа.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проведенных заседаний антитеррористической комиссии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размещенной  информации по профилактике терроризма и экстремизма в СМИ, на сайте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сайте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Информирование жителей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 о порядке действий при угрозе возникновения террористических актов, посредств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 размещения информации в СМИ, на сайте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Повышение уровня компетентности обучающихся образовательных учреждений в вопросах профилактики терроризма, экстремизма, межнациональных и межконфессиональных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конфликтов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Обеспечение проведения адресной и индивидуальной работы с лицами, прибывающими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Усиление антитеррористической защищенности объектов, находящихся в ведении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3 920,0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3660,0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pStyle w:val="972"/>
              <w:ind w:left="34"/>
              <w:jc w:val="both"/>
              <w:spacing w:after="0" w:line="240" w:lineRule="auto"/>
              <w:tabs>
                <w:tab w:val="left" w:pos="318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объектов массового пребывания граждан, соответствующих установленным нормам антитеррористической защищенности.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ГО, ЧС и ПБ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6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тдел образования,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образовательные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МАУ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08"/>
        <w:ind w:left="0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pStyle w:val="908"/>
        <w:ind w:left="0"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ff0000"/>
          <w:sz w:val="18"/>
          <w:szCs w:val="18"/>
        </w:rPr>
        <w:sectPr>
          <w:footnotePr/>
          <w:endnotePr/>
          <w:type w:val="nextPage"/>
          <w:pgSz w:w="11905" w:h="16838" w:orient="portrait"/>
          <w:pgMar w:top="993" w:right="993" w:bottom="851" w:left="1134" w:header="720" w:footer="720" w:gutter="0"/>
          <w:cols w:num="1" w:sep="0" w:space="720" w:equalWidth="1"/>
          <w:docGrid w:linePitch="360"/>
        </w:sectPr>
      </w:pPr>
      <w:r/>
      <w:bookmarkStart w:id="3" w:name="_GoBack"/>
      <w:r/>
      <w:bookmarkEnd w:id="3"/>
      <w:r>
        <w:rPr>
          <w:rFonts w:ascii="Times New Roman" w:hAnsi="Times New Roman"/>
          <w:color w:val="ff0000"/>
          <w:sz w:val="18"/>
          <w:szCs w:val="18"/>
        </w:rPr>
      </w:r>
      <w:r>
        <w:rPr>
          <w:rFonts w:ascii="Times New Roman" w:hAnsi="Times New Roman"/>
          <w:color w:val="ff0000"/>
          <w:sz w:val="18"/>
          <w:szCs w:val="18"/>
        </w:rPr>
      </w:r>
    </w:p>
    <w:tbl>
      <w:tblPr>
        <w:tblW w:w="0" w:type="auto"/>
        <w:tblInd w:w="10728" w:type="dxa"/>
        <w:tblLook w:val="01E0" w:firstRow="1" w:lastRow="1" w:firstColumn="1" w:lastColumn="1" w:noHBand="0" w:noVBand="0"/>
      </w:tblPr>
      <w:tblGrid>
        <w:gridCol w:w="3774"/>
      </w:tblGrid>
      <w:tr>
        <w:tblPrEx/>
        <w:trPr/>
        <w:tc>
          <w:tcPr>
            <w:shd w:val="clear" w:color="auto" w:fill="auto"/>
            <w:tcW w:w="3774" w:type="dxa"/>
            <w:textDirection w:val="lrTb"/>
            <w:noWrap w:val="false"/>
          </w:tcPr>
          <w:p>
            <w:pPr>
              <w:pStyle w:val="918"/>
              <w:jc w:val="center"/>
              <w:spacing w:before="0" w:beforeAutospacing="0" w:after="0" w:afterAutospacing="0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37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Таблица 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 подпрограмме 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объемом финансирования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jc w:val="center"/>
        <w:spacing w:after="0" w:line="240" w:lineRule="auto"/>
        <w:tabs>
          <w:tab w:val="left" w:pos="317" w:leader="none"/>
        </w:tabs>
        <w:rPr>
          <w:rFonts w:ascii="Times New Roman" w:hAnsi="Times New Roman"/>
          <w:color w:val="0070c0"/>
          <w:spacing w:val="1"/>
          <w:sz w:val="20"/>
          <w:szCs w:val="20"/>
        </w:rPr>
      </w:pPr>
      <w:r>
        <w:rPr>
          <w:rFonts w:ascii="Times New Roman" w:hAnsi="Times New Roman"/>
          <w:color w:val="0070c0"/>
          <w:spacing w:val="1"/>
          <w:sz w:val="20"/>
          <w:szCs w:val="20"/>
        </w:rPr>
      </w:r>
      <w:r>
        <w:rPr>
          <w:rFonts w:ascii="Times New Roman" w:hAnsi="Times New Roman"/>
          <w:color w:val="0070c0"/>
          <w:spacing w:val="1"/>
          <w:sz w:val="20"/>
          <w:szCs w:val="20"/>
        </w:rPr>
      </w:r>
      <w:r>
        <w:rPr>
          <w:rFonts w:ascii="Times New Roman" w:hAnsi="Times New Roman"/>
          <w:color w:val="0070c0"/>
          <w:spacing w:val="1"/>
          <w:sz w:val="20"/>
          <w:szCs w:val="20"/>
        </w:rPr>
      </w:r>
    </w:p>
    <w:tbl>
      <w:tblPr>
        <w:tblW w:w="1531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342"/>
        <w:gridCol w:w="1068"/>
        <w:gridCol w:w="1276"/>
        <w:gridCol w:w="1134"/>
        <w:gridCol w:w="1134"/>
        <w:gridCol w:w="1275"/>
        <w:gridCol w:w="2127"/>
      </w:tblGrid>
      <w:tr>
        <w:tblPrEx/>
        <w:trPr/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  мероприятия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Объём финансирования,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4 «Противодействие терроризму и профилактика экстремизма»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Совершенствование системы профилактических мер антитеррористической,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противоэкстремистской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антитеррористической комиссии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терроризма и экстремизма 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 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проверок объектов массового пребывания граждан на соответствие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установленным нормам антитеррористической защищенности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 Не требует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жителей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отдел образования, отдел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ПБ.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адресной и индивидуальной работы с лицами, прибывающими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ПБ;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;  отдел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359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353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03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342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353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392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9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8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567"/>
        <w:jc w:val="right"/>
        <w:spacing w:after="0" w:line="274" w:lineRule="exact"/>
        <w:shd w:val="clear" w:color="auto" w:fill="ffffff"/>
        <w:rPr>
          <w:rFonts w:ascii="Times New Roman" w:hAnsi="Times New Roman" w:eastAsia="Times New Roman"/>
          <w:color w:val="ff0000"/>
          <w:spacing w:val="1"/>
          <w:lang w:eastAsia="ru-RU"/>
        </w:rPr>
        <w:sectPr>
          <w:footnotePr/>
          <w:endnotePr/>
          <w:type w:val="nextPage"/>
          <w:pgSz w:w="16838" w:h="11905" w:orient="landscape"/>
          <w:pgMar w:top="1134" w:right="851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color w:val="ff0000"/>
          <w:spacing w:val="1"/>
          <w:lang w:eastAsia="ru-RU"/>
        </w:rPr>
      </w:r>
      <w:r>
        <w:rPr>
          <w:rFonts w:ascii="Times New Roman" w:hAnsi="Times New Roman" w:eastAsia="Times New Roman"/>
          <w:color w:val="ff0000"/>
          <w:spacing w:val="1"/>
          <w:lang w:eastAsia="ru-RU"/>
        </w:rPr>
      </w:r>
      <w:r>
        <w:rPr>
          <w:rFonts w:ascii="Times New Roman" w:hAnsi="Times New Roman" w:eastAsia="Times New Roman"/>
          <w:color w:val="ff0000"/>
          <w:spacing w:val="1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4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531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1275"/>
        <w:gridCol w:w="3828"/>
        <w:gridCol w:w="708"/>
        <w:gridCol w:w="993"/>
        <w:gridCol w:w="992"/>
        <w:gridCol w:w="992"/>
        <w:gridCol w:w="1985"/>
      </w:tblGrid>
      <w:tr>
        <w:tblPrEx/>
        <w:trPr/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исполнения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показателя</w:t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/>
                <w:vertAlign w:val="superscript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Показатели результативности выполнения мероприятий           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val="en-US"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right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Подпрограмма 4 «Противодействие терроризму и профилактика экстремизма»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Цель: Совершенствование системы профилактических мер антитеррористической,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противоэкстремистской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trike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деятельности антитеррористической комиссии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заседаний антитеррористической комиссии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Мониторинг политических, социально-экономических и иных процессов, оказывающих влияние на ситуацию в области противодействия терроризму на территории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жителей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Информирование жителей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                          МАУ «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ПБ, отдел образования, отдел 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Повышение уровня компетентности обучающихся образовательных организаций в вопросах профилактики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Количество проведенных занятий с муниципальными служащими, 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Проведение адресной и индивидуальной работы с лицами, прибывающими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Обеспечение проведения адресной и индивидуальной работы с лицами, прибывающими в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both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Основное мероприятие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Усиление антитеррористической защищенности объектов, находящихся в ведении 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  <w:t xml:space="preserve">тдел образования</w:t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tabs>
          <w:tab w:val="left" w:pos="284" w:leader="none"/>
        </w:tabs>
        <w:rPr>
          <w:rFonts w:ascii="Times New Roman" w:hAnsi="Times New Roman"/>
          <w:b/>
          <w:color w:val="ff000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4" w:right="851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color w:val="ff0000"/>
          <w:sz w:val="24"/>
          <w:szCs w:val="24"/>
        </w:rPr>
      </w:r>
      <w:r>
        <w:rPr>
          <w:rFonts w:ascii="Times New Roman" w:hAnsi="Times New Roman"/>
          <w:b/>
          <w:color w:val="ff0000"/>
          <w:sz w:val="24"/>
          <w:szCs w:val="24"/>
        </w:rPr>
      </w:r>
      <w:r>
        <w:rPr>
          <w:rFonts w:ascii="Times New Roman" w:hAnsi="Times New Roman"/>
          <w:b/>
          <w:color w:val="ff0000"/>
          <w:sz w:val="24"/>
          <w:szCs w:val="24"/>
        </w:rPr>
      </w:r>
    </w:p>
    <w:p>
      <w:r/>
    </w:p>
    <w:sectPr>
      <w:footnotePr/>
      <w:endnotePr/>
      <w:type w:val="nextPage"/>
      <w:pgSz w:w="11905" w:h="16838" w:orient="portrait"/>
      <w:pgMar w:top="851" w:right="1134" w:bottom="1276" w:left="1559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720" w:hanging="360"/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27"/>
  </w:num>
  <w:num w:numId="4">
    <w:abstractNumId w:val="19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16"/>
  </w:num>
  <w:num w:numId="10">
    <w:abstractNumId w:val="15"/>
  </w:num>
  <w:num w:numId="11">
    <w:abstractNumId w:val="9"/>
  </w:num>
  <w:num w:numId="12">
    <w:abstractNumId w:val="34"/>
  </w:num>
  <w:num w:numId="13">
    <w:abstractNumId w:val="12"/>
  </w:num>
  <w:num w:numId="14">
    <w:abstractNumId w:val="24"/>
  </w:num>
  <w:num w:numId="15">
    <w:abstractNumId w:val="29"/>
  </w:num>
  <w:num w:numId="16">
    <w:abstractNumId w:val="17"/>
  </w:num>
  <w:num w:numId="17">
    <w:abstractNumId w:val="30"/>
  </w:num>
  <w:num w:numId="18">
    <w:abstractNumId w:val="31"/>
  </w:num>
  <w:num w:numId="19">
    <w:abstractNumId w:val="33"/>
  </w:num>
  <w:num w:numId="20">
    <w:abstractNumId w:val="5"/>
  </w:num>
  <w:num w:numId="21">
    <w:abstractNumId w:val="3"/>
  </w:num>
  <w:num w:numId="22">
    <w:abstractNumId w:val="14"/>
  </w:num>
  <w:num w:numId="23">
    <w:abstractNumId w:val="22"/>
  </w:num>
  <w:num w:numId="24">
    <w:abstractNumId w:val="25"/>
  </w:num>
  <w:num w:numId="25">
    <w:abstractNumId w:val="0"/>
  </w:num>
  <w:num w:numId="26">
    <w:abstractNumId w:val="20"/>
  </w:num>
  <w:num w:numId="27">
    <w:abstractNumId w:val="26"/>
  </w:num>
  <w:num w:numId="28">
    <w:abstractNumId w:val="28"/>
  </w:num>
  <w:num w:numId="29">
    <w:abstractNumId w:val="11"/>
  </w:num>
  <w:num w:numId="30">
    <w:abstractNumId w:val="2"/>
  </w:num>
  <w:num w:numId="31">
    <w:abstractNumId w:val="13"/>
  </w:num>
  <w:num w:numId="32">
    <w:abstractNumId w:val="4"/>
  </w:num>
  <w:num w:numId="33">
    <w:abstractNumId w:val="35"/>
  </w:num>
  <w:num w:numId="34">
    <w:abstractNumId w:val="7"/>
  </w:num>
  <w:num w:numId="35">
    <w:abstractNumId w:val="10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898"/>
    <w:link w:val="895"/>
    <w:uiPriority w:val="9"/>
    <w:rPr>
      <w:rFonts w:ascii="Arial" w:hAnsi="Arial" w:eastAsia="Arial" w:cs="Arial"/>
      <w:sz w:val="40"/>
      <w:szCs w:val="40"/>
    </w:rPr>
  </w:style>
  <w:style w:type="character" w:styleId="727">
    <w:name w:val="Heading 2 Char"/>
    <w:basedOn w:val="898"/>
    <w:link w:val="896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898"/>
    <w:link w:val="897"/>
    <w:uiPriority w:val="9"/>
    <w:rPr>
      <w:rFonts w:ascii="Arial" w:hAnsi="Arial" w:eastAsia="Arial" w:cs="Arial"/>
      <w:sz w:val="30"/>
      <w:szCs w:val="30"/>
    </w:rPr>
  </w:style>
  <w:style w:type="paragraph" w:styleId="729">
    <w:name w:val="Heading 4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>
    <w:name w:val="Heading 4 Char"/>
    <w:basedOn w:val="898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>
    <w:name w:val="Heading 5 Char"/>
    <w:basedOn w:val="898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6 Char"/>
    <w:basedOn w:val="898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>
    <w:name w:val="Heading 7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7 Char"/>
    <w:basedOn w:val="898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>
    <w:name w:val="Heading 8"/>
    <w:basedOn w:val="894"/>
    <w:next w:val="894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>
    <w:name w:val="Heading 8 Char"/>
    <w:basedOn w:val="898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894"/>
    <w:next w:val="894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>
    <w:name w:val="Heading 9 Char"/>
    <w:basedOn w:val="898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Title"/>
    <w:basedOn w:val="894"/>
    <w:next w:val="894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>
    <w:name w:val="Title Char"/>
    <w:basedOn w:val="898"/>
    <w:link w:val="741"/>
    <w:uiPriority w:val="10"/>
    <w:rPr>
      <w:sz w:val="48"/>
      <w:szCs w:val="48"/>
    </w:rPr>
  </w:style>
  <w:style w:type="paragraph" w:styleId="743">
    <w:name w:val="Subtitle"/>
    <w:basedOn w:val="894"/>
    <w:next w:val="894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>
    <w:name w:val="Subtitle Char"/>
    <w:basedOn w:val="898"/>
    <w:link w:val="743"/>
    <w:uiPriority w:val="11"/>
    <w:rPr>
      <w:sz w:val="24"/>
      <w:szCs w:val="24"/>
    </w:rPr>
  </w:style>
  <w:style w:type="paragraph" w:styleId="745">
    <w:name w:val="Quote"/>
    <w:basedOn w:val="894"/>
    <w:next w:val="894"/>
    <w:link w:val="746"/>
    <w:uiPriority w:val="29"/>
    <w:qFormat/>
    <w:pPr>
      <w:ind w:left="720" w:right="720"/>
    </w:pPr>
    <w:rPr>
      <w:i/>
    </w:rPr>
  </w:style>
  <w:style w:type="character" w:styleId="746">
    <w:name w:val="Quote Char"/>
    <w:link w:val="745"/>
    <w:uiPriority w:val="29"/>
    <w:rPr>
      <w:i/>
    </w:rPr>
  </w:style>
  <w:style w:type="paragraph" w:styleId="747">
    <w:name w:val="Intense Quote"/>
    <w:basedOn w:val="894"/>
    <w:next w:val="894"/>
    <w:link w:val="74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>
    <w:name w:val="Intense Quote Char"/>
    <w:link w:val="747"/>
    <w:uiPriority w:val="30"/>
    <w:rPr>
      <w:i/>
    </w:rPr>
  </w:style>
  <w:style w:type="character" w:styleId="749">
    <w:name w:val="Header Char"/>
    <w:basedOn w:val="898"/>
    <w:link w:val="927"/>
    <w:uiPriority w:val="99"/>
  </w:style>
  <w:style w:type="character" w:styleId="750">
    <w:name w:val="Footer Char"/>
    <w:basedOn w:val="898"/>
    <w:link w:val="913"/>
    <w:uiPriority w:val="99"/>
  </w:style>
  <w:style w:type="character" w:styleId="751">
    <w:name w:val="Caption Char"/>
    <w:basedOn w:val="944"/>
    <w:link w:val="913"/>
    <w:uiPriority w:val="99"/>
  </w:style>
  <w:style w:type="table" w:styleId="752">
    <w:name w:val="Table Grid Light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7">
    <w:name w:val="footnote text"/>
    <w:basedOn w:val="894"/>
    <w:link w:val="878"/>
    <w:uiPriority w:val="99"/>
    <w:semiHidden/>
    <w:unhideWhenUsed/>
    <w:pPr>
      <w:spacing w:after="40" w:line="240" w:lineRule="auto"/>
    </w:pPr>
    <w:rPr>
      <w:sz w:val="18"/>
    </w:rPr>
  </w:style>
  <w:style w:type="character" w:styleId="878">
    <w:name w:val="Footnote Text Char"/>
    <w:link w:val="877"/>
    <w:uiPriority w:val="99"/>
    <w:rPr>
      <w:sz w:val="18"/>
    </w:rPr>
  </w:style>
  <w:style w:type="character" w:styleId="879">
    <w:name w:val="footnote reference"/>
    <w:basedOn w:val="898"/>
    <w:uiPriority w:val="99"/>
    <w:unhideWhenUsed/>
    <w:rPr>
      <w:vertAlign w:val="superscript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898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95">
    <w:name w:val="Heading 1"/>
    <w:basedOn w:val="894"/>
    <w:link w:val="92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96">
    <w:name w:val="Heading 2"/>
    <w:basedOn w:val="894"/>
    <w:next w:val="894"/>
    <w:link w:val="922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97">
    <w:name w:val="Heading 3"/>
    <w:basedOn w:val="894"/>
    <w:next w:val="894"/>
    <w:link w:val="923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98" w:default="1">
    <w:name w:val="Default Paragraph Font"/>
    <w:uiPriority w:val="1"/>
    <w:semiHidden/>
    <w:unhideWhenUsed/>
  </w:style>
  <w:style w:type="table" w:styleId="8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0" w:default="1">
    <w:name w:val="No List"/>
    <w:uiPriority w:val="99"/>
    <w:semiHidden/>
    <w:unhideWhenUsed/>
  </w:style>
  <w:style w:type="paragraph" w:styleId="901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02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03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5" w:customStyle="1">
    <w:name w:val="МОН Знак"/>
    <w:link w:val="906"/>
    <w:rPr>
      <w:sz w:val="24"/>
      <w:szCs w:val="24"/>
    </w:rPr>
  </w:style>
  <w:style w:type="paragraph" w:styleId="906" w:customStyle="1">
    <w:name w:val="МОН"/>
    <w:basedOn w:val="894"/>
    <w:link w:val="905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7">
    <w:name w:val="Strong"/>
    <w:qFormat/>
    <w:rPr>
      <w:b/>
      <w:bCs/>
    </w:rPr>
  </w:style>
  <w:style w:type="paragraph" w:styleId="908">
    <w:name w:val="List Paragraph"/>
    <w:basedOn w:val="894"/>
    <w:uiPriority w:val="99"/>
    <w:qFormat/>
    <w:pPr>
      <w:contextualSpacing/>
      <w:ind w:left="720"/>
    </w:pPr>
  </w:style>
  <w:style w:type="character" w:styleId="909" w:customStyle="1">
    <w:name w:val="Основной текст_"/>
    <w:link w:val="910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10" w:customStyle="1">
    <w:name w:val="Основной текст2"/>
    <w:basedOn w:val="894"/>
    <w:link w:val="909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11">
    <w:name w:val="Body Text 2"/>
    <w:basedOn w:val="894"/>
    <w:link w:val="912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12" w:customStyle="1">
    <w:name w:val="Основной текст 2 Знак"/>
    <w:link w:val="911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13">
    <w:name w:val="Footer"/>
    <w:basedOn w:val="894"/>
    <w:link w:val="91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4" w:customStyle="1">
    <w:name w:val="Нижний колонтитул Знак"/>
    <w:link w:val="913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6" w:customStyle="1">
    <w:name w:val="32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8">
    <w:name w:val="Normal (Web)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9">
    <w:name w:val="Body Text Indent"/>
    <w:basedOn w:val="894"/>
    <w:link w:val="920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20" w:customStyle="1">
    <w:name w:val="Основной текст с отступом Знак"/>
    <w:link w:val="919"/>
    <w:rPr>
      <w:rFonts w:ascii="Times New Roman" w:hAnsi="Times New Roman" w:eastAsia="Times New Roman" w:cs="Times New Roman"/>
      <w:sz w:val="24"/>
      <w:szCs w:val="24"/>
    </w:rPr>
  </w:style>
  <w:style w:type="character" w:styleId="921" w:customStyle="1">
    <w:name w:val="Заголовок 1 Знак"/>
    <w:link w:val="89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22" w:customStyle="1">
    <w:name w:val="Заголовок 2 Знак"/>
    <w:link w:val="896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23" w:customStyle="1">
    <w:name w:val="Заголовок 3 Знак"/>
    <w:link w:val="897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4">
    <w:name w:val="Table Grid"/>
    <w:basedOn w:val="899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5">
    <w:name w:val="Balloon Text"/>
    <w:basedOn w:val="894"/>
    <w:link w:val="926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6" w:customStyle="1">
    <w:name w:val="Текст выноски Знак"/>
    <w:link w:val="925"/>
    <w:rPr>
      <w:rFonts w:ascii="Tahoma" w:hAnsi="Tahoma" w:eastAsia="Times New Roman" w:cs="Tahoma"/>
      <w:sz w:val="16"/>
      <w:szCs w:val="16"/>
      <w:lang w:eastAsia="ru-RU"/>
    </w:rPr>
  </w:style>
  <w:style w:type="paragraph" w:styleId="927">
    <w:name w:val="Header"/>
    <w:basedOn w:val="894"/>
    <w:link w:val="928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8" w:customStyle="1">
    <w:name w:val="Верхний колонтитул Знак"/>
    <w:link w:val="92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9">
    <w:name w:val="Emphasis"/>
    <w:qFormat/>
    <w:rPr>
      <w:i/>
      <w:iCs/>
    </w:rPr>
  </w:style>
  <w:style w:type="paragraph" w:styleId="930" w:customStyle="1">
    <w:name w:val="Содержимое таблицы"/>
    <w:basedOn w:val="894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31" w:customStyle="1">
    <w:name w:val="consplusnormal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a2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15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 w:customStyle="1">
    <w:name w:val="h1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6" w:customStyle="1">
    <w:name w:val="msonospacing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7" w:customStyle="1">
    <w:name w:val="ac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8">
    <w:name w:val="Body Text 3"/>
    <w:basedOn w:val="894"/>
    <w:link w:val="93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Основной текст 3 Знак"/>
    <w:link w:val="93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>
    <w:name w:val="HTML Bottom of Form"/>
    <w:basedOn w:val="894"/>
    <w:next w:val="894"/>
    <w:link w:val="941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41" w:customStyle="1">
    <w:name w:val="z-Конец формы Знак"/>
    <w:link w:val="940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42" w:customStyle="1">
    <w:name w:val="Style16"/>
    <w:basedOn w:val="894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4">
    <w:name w:val="Caption"/>
    <w:basedOn w:val="894"/>
    <w:next w:val="894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5">
    <w:name w:val="Body Text"/>
    <w:basedOn w:val="894"/>
    <w:link w:val="946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6" w:customStyle="1">
    <w:name w:val="Основной текст Знак"/>
    <w:link w:val="94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7">
    <w:name w:val="Body Text Indent 2"/>
    <w:basedOn w:val="894"/>
    <w:link w:val="948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8" w:customStyle="1">
    <w:name w:val="Основной текст с отступом 2 Знак"/>
    <w:link w:val="94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Заголовок №2_"/>
    <w:link w:val="950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50" w:customStyle="1">
    <w:name w:val="Заголовок №2"/>
    <w:basedOn w:val="894"/>
    <w:link w:val="949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51">
    <w:name w:val="No Spacing"/>
    <w:uiPriority w:val="1"/>
    <w:qFormat/>
    <w:rPr>
      <w:sz w:val="22"/>
      <w:szCs w:val="22"/>
      <w:lang w:eastAsia="en-US"/>
    </w:rPr>
  </w:style>
  <w:style w:type="paragraph" w:styleId="952" w:customStyle="1">
    <w:name w:val="Default"/>
    <w:rPr>
      <w:rFonts w:ascii="Arial" w:hAnsi="Arial" w:cs="Arial"/>
      <w:color w:val="000000"/>
      <w:sz w:val="24"/>
      <w:szCs w:val="24"/>
    </w:rPr>
  </w:style>
  <w:style w:type="paragraph" w:styleId="953" w:customStyle="1">
    <w:name w:val="msonormalcxspmiddle"/>
    <w:basedOn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4" w:customStyle="1">
    <w:name w:val="Нет списка1"/>
    <w:next w:val="900"/>
    <w:semiHidden/>
    <w:unhideWhenUsed/>
  </w:style>
  <w:style w:type="table" w:styleId="955" w:customStyle="1">
    <w:name w:val="Сетка таблицы1"/>
    <w:basedOn w:val="899"/>
    <w:next w:val="92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6" w:customStyle="1">
    <w:name w:val="Абзац списка1"/>
    <w:basedOn w:val="894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7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60" w:customStyle="1">
    <w:name w:val="Обычный (веб)18"/>
    <w:basedOn w:val="894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61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 w:customStyle="1">
    <w:name w:val="Знак Знак2 Знак Знак Знак Знак Знак Знак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4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5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6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>
    <w:name w:val="Body Text Indent 3"/>
    <w:basedOn w:val="894"/>
    <w:link w:val="96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8" w:customStyle="1">
    <w:name w:val="Основной текст с отступом 3 Знак"/>
    <w:link w:val="967"/>
    <w:uiPriority w:val="99"/>
    <w:semiHidden/>
    <w:rPr>
      <w:sz w:val="16"/>
      <w:szCs w:val="16"/>
    </w:rPr>
  </w:style>
  <w:style w:type="paragraph" w:styleId="969" w:customStyle="1">
    <w:name w:val="1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0">
    <w:name w:val="Hyperlink"/>
    <w:rPr>
      <w:strike w:val="0"/>
      <w:color w:val="808080"/>
      <w:u w:val="none"/>
    </w:rPr>
  </w:style>
  <w:style w:type="character" w:styleId="971" w:customStyle="1">
    <w:name w:val="blk"/>
  </w:style>
  <w:style w:type="paragraph" w:styleId="972" w:customStyle="1">
    <w:name w:val="Абзац списка2"/>
    <w:basedOn w:val="894"/>
    <w:pPr>
      <w:ind w:left="720"/>
    </w:pPr>
    <w:rPr>
      <w:rFonts w:cs="Calibri"/>
    </w:rPr>
  </w:style>
  <w:style w:type="paragraph" w:styleId="973" w:customStyle="1">
    <w:name w:val="Знак Знак2"/>
    <w:basedOn w:val="89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1A24FC3C11285B300782E9CB0329188EEB82E12BE48E108548ED697E4802E167A8C83577FDCC22743007781EF0z4x8I" TargetMode="External"/><Relationship Id="rId12" Type="http://schemas.openxmlformats.org/officeDocument/2006/relationships/hyperlink" Target="consultantplus://offline/ref=1A24FC3C11285B300782E9CB0329188EEB82E12BE484108548ED697E4802E167A8C83577FDCC22743007781EF0z4x8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D738F-DC41-4C1D-994A-37932582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Обадина Анна Владимировна</dc:creator>
  <cp:revision>5</cp:revision>
  <dcterms:created xsi:type="dcterms:W3CDTF">2024-11-06T11:26:00Z</dcterms:created>
  <dcterms:modified xsi:type="dcterms:W3CDTF">2024-11-08T08:09:47Z</dcterms:modified>
</cp:coreProperties>
</file>