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01.11.2024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№ 1713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Об утверждении муниципальной программы 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«Э</w:t>
      </w:r>
      <w:r>
        <w:rPr>
          <w:rFonts w:ascii="Times New Roman" w:hAnsi="Times New Roman" w:eastAsia="TimesNewRomanPSMT" w:cs="Times New Roman"/>
          <w:b/>
          <w:bCs/>
          <w:sz w:val="20"/>
          <w:szCs w:val="20"/>
        </w:rPr>
        <w:t xml:space="preserve">кономический потенциал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5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-202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7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Руководствуясь</w:t>
      </w:r>
      <w:r>
        <w:rPr>
          <w:rFonts w:ascii="Times New Roman" w:hAnsi="Times New Roman" w:cs="Times New Roman"/>
          <w:sz w:val="24"/>
          <w:szCs w:val="24"/>
        </w:rPr>
        <w:t xml:space="preserve"> Федеральными законами от 06.10.2003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от 24.07.2007 № 209-ФЗ «О развитии малого </w:t>
      </w:r>
      <w:r>
        <w:rPr>
          <w:rFonts w:ascii="Times New Roman" w:hAnsi="Times New Roman" w:cs="Times New Roman"/>
          <w:sz w:val="24"/>
          <w:szCs w:val="24"/>
        </w:rPr>
        <w:t xml:space="preserve">и среднего </w:t>
      </w:r>
      <w:r>
        <w:rPr>
          <w:rFonts w:ascii="Times New Roman" w:hAnsi="Times New Roman" w:cs="Times New Roman"/>
          <w:sz w:val="24"/>
          <w:szCs w:val="24"/>
        </w:rPr>
        <w:t xml:space="preserve">предпринимательства в Российской Федерации», Законом Мурманской области от 27.05.2008 № 977-01-ЗМО «О содействии развитию и государственной поддержке малого и среднего предпринимательства в Мурманской области»,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Порядком разработки, реализации и оценки эффективности муниципальных программ Печенгского муниципального округа, утвержденн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постановлением администрации Печенгского муниципального округа от 16.08.2021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 838,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целях улучшения инвестиционного и предпринимательского климата, развития туризма в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Печенгском муниципальном округе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Утвердить муниципальную программу Печенгского муниципального округа «Экономический потенциал» на 202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-202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программа)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согласно приложению.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с 01 января 202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года.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Lucida Sans Unicode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4.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Печенгского муниципального округа по экономике и финансам Ахметову М.Ю.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Lucida Sans Unicode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Чупина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Н.В.,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62041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дминистрации Печенгск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3261" w:leader="none"/>
          <w:tab w:val="left" w:pos="6521" w:leader="none"/>
          <w:tab w:val="left" w:pos="1162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01.11.2024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 1713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NewRomanPSMT" w:cs="Times New Roman"/>
          <w:bCs/>
          <w:color w:val="0070c0"/>
          <w:sz w:val="20"/>
          <w:szCs w:val="20"/>
        </w:rPr>
      </w:pPr>
      <w:r>
        <w:rPr>
          <w:rFonts w:ascii="Times New Roman" w:hAnsi="Times New Roman" w:eastAsia="TimesNewRomanPSMT" w:cs="Times New Roman"/>
          <w:bCs/>
          <w:color w:val="0070c0"/>
          <w:sz w:val="20"/>
          <w:szCs w:val="20"/>
        </w:rPr>
      </w:r>
      <w:r>
        <w:rPr>
          <w:rFonts w:ascii="Times New Roman" w:hAnsi="Times New Roman" w:eastAsia="TimesNewRomanPSMT" w:cs="Times New Roman"/>
          <w:bCs/>
          <w:color w:val="0070c0"/>
          <w:sz w:val="20"/>
          <w:szCs w:val="20"/>
        </w:rPr>
      </w:r>
      <w:r>
        <w:rPr>
          <w:rFonts w:ascii="Times New Roman" w:hAnsi="Times New Roman" w:eastAsia="TimesNewRomanPSMT" w:cs="Times New Roman"/>
          <w:bCs/>
          <w:color w:val="0070c0"/>
          <w:sz w:val="20"/>
          <w:szCs w:val="20"/>
        </w:rPr>
      </w:r>
    </w:p>
    <w:p>
      <w:pPr>
        <w:jc w:val="center"/>
        <w:spacing w:after="0" w:line="240" w:lineRule="auto"/>
        <w:rPr>
          <w:rFonts w:ascii="Times New Roman" w:hAnsi="Times New Roman" w:eastAsia="TimesNewRomanPSMT" w:cs="Times New Roman"/>
          <w:b/>
          <w:bCs/>
          <w:sz w:val="24"/>
          <w:szCs w:val="24"/>
        </w:rPr>
      </w:pP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NewRomanPSMT" w:cs="Times New Roman"/>
          <w:b/>
          <w:bCs/>
          <w:sz w:val="24"/>
          <w:szCs w:val="24"/>
        </w:rPr>
      </w:pPr>
      <w:r>
        <w:rPr>
          <w:rFonts w:ascii="Times New Roman" w:hAnsi="Times New Roman" w:eastAsia="TimesNewRomanPSMT" w:cs="Times New Roman"/>
          <w:b/>
          <w:bCs/>
          <w:sz w:val="24"/>
          <w:szCs w:val="24"/>
        </w:rPr>
        <w:t xml:space="preserve">МУНИЦИПАЛЬНАЯ ПРОГРАММА </w:t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NewRomanPSMT" w:cs="Times New Roman"/>
          <w:b/>
          <w:bCs/>
          <w:sz w:val="24"/>
          <w:szCs w:val="24"/>
        </w:rPr>
      </w:pPr>
      <w:r>
        <w:rPr>
          <w:rFonts w:ascii="Times New Roman" w:hAnsi="Times New Roman" w:eastAsia="TimesNewRomanPSMT" w:cs="Times New Roman"/>
          <w:b/>
          <w:bCs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NewRomanPSMT" w:cs="Times New Roman"/>
          <w:b/>
          <w:sz w:val="24"/>
          <w:szCs w:val="24"/>
        </w:rPr>
      </w:pPr>
      <w:r>
        <w:rPr>
          <w:rFonts w:ascii="Times New Roman" w:hAnsi="Times New Roman" w:eastAsia="TimesNewRomanPSMT" w:cs="Times New Roman"/>
          <w:b/>
          <w:sz w:val="24"/>
          <w:szCs w:val="24"/>
        </w:rPr>
        <w:t xml:space="preserve">«</w:t>
      </w:r>
      <w:r>
        <w:rPr>
          <w:rFonts w:ascii="Times New Roman" w:hAnsi="Times New Roman" w:eastAsia="TimesNewRomanPSMT" w:cs="Times New Roman"/>
          <w:b/>
          <w:sz w:val="24"/>
          <w:szCs w:val="24"/>
        </w:rPr>
        <w:t xml:space="preserve">Э</w:t>
      </w:r>
      <w:r>
        <w:rPr>
          <w:rFonts w:ascii="Times New Roman" w:hAnsi="Times New Roman" w:eastAsia="TimesNewRomanPSMT" w:cs="Times New Roman"/>
          <w:b/>
          <w:sz w:val="24"/>
          <w:szCs w:val="24"/>
        </w:rPr>
        <w:t xml:space="preserve">кономическ</w:t>
      </w:r>
      <w:r>
        <w:rPr>
          <w:rFonts w:ascii="Times New Roman" w:hAnsi="Times New Roman" w:eastAsia="TimesNewRomanPSMT" w:cs="Times New Roman"/>
          <w:b/>
          <w:sz w:val="24"/>
          <w:szCs w:val="24"/>
        </w:rPr>
        <w:t xml:space="preserve">ий</w:t>
      </w:r>
      <w:r>
        <w:rPr>
          <w:rFonts w:ascii="Times New Roman" w:hAnsi="Times New Roman" w:eastAsia="TimesNewRomanPSMT" w:cs="Times New Roman"/>
          <w:b/>
          <w:sz w:val="24"/>
          <w:szCs w:val="24"/>
        </w:rPr>
        <w:t xml:space="preserve"> потенциал</w:t>
      </w:r>
      <w:r>
        <w:rPr>
          <w:rFonts w:ascii="Times New Roman" w:hAnsi="Times New Roman" w:eastAsia="TimesNewRomanPSMT" w:cs="Times New Roman"/>
          <w:b/>
          <w:sz w:val="24"/>
          <w:szCs w:val="24"/>
        </w:rPr>
        <w:t xml:space="preserve">» </w:t>
      </w:r>
      <w:r>
        <w:rPr>
          <w:rFonts w:ascii="Times New Roman" w:hAnsi="Times New Roman" w:eastAsia="TimesNewRomanPSMT" w:cs="Times New Roman"/>
          <w:b/>
          <w:sz w:val="24"/>
          <w:szCs w:val="24"/>
        </w:rPr>
        <w:t xml:space="preserve">на 202</w:t>
      </w:r>
      <w:r>
        <w:rPr>
          <w:rFonts w:ascii="Times New Roman" w:hAnsi="Times New Roman" w:eastAsia="TimesNewRomanPSMT" w:cs="Times New Roman"/>
          <w:b/>
          <w:sz w:val="24"/>
          <w:szCs w:val="24"/>
        </w:rPr>
        <w:t xml:space="preserve">5</w:t>
      </w:r>
      <w:r>
        <w:rPr>
          <w:rFonts w:ascii="Times New Roman" w:hAnsi="Times New Roman" w:eastAsia="TimesNewRomanPSMT" w:cs="Times New Roman"/>
          <w:b/>
          <w:sz w:val="24"/>
          <w:szCs w:val="24"/>
        </w:rPr>
        <w:t xml:space="preserve">-202</w:t>
      </w:r>
      <w:r>
        <w:rPr>
          <w:rFonts w:ascii="Times New Roman" w:hAnsi="Times New Roman" w:eastAsia="TimesNewRomanPSMT" w:cs="Times New Roman"/>
          <w:b/>
          <w:sz w:val="24"/>
          <w:szCs w:val="24"/>
        </w:rPr>
        <w:t xml:space="preserve">7</w:t>
      </w:r>
      <w:r>
        <w:rPr>
          <w:rFonts w:ascii="Times New Roman" w:hAnsi="Times New Roman" w:eastAsia="TimesNewRomanPSMT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eastAsia="TimesNewRomanPSMT" w:cs="Times New Roman"/>
          <w:b/>
          <w:sz w:val="24"/>
          <w:szCs w:val="24"/>
        </w:rPr>
      </w:r>
      <w:r>
        <w:rPr>
          <w:rFonts w:ascii="Times New Roman" w:hAnsi="Times New Roman" w:eastAsia="TimesNewRomanPSMT" w:cs="Times New Roman"/>
          <w:b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eastAsia="TimesNewRomanPSMT" w:cs="Times New Roman"/>
          <w:b/>
          <w:bCs/>
          <w:sz w:val="24"/>
          <w:szCs w:val="24"/>
        </w:rPr>
      </w:pP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униципальной программы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«Экономический потенциал»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-202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color w:val="0070c0"/>
          <w:sz w:val="20"/>
          <w:szCs w:val="20"/>
        </w:rPr>
      </w:pPr>
      <w:r>
        <w:rPr>
          <w:rFonts w:ascii="Times New Roman" w:hAnsi="Times New Roman" w:cs="Times New Roman"/>
          <w:color w:val="0070c0"/>
          <w:sz w:val="20"/>
          <w:szCs w:val="20"/>
        </w:rPr>
      </w:r>
      <w:r>
        <w:rPr>
          <w:rFonts w:ascii="Times New Roman" w:hAnsi="Times New Roman" w:cs="Times New Roman"/>
          <w:color w:val="0070c0"/>
          <w:sz w:val="20"/>
          <w:szCs w:val="20"/>
        </w:rPr>
      </w:r>
      <w:r>
        <w:rPr>
          <w:rFonts w:ascii="Times New Roman" w:hAnsi="Times New Roman" w:cs="Times New Roman"/>
          <w:color w:val="0070c0"/>
          <w:sz w:val="20"/>
          <w:szCs w:val="20"/>
        </w:rPr>
      </w:r>
    </w:p>
    <w:tbl>
      <w:tblPr>
        <w:tblW w:w="9571" w:type="dxa"/>
        <w:jc w:val="center"/>
        <w:tblInd w:w="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201"/>
        <w:gridCol w:w="7370"/>
      </w:tblGrid>
      <w:tr>
        <w:tblPrEx/>
        <w:trPr>
          <w:jc w:val="center"/>
          <w:trHeight w:val="5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предпринимательской и инвестиционной активности, в том числе в сфере туризма,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округе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Задачи программы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textDirection w:val="lrTb"/>
            <w:noWrap w:val="false"/>
          </w:tcPr>
          <w:p>
            <w:pPr>
              <w:pStyle w:val="954"/>
              <w:numPr>
                <w:ilvl w:val="0"/>
                <w:numId w:val="21"/>
              </w:numPr>
              <w:ind w:left="0" w:firstLine="0"/>
              <w:jc w:val="both"/>
              <w:spacing w:after="0" w:line="240" w:lineRule="auto"/>
              <w:widowControl w:val="off"/>
              <w:tabs>
                <w:tab w:val="left" w:pos="258" w:leader="none"/>
              </w:tabs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оздание условий для повы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шения инвестиционной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привлекательности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Пе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ченгского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</w:p>
          <w:p>
            <w:pPr>
              <w:pStyle w:val="954"/>
              <w:numPr>
                <w:ilvl w:val="0"/>
                <w:numId w:val="21"/>
              </w:numPr>
              <w:ind w:left="0" w:firstLine="0"/>
              <w:jc w:val="both"/>
              <w:spacing w:after="0" w:line="240" w:lineRule="auto"/>
              <w:widowControl w:val="off"/>
              <w:tabs>
                <w:tab w:val="left" w:pos="258" w:leader="none"/>
              </w:tabs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Повышение туристской привлекательности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муниципального округа.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</w:p>
          <w:p>
            <w:pPr>
              <w:pStyle w:val="954"/>
              <w:numPr>
                <w:ilvl w:val="0"/>
                <w:numId w:val="21"/>
              </w:numPr>
              <w:ind w:left="0" w:firstLine="0"/>
              <w:jc w:val="both"/>
              <w:spacing w:after="0" w:line="240" w:lineRule="auto"/>
              <w:tabs>
                <w:tab w:val="left" w:pos="25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Создание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округа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благоприятных условий, способствующих развитию потенциала социально ориентированных некоммерческих организаций (далее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 НКО) и его эффективному использованию в решении задач социально-экономического развития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Печенгского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textDirection w:val="lrTb"/>
            <w:noWrap w:val="false"/>
          </w:tcPr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246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 недвижимости нежилого фонда, находящегося в собственности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округа, подлежащих к сдаче в аренду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субъектам малого и среднего предпринимательства (далее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246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актуализированного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перечня договоров аренды объектов недвижимости нежилого фонда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246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доли объектов, включенных в перечни муниципального имущества и предоставляемого СМСП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самозанятым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 в рамках оказания имущественной поддержки.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банка данных СМСП,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осуществляющих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общедоступной информации, необходимой для развития СМСП,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методологической помощи СМСП в целях получения финансовой поддержки и по другим актуальным вопросам.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государственных полномочий по сбору сведений для формирования и ведения торгового реестра.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проведенных мероприятий по вопросам СМСП, в том числе семинаров, тренингов, мастер-классов, конкурсов, направленных на повышение компетенции и конкурентоспособности СМСП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самозанятых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эффективности реализации мер, направленных на развитие СМСП.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38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заседаний Совета по улучшению инвестиционного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климата и развитию предпринимательства.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265" w:leader="none"/>
                <w:tab w:val="left" w:pos="38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налоговых льгот юридическим лицам и индивидуальным предпринимателям, получившим статус резидента Арктической зоны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так же юридическим лицам и индивидуальным предпринимателям, реализующим приоритетные инвестиционные проекты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265" w:leader="none"/>
                <w:tab w:val="left" w:pos="38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регулирующих коэффициентов при расчете арендной платы за земельные участки, предоставленные в аренду без проведения торгов, юридическим лицам и индивидуальным предпринимателям, реализующим приоритетные инвестиционные проекты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округа, а также юридическим лицам и индивидуальным предпринимателям, получившим статус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резидента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Арктической зоны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265" w:leader="none"/>
                <w:tab w:val="left" w:pos="38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актуализированного инвестиционного профиля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42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актуализированного инвестиционного профиля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округа, согласованного Главой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округа,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 в сети Интернет.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Наличие единого реестра туристской инфраструктуры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информационных сообщений 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грантовых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конкурсах в СМИ, социальных сетях, официальном сайте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разработанной проектной документации по проекту «Туристический кластер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муниципального округа – «Кольская сверхглубокая», «Плавильный цех», «Шахта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Каула-Котсельваара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176" w:leader="none"/>
                <w:tab w:val="left" w:pos="220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функционирующих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коллективных средств размещения (далее –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КСР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176" w:leader="none"/>
                <w:tab w:val="left" w:pos="220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Наличие реестра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местных производителей сувенирной продукции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176" w:leader="none"/>
                <w:tab w:val="left" w:pos="220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проведенных конкурсов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176" w:leader="none"/>
                <w:tab w:val="left" w:pos="220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публикаций на информационных и тематических площадках (сайты,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мессенджеры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социальные сети), официальном сайте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муниципального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0" w:firstLine="0"/>
              <w:jc w:val="both"/>
              <w:spacing w:after="0" w:line="240" w:lineRule="auto"/>
              <w:tabs>
                <w:tab w:val="left" w:pos="176" w:leader="none"/>
                <w:tab w:val="left" w:pos="220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направленных предложений о включении мероприятий в региональный реестр «51 событие».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42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мероприятий, в организации и проведении которых оказано содействие.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42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общеобразовательных организаций, участвующих в развитии школьного туризма.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42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имущественной поддержки СО НКО.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42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информационной, консультативной и организационной поддержки деятельности СО НКО.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42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реестра СО НКО - получателей поддержки.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5"/>
              </w:numPr>
              <w:ind w:left="-4" w:firstLine="0"/>
              <w:jc w:val="both"/>
              <w:spacing w:after="0" w:line="240" w:lineRule="auto"/>
              <w:tabs>
                <w:tab w:val="left" w:pos="422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мониторинга и оценки эффективности мер муниципальной поддержки СО НКО.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подпрограмм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«Повышение инвестиционной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привлекательности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азвити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туризма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округе»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 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r>
          </w:p>
        </w:tc>
      </w:tr>
      <w:tr>
        <w:tblPrEx/>
        <w:trPr>
          <w:jc w:val="center"/>
          <w:trHeight w:val="3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01" w:type="dxa"/>
            <w:textDirection w:val="lrTb"/>
            <w:noWrap w:val="false"/>
          </w:tcPr>
          <w:p>
            <w:pPr>
              <w:ind w:left="44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44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-57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textDirection w:val="lrTb"/>
            <w:noWrap w:val="false"/>
          </w:tcPr>
          <w:p>
            <w:pPr>
              <w:ind w:right="-57"/>
              <w:jc w:val="both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3 265,6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611,0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34" w:right="-57"/>
              <w:jc w:val="both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год: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530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тыс. рублей.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18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01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Справочно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объем налоговых расходов муниципального образования в рамках реализации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: 0,0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01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улучшение инвестиционного и предпринимательского климата, повышение инвестиционной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привлекательности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рост количества малых, в том числе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микропредприятий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к концу 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года до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873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единиц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ъем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инвестиций в основной капитал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исключением бюджетных средств)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расчете на 1 жителя в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ind w:left="34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величение количества функционирующих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КСР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2027 году до 15 единиц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 туристического потока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количество лиц, размещенных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КСР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округе ежегодно на 5% к уровню предыдущего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увеличение количества СО НКО, осуществляющих деятельность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округа, к 2027 году до  27 единиц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  <w:highlight w:val="yellow"/>
              </w:rPr>
            </w:r>
          </w:p>
        </w:tc>
      </w:tr>
      <w:tr>
        <w:tblPrEx/>
        <w:trPr>
          <w:jc w:val="center"/>
          <w:trHeight w:val="5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01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Печенгского муниципальног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о округа (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Отдел экономического развития администрации Печенгского муниципального округа) (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далее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ОЭР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01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сполнители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Комитет по управлению имуществом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муниципального округа Мурманской области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(далее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КУИ)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муниципального округа (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Консультант по приграничному сотрудничеству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(далее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онсультант по приграничному сотрудничеству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муниципального округа (С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ектор инвестиционной деятельности администрации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муниципального округа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(далее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ектор инвестиционной деятельности)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Отдел образования администрации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муниципального округа (далее – Отдел образования),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бюджетные общеобразовательные учреждения средние общеобразовательные школы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№№ 1, 3, 5, 7, 9, 11, 19, 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eastAsia="TimesNewRomanPSMT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(далее - МБОУ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 №№ 1, 3, 5, 7, 9, 11, 19, 23),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бюджетные общеобразовательные учреждения основные общеобразовательные школы №№ 20, 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МБОУ ООШ №№ 20, 22),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«Муниципальный методический центр»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(далее – МБУ «ММЦ»).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01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7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NewRomanPSMT" w:cs="Times New Roman"/>
                <w:sz w:val="24"/>
                <w:szCs w:val="24"/>
              </w:rPr>
            </w:pP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Автономная некоммерческая организация «Центр социальных проектов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района «Вторая школа» (далее – АНО «Центр социальных проектов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района «Вторая школа»)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954"/>
        <w:numPr>
          <w:ilvl w:val="0"/>
          <w:numId w:val="4"/>
        </w:num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Характеристика проблемы,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на решение которой направлена 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284"/>
        <w:jc w:val="center"/>
        <w:spacing w:after="0" w:line="240" w:lineRule="auto"/>
        <w:rPr>
          <w:rFonts w:ascii="Times New Roman" w:hAnsi="Times New Roman" w:cs="Times New Roman"/>
          <w:i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i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i/>
          <w:color w:val="ff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Главная стратегическая цель деятельности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NewRomanPSMT" w:cs="Times New Roman"/>
          <w:sz w:val="24"/>
          <w:szCs w:val="24"/>
        </w:rPr>
        <w:t xml:space="preserve">дминистрации </w:t>
      </w:r>
      <w:r>
        <w:rPr>
          <w:rFonts w:ascii="Times New Roman" w:hAnsi="Times New Roman" w:eastAsia="TimesNewRomanPSMT" w:cs="Times New Roman"/>
          <w:sz w:val="24"/>
          <w:szCs w:val="24"/>
        </w:rPr>
        <w:t xml:space="preserve">Печенгского муниципального округа (далее </w:t>
      </w:r>
      <w:r>
        <w:rPr>
          <w:rFonts w:ascii="Times New Roman" w:hAnsi="Times New Roman" w:eastAsia="TimesNewRomanPSMT" w:cs="Times New Roman"/>
          <w:sz w:val="24"/>
          <w:szCs w:val="24"/>
        </w:rPr>
        <w:t xml:space="preserve">-</w:t>
      </w:r>
      <w:r>
        <w:rPr>
          <w:rFonts w:ascii="Times New Roman" w:hAnsi="Times New Roman" w:eastAsia="TimesNewRomanPSMT" w:cs="Times New Roman"/>
          <w:sz w:val="24"/>
          <w:szCs w:val="24"/>
        </w:rPr>
        <w:t xml:space="preserve"> Администрация)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повышение качества жизни населения путем обеспечения жителей Печенгского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качественной социальной и инженерной инфраструктурой, повышения доступности товаров, услуг и культурно-досуговой инфраструктуры, создания комфортных условий проживания в районе Крайнего Севера.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Поэтому важнейшим приоритетом развития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>
        <w:rPr>
          <w:rFonts w:ascii="Times New Roman" w:hAnsi="Times New Roman" w:cs="Times New Roman"/>
          <w:sz w:val="24"/>
          <w:szCs w:val="24"/>
        </w:rPr>
        <w:t xml:space="preserve"> является создание сильной экономики, ориентированной на человека, на его нужды, запросы и развитие.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Территория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обладает значительным экономическим потенциалом, обусловленным географическим положением и ресурсно-сырьевыми запасами.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ый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округ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расположен в северо-западной части Кольского полуострова. На севере омывается водами Баренцева моря, на северо-западе граничит с Норвегией (губернией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Финнмарк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), а на западе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 Финляндией (губернией Лапландия). Расстояние от административного центра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округа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до международного автомобильного пункта пропуска «Борисоглебск» на российско-норвежской границе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40 км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Печенгский муниципальный округ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богат полезными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ископаемыми. Основу экономики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составляет горно-металлургический комплекс АО «Кольская горно-металлургическая компания»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самого крупного предприятия цветной металлургии Мурманск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ой области. На территории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Печенгского муниципального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имею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тся разведанные месторождения сульфидной медно-никелевой руды, песчано-гравийных смесей, щебня, строительного и облицовочного камня. Шлаковые отходы плавильного производства могут быть использованы как сырьевая база для производства абразивных материалов.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Кроме того, способствует развитию экономики наличие автотрассы федерального значения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Р-21 «Кола»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грузового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железнодорожного сообщения, наличие земельных и водных ресурсов для развития промышленности, сельского хозяйства, наличие резерва мощностей для подключения к системам электро-, тепло- и водоснабжения, водоотведения.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954"/>
        <w:contextualSpacing/>
        <w:ind w:left="0"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туризм - наиболее динамично развивающаяся отрасль экономики </w:t>
      </w:r>
      <w:r>
        <w:rPr>
          <w:rFonts w:ascii="Times New Roman" w:hAnsi="Times New Roman" w:cs="Times New Roman"/>
          <w:sz w:val="24"/>
          <w:szCs w:val="24"/>
        </w:rPr>
        <w:t xml:space="preserve">как</w:t>
      </w:r>
      <w:r>
        <w:rPr>
          <w:rFonts w:ascii="Times New Roman" w:hAnsi="Times New Roman" w:cs="Times New Roman"/>
          <w:sz w:val="24"/>
          <w:szCs w:val="24"/>
        </w:rPr>
        <w:t xml:space="preserve"> Мурманской области и в целом в Российской Федерации.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овышенное внимание </w:t>
      </w:r>
      <w:r>
        <w:rPr>
          <w:rFonts w:ascii="Times New Roman" w:hAnsi="Times New Roman" w:cs="Times New Roman"/>
          <w:sz w:val="24"/>
          <w:szCs w:val="24"/>
        </w:rPr>
        <w:t xml:space="preserve">развитию туриндустрии </w:t>
      </w:r>
      <w:r>
        <w:rPr>
          <w:rFonts w:ascii="Times New Roman" w:hAnsi="Times New Roman" w:cs="Times New Roman"/>
          <w:sz w:val="24"/>
          <w:szCs w:val="24"/>
        </w:rPr>
        <w:t xml:space="preserve">уделяется на государственном уровне.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Для экономики Печенгского муниципального округа внутренний туризм также является одним из перспективных направлений развития</w:t>
      </w:r>
      <w:r>
        <w:rPr>
          <w:rFonts w:ascii="Times New Roman" w:hAnsi="Times New Roman" w:cs="Times New Roman"/>
          <w:sz w:val="24"/>
          <w:szCs w:val="24"/>
        </w:rPr>
        <w:t xml:space="preserve">, чему способствуют имеющиеся природные и рекреационные ресурсы. </w:t>
      </w:r>
      <w:r>
        <w:rPr>
          <w:rFonts w:ascii="Times New Roman" w:hAnsi="Times New Roman" w:cs="Times New Roman"/>
          <w:sz w:val="24"/>
          <w:szCs w:val="24"/>
        </w:rPr>
        <w:t xml:space="preserve">Туристская отрасль представляет значительный интерес благодаря мультипликационному эффекту, проявляющемуся в том, что в приеме и обслуживании туристов задействованы смежные отрасли экономики, напрямую с туризмом не связанные.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 точки зрения развития туризма </w:t>
      </w:r>
      <w:r>
        <w:rPr>
          <w:rFonts w:ascii="Times New Roman" w:hAnsi="Times New Roman" w:cs="Times New Roman"/>
          <w:sz w:val="24"/>
          <w:szCs w:val="24"/>
        </w:rPr>
        <w:t xml:space="preserve">для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характерны следующие черты: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з</w:t>
      </w:r>
      <w:r>
        <w:rPr>
          <w:rFonts w:ascii="Times New Roman" w:hAnsi="Times New Roman" w:cs="Times New Roman"/>
          <w:sz w:val="24"/>
          <w:szCs w:val="24"/>
        </w:rPr>
        <w:t xml:space="preserve">начительный туристический потенциал в сочетании с низкой степенью узнаваемости, продвинутости на туристических рынках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т</w:t>
      </w:r>
      <w:r>
        <w:rPr>
          <w:rFonts w:ascii="Times New Roman" w:hAnsi="Times New Roman" w:cs="Times New Roman"/>
          <w:sz w:val="24"/>
          <w:szCs w:val="24"/>
        </w:rPr>
        <w:t xml:space="preserve">ранспортная удаленность (</w:t>
      </w:r>
      <w:r>
        <w:rPr>
          <w:rFonts w:ascii="Times New Roman" w:hAnsi="Times New Roman" w:cs="Times New Roman"/>
          <w:sz w:val="24"/>
          <w:szCs w:val="24"/>
        </w:rPr>
        <w:t xml:space="preserve">аэропорт, ж</w:t>
      </w:r>
      <w:r>
        <w:rPr>
          <w:rFonts w:ascii="Times New Roman" w:hAnsi="Times New Roman" w:cs="Times New Roman"/>
          <w:sz w:val="24"/>
          <w:szCs w:val="24"/>
        </w:rPr>
        <w:t xml:space="preserve">/д вокзал)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связанная с ней   изолированность от основного турпотока, пр</w:t>
      </w:r>
      <w:r>
        <w:rPr>
          <w:rFonts w:ascii="Times New Roman" w:hAnsi="Times New Roman" w:cs="Times New Roman"/>
          <w:sz w:val="24"/>
          <w:szCs w:val="24"/>
        </w:rPr>
        <w:t xml:space="preserve">ебывающего в Мурманскую область;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еравномерность турпотока (большое количество туристов на полуостровах Средний, Рыбачий, Немецкий и малое – в районе городов Заполярный и Нике</w:t>
      </w:r>
      <w:r>
        <w:rPr>
          <w:rFonts w:ascii="Times New Roman" w:hAnsi="Times New Roman" w:cs="Times New Roman"/>
          <w:sz w:val="24"/>
          <w:szCs w:val="24"/>
        </w:rPr>
        <w:t xml:space="preserve">ль), высокая степень сезонности;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м</w:t>
      </w:r>
      <w:r>
        <w:rPr>
          <w:rFonts w:ascii="Times New Roman" w:hAnsi="Times New Roman" w:cs="Times New Roman"/>
          <w:sz w:val="24"/>
          <w:szCs w:val="24"/>
        </w:rPr>
        <w:t xml:space="preserve">алый турпоток является сдерживающим фактором для инвесторов в туристскую инфраструктуру.</w:t>
      </w:r>
      <w:r>
        <w:rPr>
          <w:rFonts w:ascii="Times New Roman" w:hAnsi="Times New Roman" w:cs="Times New Roman"/>
          <w:sz w:val="24"/>
          <w:szCs w:val="24"/>
        </w:rPr>
        <w:t xml:space="preserve"> В свою очередь недостаточность</w:t>
      </w:r>
      <w:r>
        <w:rPr>
          <w:rFonts w:ascii="Times New Roman" w:hAnsi="Times New Roman" w:cs="Times New Roman"/>
          <w:sz w:val="24"/>
          <w:szCs w:val="24"/>
        </w:rPr>
        <w:t xml:space="preserve"> средств размещения тормозят приток туристов и возможнос</w:t>
      </w:r>
      <w:r>
        <w:rPr>
          <w:rFonts w:ascii="Times New Roman" w:hAnsi="Times New Roman" w:cs="Times New Roman"/>
          <w:sz w:val="24"/>
          <w:szCs w:val="24"/>
        </w:rPr>
        <w:t xml:space="preserve">ть развития событийного туризма;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едоработанность</w:t>
      </w:r>
      <w:r>
        <w:rPr>
          <w:rFonts w:ascii="Times New Roman" w:hAnsi="Times New Roman" w:cs="Times New Roman"/>
          <w:sz w:val="24"/>
          <w:szCs w:val="24"/>
        </w:rPr>
        <w:t xml:space="preserve">» туристских объектов.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Такие потенциально привлекательные для туристов объекты, как Кольская сверх</w:t>
      </w:r>
      <w:r>
        <w:rPr>
          <w:rFonts w:ascii="Times New Roman" w:hAnsi="Times New Roman" w:cs="Times New Roman"/>
          <w:sz w:val="24"/>
          <w:szCs w:val="24"/>
        </w:rPr>
        <w:t xml:space="preserve">г</w:t>
      </w:r>
      <w:r>
        <w:rPr>
          <w:rFonts w:ascii="Times New Roman" w:hAnsi="Times New Roman" w:cs="Times New Roman"/>
          <w:sz w:val="24"/>
          <w:szCs w:val="24"/>
        </w:rPr>
        <w:t xml:space="preserve">лубокая, </w:t>
      </w:r>
      <w:r>
        <w:rPr>
          <w:rFonts w:ascii="Times New Roman" w:hAnsi="Times New Roman" w:cs="Times New Roman"/>
          <w:sz w:val="24"/>
          <w:szCs w:val="24"/>
        </w:rPr>
        <w:t xml:space="preserve">шахта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Каула-Котсельваара</w:t>
      </w:r>
      <w:r>
        <w:rPr>
          <w:rFonts w:ascii="Times New Roman" w:hAnsi="Times New Roman" w:cs="Times New Roman"/>
          <w:sz w:val="24"/>
          <w:szCs w:val="24"/>
        </w:rPr>
        <w:t xml:space="preserve">», плавильный цех невозможно в настоящее время  включить в </w:t>
      </w:r>
      <w:r>
        <w:rPr>
          <w:rFonts w:ascii="Times New Roman" w:hAnsi="Times New Roman" w:cs="Times New Roman"/>
          <w:sz w:val="24"/>
          <w:szCs w:val="24"/>
        </w:rPr>
        <w:t xml:space="preserve">турмаршруты</w:t>
      </w:r>
      <w:r>
        <w:rPr>
          <w:rFonts w:ascii="Times New Roman" w:hAnsi="Times New Roman" w:cs="Times New Roman"/>
          <w:sz w:val="24"/>
          <w:szCs w:val="24"/>
        </w:rPr>
        <w:t xml:space="preserve">, учитывая их </w:t>
      </w:r>
      <w:r>
        <w:rPr>
          <w:rFonts w:ascii="Times New Roman" w:hAnsi="Times New Roman" w:cs="Times New Roman"/>
          <w:sz w:val="24"/>
          <w:szCs w:val="24"/>
        </w:rPr>
        <w:t xml:space="preserve">статус и физическое состояние;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аличие пограничной зоны и зоны с регламентированным </w:t>
      </w:r>
      <w:r>
        <w:rPr>
          <w:rFonts w:ascii="Times New Roman" w:hAnsi="Times New Roman" w:cs="Times New Roman"/>
          <w:sz w:val="24"/>
          <w:szCs w:val="24"/>
        </w:rPr>
        <w:t xml:space="preserve">посещением иностранных граждан;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недостато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 квалифициро</w:t>
      </w:r>
      <w:r>
        <w:rPr>
          <w:rFonts w:ascii="Times New Roman" w:hAnsi="Times New Roman" w:cs="Times New Roman"/>
          <w:sz w:val="24"/>
          <w:szCs w:val="24"/>
        </w:rPr>
        <w:t xml:space="preserve">ванных кадров в сфере туризма;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н</w:t>
      </w:r>
      <w:r>
        <w:rPr>
          <w:rFonts w:ascii="Times New Roman" w:hAnsi="Times New Roman" w:cs="Times New Roman"/>
          <w:sz w:val="24"/>
          <w:szCs w:val="24"/>
        </w:rPr>
        <w:t xml:space="preserve">есовершенства городской среды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отсутствие туристкой навигации и общественных пространств с туалетами.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Сильными сторонами и преимуществами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для развития туризма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сравнению с другими регионами России и Мурманской области </w:t>
      </w:r>
      <w:r>
        <w:rPr>
          <w:rFonts w:ascii="Times New Roman" w:hAnsi="Times New Roman" w:cs="Times New Roman"/>
          <w:sz w:val="24"/>
          <w:szCs w:val="24"/>
        </w:rPr>
        <w:t xml:space="preserve">являются: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аличие уникальных объектов туристского интереса для развития природного, индустриа</w:t>
      </w:r>
      <w:r>
        <w:rPr>
          <w:rFonts w:ascii="Times New Roman" w:hAnsi="Times New Roman" w:cs="Times New Roman"/>
          <w:sz w:val="24"/>
          <w:szCs w:val="24"/>
        </w:rPr>
        <w:t xml:space="preserve">льного и исторического туризма;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</w:t>
      </w:r>
      <w:r>
        <w:rPr>
          <w:rFonts w:ascii="Times New Roman" w:hAnsi="Times New Roman" w:cs="Times New Roman"/>
          <w:sz w:val="24"/>
          <w:szCs w:val="24"/>
        </w:rPr>
        <w:t xml:space="preserve">аличие организаций, занимающихся активной проектной и информационной деятельностью в сфере туризма (АНО «Центр социальных проектов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района «Вторая школа»</w:t>
      </w:r>
      <w:r>
        <w:rPr>
          <w:rFonts w:ascii="Times New Roman" w:hAnsi="Times New Roman" w:cs="Times New Roman"/>
          <w:sz w:val="24"/>
          <w:szCs w:val="24"/>
        </w:rPr>
        <w:t xml:space="preserve">, ФГБУ «Государственный заповедник «</w:t>
      </w:r>
      <w:r>
        <w:rPr>
          <w:rFonts w:ascii="Times New Roman" w:hAnsi="Times New Roman" w:cs="Times New Roman"/>
          <w:sz w:val="24"/>
          <w:szCs w:val="24"/>
        </w:rPr>
        <w:t xml:space="preserve">Пасвик</w:t>
      </w:r>
      <w:r>
        <w:rPr>
          <w:rFonts w:ascii="Times New Roman" w:hAnsi="Times New Roman" w:cs="Times New Roman"/>
          <w:sz w:val="24"/>
          <w:szCs w:val="24"/>
        </w:rPr>
        <w:t xml:space="preserve">», М</w:t>
      </w:r>
      <w:r>
        <w:rPr>
          <w:rFonts w:ascii="Times New Roman" w:hAnsi="Times New Roman" w:cs="Times New Roman"/>
          <w:sz w:val="24"/>
          <w:szCs w:val="24"/>
        </w:rPr>
        <w:t xml:space="preserve">Б</w:t>
      </w:r>
      <w:r>
        <w:rPr>
          <w:rFonts w:ascii="Times New Roman" w:hAnsi="Times New Roman" w:cs="Times New Roman"/>
          <w:sz w:val="24"/>
          <w:szCs w:val="24"/>
        </w:rPr>
        <w:t xml:space="preserve">У «Историко-краеведческий музей 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», фронт-офис АНО «Турист</w:t>
      </w:r>
      <w:r>
        <w:rPr>
          <w:rFonts w:ascii="Times New Roman" w:hAnsi="Times New Roman" w:cs="Times New Roman"/>
          <w:sz w:val="24"/>
          <w:szCs w:val="24"/>
        </w:rPr>
        <w:t xml:space="preserve">ский центр Мурманской области»);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</w:t>
      </w:r>
      <w:r>
        <w:rPr>
          <w:rFonts w:ascii="Times New Roman" w:hAnsi="Times New Roman" w:cs="Times New Roman"/>
          <w:sz w:val="24"/>
          <w:szCs w:val="24"/>
        </w:rPr>
        <w:t xml:space="preserve">аличие сертифи</w:t>
      </w:r>
      <w:r>
        <w:rPr>
          <w:rFonts w:ascii="Times New Roman" w:hAnsi="Times New Roman" w:cs="Times New Roman"/>
          <w:sz w:val="24"/>
          <w:szCs w:val="24"/>
        </w:rPr>
        <w:t xml:space="preserve">цированных </w:t>
      </w:r>
      <w:r>
        <w:rPr>
          <w:rFonts w:ascii="Times New Roman" w:hAnsi="Times New Roman" w:cs="Times New Roman"/>
          <w:sz w:val="24"/>
          <w:szCs w:val="24"/>
        </w:rPr>
        <w:t xml:space="preserve">туристских маршрутов;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реализация</w:t>
      </w:r>
      <w:r>
        <w:rPr>
          <w:rFonts w:ascii="Times New Roman" w:hAnsi="Times New Roman" w:cs="Times New Roman"/>
          <w:sz w:val="24"/>
          <w:szCs w:val="24"/>
        </w:rPr>
        <w:t xml:space="preserve"> программы социально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экономического развития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на 2021-2025, в которой развитие туристкой инфраструктуры за</w:t>
      </w:r>
      <w:r>
        <w:rPr>
          <w:rFonts w:ascii="Times New Roman" w:hAnsi="Times New Roman" w:cs="Times New Roman"/>
          <w:sz w:val="24"/>
          <w:szCs w:val="24"/>
        </w:rPr>
        <w:t xml:space="preserve">нимает ведущее место;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реализация мероприятий в сфере туризма, предусмотренных дополнительным соглашением № НН/1425-2019-4DS от 07.09.2023 к Соглашению о сотрудничестве между Правительством Мурманской области и ПАО «ГМК «Норильский Никель»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№ НН/1425-2019 от 17.10.2019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pStyle w:val="954"/>
        <w:contextualSpacing/>
        <w:ind w:left="0" w:firstLine="709"/>
        <w:jc w:val="both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</w:t>
      </w:r>
      <w:r>
        <w:rPr>
          <w:rFonts w:ascii="Times New Roman" w:hAnsi="Times New Roman" w:cs="Times New Roman"/>
          <w:sz w:val="24"/>
          <w:szCs w:val="24"/>
        </w:rPr>
        <w:t xml:space="preserve">яд </w:t>
      </w:r>
      <w:r>
        <w:rPr>
          <w:rFonts w:ascii="Times New Roman" w:hAnsi="Times New Roman" w:cs="Times New Roman"/>
          <w:sz w:val="24"/>
          <w:szCs w:val="24"/>
        </w:rPr>
        <w:t xml:space="preserve">реализованных проектов в сфере туризма.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Вместе с тем имеется ряд проблем, сдерживающих темпы развития территории: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негативное воздействие деятельности градообразующего предприятия на окружающую среду;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высокая степень физического износа систем тепло- и водоснабжения, канализации;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наличие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ветхого и аварийного жилья;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низкий уровень предпринимательской активности;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наличие территорий с регламентированным посещением из-за близости госграницы;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низкий уровень развития туристкой инфраструктуры;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хроническая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дотационность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местного бюджета.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Недостаточный уровень развития инвестиционной деятельности на территории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Печенгского муниципального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обусловлен наличием административных барьеров - сложностью и затянутостью административных процедур, связанных с получением </w:t>
      </w:r>
      <w:r>
        <w:rPr>
          <w:rFonts w:ascii="Times New Roman" w:hAnsi="Times New Roman" w:cs="Times New Roman"/>
          <w:sz w:val="24"/>
          <w:szCs w:val="24"/>
        </w:rPr>
        <w:t xml:space="preserve">земельного участка,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разрешений на строительство, подключением к системам энергоснабжения, а также обилием запрещающих и ограничивающих законодательных</w:t>
      </w:r>
      <w:r>
        <w:rPr>
          <w:rFonts w:ascii="Times New Roman" w:hAnsi="Times New Roman" w:cs="Times New Roman"/>
          <w:sz w:val="24"/>
          <w:szCs w:val="24"/>
        </w:rPr>
        <w:t xml:space="preserve"> норм и правил.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Кроме того,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Печенгский муниципальный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округ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является пригра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ничным регионом, значительная ча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сть земель которого находятся в ведении Министерства обороны Российской Федерации, что создает определенные трудности по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переводу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данных земель в хозяйственные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снижает привлекательность данных территорий для инвесторов.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решения части проблем на территории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внедряется механизм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-частного партнерства как инструмент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привлечения инвестиций в экономику муниципалитета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ринимаются меры по содействию развитию конкуренции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Недостаточный уровень предпринимательской активности малого и среднего бизнеса обусловлен </w:t>
      </w:r>
      <w:r>
        <w:rPr>
          <w:rFonts w:ascii="Times New Roman" w:hAnsi="Times New Roman" w:cs="Times New Roman"/>
          <w:sz w:val="24"/>
          <w:szCs w:val="24"/>
        </w:rPr>
        <w:t xml:space="preserve">снижением потребительского спроса в связи с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оттоком населения и вхождением в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Печенгский муниципальный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округ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федеральных и региональных розничных сетей, а также </w:t>
      </w:r>
      <w:r>
        <w:rPr>
          <w:rFonts w:ascii="Times New Roman" w:hAnsi="Times New Roman" w:cs="Times New Roman"/>
          <w:sz w:val="24"/>
          <w:szCs w:val="24"/>
        </w:rPr>
        <w:t xml:space="preserve">низкой доступностью финансовых ресурсов, нехваткой квалифицированных кадров.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ff0000"/>
          <w:spacing w:val="-4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Администрация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оказывает имущественную поддержку начинающим и действующим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СМСП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Перечень 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муниципального имущества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Печенгского муниципального округа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, предназначенного для передачи во владение и (или) пользование СМСП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,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приведен в 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приложении к 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подпрограмме 1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«Повышение инвестиционной привлекательности 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муниципального округа»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ff0000"/>
          <w:spacing w:val="-4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pacing w:val="-4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pacing w:val="-4"/>
          <w:sz w:val="24"/>
          <w:szCs w:val="24"/>
          <w:lang w:eastAsia="ru-RU"/>
        </w:rPr>
        <w:t xml:space="preserve">В Печенгском муниципальном округе создан 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осуществляет деятельность Совет по улучшению инвестиционного климат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 и развитию предпринимательств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 при Главе 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как диалоговая площадка по обсуждению проблем местного предпринимательства, выработке совместных действий по улучшению инвестиционного и предпринимательского климата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Осуществляется работа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постепенному внедрению Регионального инвестиционного ст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ндарта с учетом Методических рекомендаций по организации системной работы по сопровождению инвестиционных проектов муниципальными образованиями с учетом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внедрения в субъектах Российской Федерации системы поддержки новых инвестиционных проектов («Региональный инвестиционный стандарт»), утвержденный приказом Минэкономразвития России от 26.06.2023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 672.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</w:r>
      <w:r>
        <w:rPr>
          <w:rFonts w:ascii="Times New Roman" w:hAnsi="Times New Roman" w:cs="Times New Roman"/>
          <w:i/>
          <w:sz w:val="24"/>
          <w:szCs w:val="24"/>
          <w:lang w:eastAsia="ru-RU"/>
        </w:rPr>
      </w:r>
      <w:r>
        <w:rPr>
          <w:rFonts w:ascii="Times New Roman" w:hAnsi="Times New Roman" w:cs="Times New Roman"/>
          <w:i/>
          <w:sz w:val="24"/>
          <w:szCs w:val="24"/>
          <w:lang w:eastAsia="ru-RU"/>
        </w:rPr>
      </w:r>
    </w:p>
    <w:p>
      <w:pPr>
        <w:pStyle w:val="954"/>
        <w:numPr>
          <w:ilvl w:val="0"/>
          <w:numId w:val="4"/>
        </w:num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Основные цели и задачи программы с указанием сроков и этапов ее реализации, а также перечень основных мероприятий и показателей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Целью настоящей программы является </w:t>
      </w:r>
      <w:r>
        <w:rPr>
          <w:rFonts w:ascii="Times New Roman" w:hAnsi="Times New Roman" w:cs="Times New Roman"/>
          <w:sz w:val="24"/>
          <w:szCs w:val="24"/>
        </w:rPr>
        <w:t xml:space="preserve">повышение предпринимательской и инвестиционной активности, в том числе в сфере туризма,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Достижение поставленной цели будет осуществляться решением следующих задач: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954"/>
        <w:numPr>
          <w:ilvl w:val="0"/>
          <w:numId w:val="22"/>
        </w:numPr>
        <w:ind w:left="0" w:firstLine="709"/>
        <w:jc w:val="both"/>
        <w:spacing w:after="0" w:line="240" w:lineRule="auto"/>
        <w:widowControl w:val="off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оздание условий для повышения инвестиционной привлекательности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</w:p>
    <w:p>
      <w:pPr>
        <w:pStyle w:val="954"/>
        <w:numPr>
          <w:ilvl w:val="0"/>
          <w:numId w:val="22"/>
        </w:numPr>
        <w:ind w:left="0" w:firstLine="709"/>
        <w:jc w:val="both"/>
        <w:spacing w:after="0" w:line="240" w:lineRule="auto"/>
        <w:widowControl w:val="off"/>
        <w:tabs>
          <w:tab w:val="left" w:pos="258" w:leader="none"/>
          <w:tab w:val="left" w:pos="851" w:leader="none"/>
          <w:tab w:val="left" w:pos="993" w:leader="none"/>
        </w:tabs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Повышение туристской привлекательности 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 муниципального округа.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</w:p>
    <w:p>
      <w:pPr>
        <w:pStyle w:val="954"/>
        <w:numPr>
          <w:ilvl w:val="0"/>
          <w:numId w:val="22"/>
        </w:numPr>
        <w:ind w:left="0" w:firstLine="709"/>
        <w:jc w:val="both"/>
        <w:spacing w:after="0" w:line="240" w:lineRule="auto"/>
        <w:tabs>
          <w:tab w:val="left" w:pos="851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Создание на территории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 благоприятных условий, способствующих развитию потенциала СО НКО и его эффективному использованию в решении задач социально-экономического развития Печенгского муниципального округа.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Успешная реализация комплекса программных мероприятий обеспечит </w:t>
      </w:r>
      <w:r>
        <w:rPr>
          <w:rFonts w:ascii="Times New Roman" w:hAnsi="Times New Roman" w:cs="Times New Roman"/>
          <w:sz w:val="24"/>
          <w:szCs w:val="24"/>
        </w:rPr>
        <w:t xml:space="preserve">к концу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достижение следующих результатов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улучшение инвестиционного и предпринимательского климата, повышение инвестиционной привлекательности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 – рост количества малых, в том числе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микропредприятий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к концу 2027 года до 873 единиц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увеличение объема инвестиций в основной капитал (за исключением бюджетных средств) </w:t>
      </w:r>
      <w:r>
        <w:rPr>
          <w:rFonts w:ascii="Times New Roman" w:hAnsi="Times New Roman" w:cs="Times New Roman"/>
          <w:sz w:val="24"/>
          <w:szCs w:val="24"/>
        </w:rPr>
        <w:t xml:space="preserve">в расчете на 1 жителя в 2027 году до 400,2 тыс. рублей;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4"/>
        <w:ind w:left="34" w:firstLine="709"/>
        <w:jc w:val="both"/>
        <w:spacing w:after="0" w:line="240" w:lineRule="auto"/>
        <w:tabs>
          <w:tab w:val="left" w:pos="31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величение количества функционирующих коллективных средств размещения к 2027 году до 15 единиц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р</w:t>
      </w:r>
      <w:r>
        <w:rPr>
          <w:rFonts w:ascii="Times New Roman" w:hAnsi="Times New Roman" w:cs="Times New Roman"/>
          <w:sz w:val="24"/>
          <w:szCs w:val="24"/>
        </w:rPr>
        <w:t xml:space="preserve">ост туристического потока (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количество лиц, размещенных в коллективных средствах размещения)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 ежегодно на 5% к уровню предыдущего года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увеличение количества СО НКО, осуществляющих деятельность на территории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округа, к 2027 году до 27 единиц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Основные показатели эффективности реализации программы</w:t>
      </w:r>
      <w:r>
        <w:rPr>
          <w:rFonts w:ascii="Times New Roman" w:hAnsi="Times New Roman" w:cs="Times New Roman"/>
          <w:bCs/>
          <w:sz w:val="24"/>
          <w:szCs w:val="24"/>
          <w:u w:val="single"/>
        </w:rPr>
      </w:r>
      <w:r>
        <w:rPr>
          <w:rFonts w:ascii="Times New Roman" w:hAnsi="Times New Roman" w:cs="Times New Roman"/>
          <w:bCs/>
          <w:sz w:val="24"/>
          <w:szCs w:val="24"/>
          <w:u w:val="singl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  <w:u w:val="single"/>
        </w:rPr>
      </w:r>
      <w:r>
        <w:rPr>
          <w:rFonts w:ascii="Times New Roman" w:hAnsi="Times New Roman" w:cs="Times New Roman"/>
          <w:bCs/>
          <w:sz w:val="24"/>
          <w:szCs w:val="24"/>
          <w:u w:val="single"/>
        </w:rPr>
      </w:r>
      <w:r>
        <w:rPr>
          <w:rFonts w:ascii="Times New Roman" w:hAnsi="Times New Roman" w:cs="Times New Roman"/>
          <w:bCs/>
          <w:sz w:val="24"/>
          <w:szCs w:val="24"/>
          <w:u w:val="single"/>
        </w:rPr>
      </w:r>
    </w:p>
    <w:tbl>
      <w:tblPr>
        <w:tblW w:w="9640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9"/>
        <w:gridCol w:w="2111"/>
        <w:gridCol w:w="13"/>
        <w:gridCol w:w="698"/>
        <w:gridCol w:w="11"/>
        <w:gridCol w:w="979"/>
        <w:gridCol w:w="12"/>
        <w:gridCol w:w="960"/>
        <w:gridCol w:w="33"/>
        <w:gridCol w:w="851"/>
        <w:gridCol w:w="850"/>
        <w:gridCol w:w="10"/>
        <w:gridCol w:w="842"/>
        <w:gridCol w:w="1421"/>
      </w:tblGrid>
      <w:tr>
        <w:tblPrEx/>
        <w:trPr>
          <w:trHeight w:val="227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Цели, задачи, </w:t>
            </w:r>
            <w:r>
              <w:rPr>
                <w:rFonts w:ascii="Times New Roman" w:hAnsi="Times New Roman" w:cs="Times New Roman"/>
                <w:bCs/>
                <w:strike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(показатели)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Ед. изм.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Значение показателя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Источник данных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24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Отчетный год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Текущий год (оценка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)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Отчетный год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bottom w:val="none" w:color="000000" w:sz="4" w:space="0"/>
            </w:tcBorders>
            <w:tcW w:w="1421" w:type="dxa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Показател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ь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цели муниципальной программы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1.1.1.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малых, в том числе микро-предприятий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857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865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873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873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Данные Единого реестра СМСП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1.1.2.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инвестиций в основной капитал (за исключением бюджетных средств) в расчете на 1 жителя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Тыс. руб.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244,5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400,8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243,0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354,5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400,2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ОЭР, Сектора инвестиционной деятельности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1.1.3.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функционирующих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КСР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Статистическая информация № 041941119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1.1.4.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ост туристического потока (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количество лиц, размещенных в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КСР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округе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ежегодно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 уровню предыдущего 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127,3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105,0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105,0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105,0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105,0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Статистическая информация № 041941119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1.1.5.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1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СО НКО, осуществляющих деятельность на территории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Статистическая информация № 020241272, № 020241273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Показатели задач муниципальной программы (целей подпрограммы)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1 «Повышение инвестиционной привлекательности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округа»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1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недвижимости нежилого фонда, находящегося в собственности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м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униципального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круга, подлежащих к сдаче в аренду СМСП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т.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КУИ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ind w:right="33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актуализированного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перечня договоров аренды объектов недвижимости нежилого фонда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 КУИ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доли объектов, включенных в перечни муниципального имущества и предоставляемого СМСП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самозанятым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гражданам в рамках оказания имущественной поддержки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банка данных СМСП,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осуществляющих деятельность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ектора инвестиционной деятельности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общедоступной информации, необходимой для развития СМСП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официальном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сайте Печенгского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ектора инвестиционной деятельности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КУИ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методологической помощи СМСП по актуальным вопросам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ектора инвестиционной деятельности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КУИ</w:t>
            </w:r>
            <w:r/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Исполнение государственных полномочий по сбору сведений для формирования и ведения торгового реестра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ектора инвестиционной деятельности</w:t>
            </w:r>
            <w:r/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проведенных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мероприятий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вопросам СМСП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в том числе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семинаров, тренингов, мастер-классов, конкурсов, направленных на повышение компетенции и конкурентоспособности СМСП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самозанятых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граждан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ектора инвестиционной деятельности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АНО «Центр социальных проектов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района «Вторая школа»</w:t>
            </w:r>
            <w:r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анализа эффективности реализации мер, направленных на развитие СМСП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ектора инвестиционной деятельности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заседаний Совета по улучшению инвестиционного климата и развитию предпринимательства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 Главе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ектора инвестиционной деятельности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налоговых льгот юридическим лицам и индивидуальным предпринимателям, получившим статус резидента Арктической зоны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а также юридическим лицам и индивидуальным предпринимателям, реализующим приоритетные инвестиционные проекты на территории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Печенгского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ОЭР,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ектора инвестиционной деятельности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Применение регулирующих коэффициентов при расчете арендной платы за земельные участки, предоставленные в аренду без проведения торгов, юридическим лицам и индивидуальным предпринимателям, реализующим приоритетные инвестиционные проекты на территории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округа, а также юридическим лицам и индивидуальным предпринимателям, получившим статус резидента Арктической зоны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РФ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да/ 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 КУИ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актуализированного профиля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да/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 исполнителей программы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2.1.1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актуализированного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инвестиционного профиля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округа, согласованного Главой Печенгского муниципального округа, на официальном сайте Печенгского муниципального округа в сети Интернет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ектора инвестиционной деятельности</w:t>
            </w:r>
            <w:r/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Развитие туризма в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Печенгском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муниципальном округе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2.2.1.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единого реестра туристской инфраструктуры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онсультанта по приграничному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сотрудничеству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2.2.2.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информационных сообщений 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грантовых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конкурсах в СМИ, социальных сетях, официальном сайте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2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онсультанта по приграничному сотрудничеству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2.2.3.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разработанной проектной документации по проекту «Туристический кластер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 – «Кольская сверхглубокая», «Плавильный цех», «Шахта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Каула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Котсельваара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Информация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онсультанта по приграничному сотрудничеству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2.2.4.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функционирующих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КСР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Статистическая информация № 041941119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2.2.5.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реестра местных производителей сувенирной продукции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онсультанта по приграничному сотрудничеству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2.2.6.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проведенных конкурсов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онсультанта по приграничному сотрудничеству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2.2.7.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публикаций на информационных и тематических площадках (сайты, мессенджеры, социальные сети), официальном сайте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 в квартал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 в квартал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 в квартал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онсультанта по приграничному сотрудничеству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2.2.8.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направленных предложений 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включении мероприятий в региональный реестр «51 событие»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онсультанта 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приграничному сотрудничеству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2.2.9.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мероприятий, в организации и проведении которых оказано содействие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2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онсультанта по приграничному сотрудничеству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общеобразовательных организаций, участвующих в развитии школьного туризма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</w:t>
            </w:r>
            <w:r/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Отчет Отдела образования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МБОУ СОШ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№№ 1, 3, 5, 7, 9, 11, 19, 23; МБОУ ООШ №№ 20, 22;                             МБУ "ММЦ"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79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«Взаимодействие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СО НКО»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17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2.3.1.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имущественной поддержки СО НКО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pStyle w:val="9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Отчет КУИ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7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2.3.2.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Оказание информационной, консультативной и организационно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й поддержки деятельности СО НКО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 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ОЭР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КУИ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7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2.3.3.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реестра СО НКО – получателей поддержки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ОЭР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7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9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2.3.4. </w:t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sz w:val="18"/>
                <w:szCs w:val="18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4" w:type="dxa"/>
            <w:textDirection w:val="lrTb"/>
            <w:noWrap w:val="false"/>
          </w:tcPr>
          <w:p>
            <w:pPr>
              <w:pStyle w:val="9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мониторинга и оценки эффективности мер муниципальной поддержки СО НКО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а/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2" w:type="dxa"/>
            <w:textDirection w:val="lrTb"/>
            <w:noWrap w:val="false"/>
          </w:tcPr>
          <w:p>
            <w:pPr>
              <w:ind w:left="-57" w:right="-57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pStyle w:val="9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ОЭР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color w:val="ff0000"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и краткое описание подпрограмм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b/>
          <w:bCs/>
          <w:color w:val="ff0000"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программы.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входят </w:t>
      </w:r>
      <w:r>
        <w:rPr>
          <w:rFonts w:ascii="Times New Roman" w:hAnsi="Times New Roman" w:cs="Times New Roman"/>
          <w:sz w:val="24"/>
          <w:szCs w:val="24"/>
        </w:rPr>
        <w:t xml:space="preserve">три</w:t>
      </w:r>
      <w:r>
        <w:rPr>
          <w:rFonts w:ascii="Times New Roman" w:hAnsi="Times New Roman" w:cs="Times New Roman"/>
          <w:sz w:val="24"/>
          <w:szCs w:val="24"/>
        </w:rPr>
        <w:t xml:space="preserve">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 «Повышение инвестиционной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привлекательности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(приложение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1):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подпрограммы является - с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оздание условий для повышения инвестиционной привлекательности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подпрограммы предусматривается р</w:t>
      </w:r>
      <w:r>
        <w:rPr>
          <w:rFonts w:ascii="Times New Roman" w:hAnsi="Times New Roman" w:cs="Times New Roman"/>
          <w:sz w:val="24"/>
          <w:szCs w:val="24"/>
        </w:rPr>
        <w:t xml:space="preserve">еализация</w:t>
      </w:r>
      <w:r>
        <w:rPr>
          <w:rFonts w:ascii="Times New Roman" w:hAnsi="Times New Roman" w:cs="Times New Roman"/>
          <w:sz w:val="24"/>
          <w:szCs w:val="24"/>
        </w:rPr>
        <w:t xml:space="preserve"> следующих </w:t>
      </w:r>
      <w:r>
        <w:rPr>
          <w:rFonts w:ascii="Times New Roman" w:hAnsi="Times New Roman" w:cs="Times New Roman"/>
          <w:sz w:val="24"/>
          <w:szCs w:val="24"/>
        </w:rPr>
        <w:t xml:space="preserve">основных мероприятий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Создание условий для развития малого</w:t>
      </w:r>
      <w:r>
        <w:rPr>
          <w:rFonts w:ascii="Times New Roman" w:hAnsi="Times New Roman" w:cs="Times New Roman"/>
          <w:sz w:val="24"/>
          <w:szCs w:val="24"/>
        </w:rPr>
        <w:t xml:space="preserve"> и среднего предпринимательства;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Создание благоприятных условий для привлечения инвестиций в экономику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Успешная реализация мероприятий подпрограммы будет способствовать привлечению инвестиций в экономику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развитию малого и среднего предпринимательства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Развитие туризма в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муниципальном округе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(приложение №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):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подпрограммы является </w:t>
      </w:r>
      <w:r>
        <w:rPr>
          <w:rFonts w:ascii="Times New Roman" w:hAnsi="Times New Roman" w:cs="Times New Roman"/>
          <w:sz w:val="24"/>
          <w:szCs w:val="24"/>
        </w:rPr>
        <w:t xml:space="preserve">повышение туристской привлекательности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подпрограммы предусматривается реализация основного мероприятия – «Создание </w:t>
      </w:r>
      <w:r>
        <w:rPr>
          <w:rFonts w:ascii="Times New Roman" w:hAnsi="Times New Roman" w:cs="Times New Roman"/>
          <w:sz w:val="24"/>
          <w:szCs w:val="24"/>
        </w:rPr>
        <w:t xml:space="preserve">условий для развития туризма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</w:t>
      </w:r>
      <w:r>
        <w:rPr>
          <w:rFonts w:ascii="Times New Roman" w:hAnsi="Times New Roman" w:cs="Times New Roman"/>
          <w:sz w:val="24"/>
          <w:szCs w:val="24"/>
        </w:rPr>
        <w:t xml:space="preserve">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будет способствовать увеличению количества функционирующих КСР, а также росту туристического потока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Взаимодействие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СО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НКО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(приложение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№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):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подпрограммы является 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оздание на территории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благоприятных условий, способствующих развитию потенциала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 НКО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его эффективному использованию в решении задач социально-экономического развития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подпрограммы предусматривается реализация основного мероприятия – «Создание благоприятных условий развития СО НКО».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мероприятий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будет способствовать увеличению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количества СО НКО, осуществляющих деятельность на территории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firstLine="426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 Механизм реализации программы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ff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>
        <w:rPr>
          <w:rFonts w:ascii="Times New Roman" w:hAnsi="Times New Roman" w:eastAsia="TimesNewRomanPSMT" w:cs="Times New Roman"/>
          <w:sz w:val="24"/>
          <w:szCs w:val="24"/>
        </w:rPr>
        <w:t xml:space="preserve">Печенгского муниципального округа (Отдел экономического развития администрации Печенгского муниципального округа)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ответственный исполнитель программы: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осуществляет текущее управление мероприятиями программы,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ходом выполнения мероприятий программы, подготовку в установленном порядке отчетности по реализации программы;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проводит мониторинг реализации программных мероприятий;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851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осуществляет подготовку предложений по корректировке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54"/>
        <w:contextualSpacing/>
        <w:ind w:left="0" w:firstLine="709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 w:cs="Times New Roman"/>
          <w:b/>
          <w:color w:val="ff0000"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color w:val="ff0000"/>
          <w:sz w:val="24"/>
          <w:szCs w:val="24"/>
        </w:rPr>
      </w:r>
      <w:r>
        <w:rPr>
          <w:rFonts w:ascii="Times New Roman" w:hAnsi="Times New Roman" w:cs="Times New Roman"/>
          <w:b/>
          <w:color w:val="ff0000"/>
          <w:sz w:val="24"/>
          <w:szCs w:val="24"/>
        </w:rPr>
      </w:r>
      <w:r>
        <w:rPr>
          <w:rFonts w:ascii="Times New Roman" w:hAnsi="Times New Roman" w:cs="Times New Roman"/>
          <w:b/>
          <w:color w:val="ff0000"/>
          <w:sz w:val="24"/>
          <w:szCs w:val="24"/>
        </w:rPr>
      </w:r>
    </w:p>
    <w:p>
      <w:pPr>
        <w:contextualSpacing/>
        <w:jc w:val="center"/>
        <w:spacing w:after="0" w:line="240" w:lineRule="auto"/>
        <w:widowControl w:val="off"/>
        <w:tabs>
          <w:tab w:val="left" w:pos="426" w:leader="none"/>
        </w:tabs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ценка эффективности программы и рисков ее реализации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i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i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i/>
          <w:color w:val="ff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Оценка эффективности выполнения программы </w:t>
      </w:r>
      <w:r>
        <w:rPr>
          <w:rFonts w:ascii="Times New Roman" w:hAnsi="Times New Roman" w:cs="Times New Roman"/>
          <w:sz w:val="24"/>
          <w:szCs w:val="24"/>
        </w:rPr>
        <w:t xml:space="preserve">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 и индикаторов программы) при условии соблюдения обоснованного объема расходов. </w:t>
      </w:r>
      <w:r>
        <w:rPr>
          <w:rFonts w:ascii="Times New Roman" w:hAnsi="Times New Roman" w:cs="Times New Roman"/>
          <w:vanish/>
          <w:sz w:val="24"/>
          <w:szCs w:val="24"/>
        </w:rPr>
      </w:r>
      <w:r>
        <w:rPr>
          <w:rFonts w:ascii="Times New Roman" w:hAnsi="Times New Roman" w:cs="Times New Roman"/>
          <w:vanish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программы подвержена влиянию следующих групп рисков и </w:t>
      </w:r>
      <w:r>
        <w:rPr>
          <w:rFonts w:ascii="Times New Roman" w:hAnsi="Times New Roman" w:cs="Times New Roman"/>
          <w:sz w:val="24"/>
          <w:szCs w:val="24"/>
        </w:rPr>
        <w:t xml:space="preserve">негативных факторов: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Значительным риском является сокращение запланированных объемов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ходе формирования и реализации программы,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Правовые риски, связанные с внесением не предусмотренных программой изменений в федеральные и региональные нормативные правовые акты, могут привести к у</w:t>
      </w:r>
      <w:r>
        <w:rPr>
          <w:rFonts w:ascii="Times New Roman" w:hAnsi="Times New Roman" w:cs="Times New Roman"/>
          <w:sz w:val="24"/>
          <w:szCs w:val="24"/>
        </w:rPr>
        <w:t xml:space="preserve">трате</w:t>
      </w:r>
      <w:r>
        <w:rPr>
          <w:rFonts w:ascii="Times New Roman" w:hAnsi="Times New Roman" w:cs="Times New Roman"/>
          <w:sz w:val="24"/>
          <w:szCs w:val="24"/>
        </w:rPr>
        <w:t xml:space="preserve">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округа</w:t>
      </w:r>
      <w:r>
        <w:rPr>
          <w:rFonts w:ascii="Times New Roman" w:hAnsi="Times New Roman" w:cs="Times New Roman"/>
          <w:sz w:val="24"/>
          <w:szCs w:val="24"/>
        </w:rPr>
        <w:t xml:space="preserve">, с целью приведения нормативно-методической </w:t>
      </w:r>
      <w:r>
        <w:rPr>
          <w:rFonts w:ascii="Times New Roman" w:hAnsi="Times New Roman" w:cs="Times New Roman"/>
          <w:sz w:val="24"/>
          <w:szCs w:val="24"/>
        </w:rPr>
        <w:t xml:space="preserve">базы программы</w:t>
      </w:r>
      <w:r>
        <w:rPr>
          <w:rFonts w:ascii="Times New Roman" w:hAnsi="Times New Roman" w:cs="Times New Roman"/>
          <w:sz w:val="24"/>
          <w:szCs w:val="24"/>
        </w:rPr>
        <w:t xml:space="preserve"> в соответствие с государственной политикой на федеральном и региональном уровнях.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0"/>
        <w:ind w:left="0"/>
        <w:spacing w:line="240" w:lineRule="auto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Мерами по управлению данным видом рисков служит мон</w:t>
      </w:r>
      <w:r>
        <w:rPr>
          <w:rFonts w:ascii="Times New Roman" w:hAnsi="Times New Roman" w:cs="Times New Roman"/>
          <w:sz w:val="24"/>
          <w:szCs w:val="24"/>
        </w:rPr>
        <w:t xml:space="preserve">иторинг цен и прогнозирование текущих тенденций в сфере реализации программы для своевременного пересмотра объема финансирования и его перераспределения по задачам и основным мероприятиям программы для обеспечения достижения ожидаемых конечных результатов.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Несоблюдение договорных обязательств исполните</w:t>
      </w:r>
      <w:r>
        <w:rPr>
          <w:rFonts w:ascii="Times New Roman" w:hAnsi="Times New Roman" w:cs="Times New Roman"/>
          <w:sz w:val="24"/>
          <w:szCs w:val="24"/>
        </w:rPr>
        <w:t xml:space="preserve">лей по муниципальным </w:t>
      </w:r>
      <w:r>
        <w:rPr>
          <w:rFonts w:ascii="Times New Roman" w:hAnsi="Times New Roman" w:cs="Times New Roman"/>
          <w:sz w:val="24"/>
          <w:szCs w:val="24"/>
        </w:rPr>
        <w:t xml:space="preserve">контрактам, договорам </w:t>
      </w:r>
      <w:r>
        <w:rPr>
          <w:rFonts w:ascii="Times New Roman" w:hAnsi="Times New Roman" w:cs="Times New Roman"/>
          <w:sz w:val="24"/>
          <w:szCs w:val="24"/>
        </w:rPr>
        <w:t xml:space="preserve">может </w:t>
      </w:r>
      <w:r>
        <w:rPr>
          <w:rFonts w:ascii="Times New Roman" w:hAnsi="Times New Roman" w:cs="Times New Roman"/>
          <w:sz w:val="24"/>
          <w:szCs w:val="24"/>
        </w:rPr>
        <w:t xml:space="preserve">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минимизации негативн</w:t>
      </w:r>
      <w:r>
        <w:rPr>
          <w:rFonts w:ascii="Times New Roman" w:hAnsi="Times New Roman" w:cs="Times New Roman"/>
          <w:sz w:val="24"/>
          <w:szCs w:val="24"/>
        </w:rPr>
        <w:t xml:space="preserve">ого влияния данного риска на ход реализации программы необходимо обеспечить оперативный мониторинг выполнения мероприятий, контроль и сопровождение всех действующих договоров и контрактов в части своевременности исполнения контрагентами своих обязательств.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программы и существенно снизить показатели ее результативности.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Минимизация данного риска возможна путем дальнейшего развития системы мониторинга и прогнозирования чрезвычайных ситуаций природного и техногенного характера в целях предотвращения чрезвычайных ситуаций, а также минимизации отрицательных последствий.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Управление рисками будет осуществляться на основе регулярного мониторинга реализации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br w:type="page" w:clear="all"/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left="6804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804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программе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237" w:firstLine="6521"/>
        <w:jc w:val="both"/>
        <w:spacing w:after="0" w:line="240" w:lineRule="auto"/>
        <w:widowControl w:val="off"/>
        <w:tabs>
          <w:tab w:val="left" w:pos="793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NewRomanPSMT" w:cs="Times New Roman"/>
          <w:b/>
          <w:bCs/>
          <w:sz w:val="24"/>
          <w:szCs w:val="24"/>
        </w:rPr>
      </w:pPr>
      <w:r>
        <w:rPr>
          <w:rFonts w:ascii="Times New Roman" w:hAnsi="Times New Roman" w:eastAsia="TimesNewRomanPSMT" w:cs="Times New Roman"/>
          <w:b/>
          <w:bCs/>
          <w:sz w:val="24"/>
          <w:szCs w:val="24"/>
        </w:rPr>
        <w:t xml:space="preserve">ПОДПРОГРАММА</w:t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  <w:t xml:space="preserve"> 1</w:t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«Повышение инвестиционной привлекательности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округа»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W w:w="9649" w:type="dxa"/>
        <w:jc w:val="center"/>
        <w:tblInd w:w="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32"/>
        <w:gridCol w:w="7517"/>
      </w:tblGrid>
      <w:tr>
        <w:tblPrEx/>
        <w:trPr>
          <w:jc w:val="center"/>
          <w:trHeight w:val="5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программы, в которую входит подпрограмма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м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униципальная программа Печенгского муниципального округа «Экономический потенциал» на 202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-202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Создание условий для повышения инвестиционной привлекательности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Печенгского муниципального округа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7" w:type="dxa"/>
            <w:textDirection w:val="lrTb"/>
            <w:noWrap w:val="false"/>
          </w:tcPr>
          <w:p>
            <w:pPr>
              <w:pStyle w:val="954"/>
              <w:numPr>
                <w:ilvl w:val="0"/>
                <w:numId w:val="10"/>
              </w:numPr>
              <w:ind w:left="0" w:firstLine="0"/>
              <w:jc w:val="both"/>
              <w:spacing w:after="0" w:line="240" w:lineRule="auto"/>
              <w:tabs>
                <w:tab w:val="left" w:pos="220" w:leader="none"/>
                <w:tab w:val="left" w:pos="246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развития малого и среднего предпринимательства.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0"/>
              </w:numPr>
              <w:ind w:left="0" w:firstLine="0"/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благоприятных условий для привлечения инвестиций в экономику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7" w:type="dxa"/>
            <w:textDirection w:val="lrTb"/>
            <w:noWrap w:val="false"/>
          </w:tcPr>
          <w:p>
            <w:pPr>
              <w:pStyle w:val="954"/>
              <w:numPr>
                <w:ilvl w:val="0"/>
                <w:numId w:val="9"/>
              </w:numPr>
              <w:ind w:left="0" w:firstLine="0"/>
              <w:jc w:val="both"/>
              <w:spacing w:after="0" w:line="240" w:lineRule="auto"/>
              <w:tabs>
                <w:tab w:val="left" w:pos="246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 недвижимости нежилого фонда, находящегося в собственности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округа, подлежащих к сдаче в аренду СМСП.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9"/>
              </w:numPr>
              <w:ind w:left="0" w:firstLine="0"/>
              <w:jc w:val="both"/>
              <w:spacing w:after="0" w:line="240" w:lineRule="auto"/>
              <w:tabs>
                <w:tab w:val="left" w:pos="246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актуализированного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перечня договоров аренды объектов недвижимости нежилого фонда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0"/>
              </w:numPr>
              <w:ind w:left="0" w:firstLine="0"/>
              <w:jc w:val="both"/>
              <w:spacing w:after="0" w:line="240" w:lineRule="auto"/>
              <w:tabs>
                <w:tab w:val="left" w:pos="246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доли объектов, включенных в перечни муниципального имущества и предоставляемого СМСП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самозанятым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 в рамках оказания имущественной поддержки.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0"/>
              </w:numPr>
              <w:ind w:left="0" w:firstLine="0"/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банка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данных СМСП,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осуществляющих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0"/>
              </w:numPr>
              <w:ind w:left="0" w:firstLine="0"/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общедоступной информации, необходимой для развития СМСП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Печенгского муниципального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0"/>
              </w:numPr>
              <w:ind w:left="0" w:firstLine="0"/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методологической помощи СМСП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целях получения финансовой поддержки и по другим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актуальным вопросам.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0"/>
              </w:numPr>
              <w:ind w:left="0" w:firstLine="0"/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государственных полномочий по сбору сведений для формирования и ведения торгового реестра.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0"/>
              </w:numPr>
              <w:ind w:left="0" w:firstLine="0"/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мероприятий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вопросам СМСП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семинаров, тренингов, мастер-классов, конкурсов, направленных на повышение компетенции и конкурентоспособности СМСП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самозанятых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0"/>
              </w:numPr>
              <w:ind w:left="0" w:firstLine="0"/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эффективности реализации мер, направленных на развитие СМСП.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0"/>
              </w:numPr>
              <w:ind w:left="0" w:firstLine="0"/>
              <w:jc w:val="both"/>
              <w:spacing w:after="0" w:line="240" w:lineRule="auto"/>
              <w:tabs>
                <w:tab w:val="left" w:pos="38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заседаний Совета по улучшению инвестиционного климата и развитию предпринимательства.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0"/>
              </w:numPr>
              <w:ind w:left="0" w:firstLine="0"/>
              <w:jc w:val="both"/>
              <w:spacing w:after="0" w:line="240" w:lineRule="auto"/>
              <w:tabs>
                <w:tab w:val="left" w:pos="265" w:leader="none"/>
                <w:tab w:val="left" w:pos="38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налоговых льгот юридическим лицам и индивидуальным предпринимателям, получившим статус резидента Арктической зоны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так же юридическим лицам и индивидуальным предпринимателям, реализующим приоритетные инвестиционные проекты на территории Печенгского муниципального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0"/>
              </w:numPr>
              <w:ind w:left="0" w:firstLine="0"/>
              <w:jc w:val="both"/>
              <w:spacing w:after="0" w:line="240" w:lineRule="auto"/>
              <w:tabs>
                <w:tab w:val="left" w:pos="265" w:leader="none"/>
                <w:tab w:val="left" w:pos="38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Применение регулирующих коэффициентов при расчете арендной платы за земельные участки, предоставленные в аренду без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торгов, юридическим лицам и индивидуальным предпринимателям, реализующим приоритетные инвестиционные проекты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округа, а также юридическим лицам и индивидуальным предпринимателям, получившим статус Арктической зоны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0"/>
              </w:numPr>
              <w:ind w:left="0" w:firstLine="0"/>
              <w:jc w:val="both"/>
              <w:spacing w:after="0" w:line="240" w:lineRule="auto"/>
              <w:tabs>
                <w:tab w:val="left" w:pos="265" w:leader="none"/>
                <w:tab w:val="left" w:pos="388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актуализированного инвестиционного профиля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0"/>
              </w:numPr>
              <w:ind w:left="0" w:firstLine="0"/>
              <w:jc w:val="both"/>
              <w:spacing w:after="0" w:line="240" w:lineRule="auto"/>
              <w:tabs>
                <w:tab w:val="left" w:pos="265" w:leader="none"/>
                <w:tab w:val="left" w:pos="388" w:leader="none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актуализированного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инвестиционного профиля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округа, согласованного Главой Печенгского муниципального округа, на официальном сайте Печенгского муниципального округа в сети Интернет.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textDirection w:val="lrTb"/>
            <w:noWrap w:val="false"/>
          </w:tcPr>
          <w:p>
            <w:pPr>
              <w:ind w:left="44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44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-57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-57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7" w:type="dxa"/>
            <w:textDirection w:val="lrTb"/>
            <w:noWrap w:val="false"/>
          </w:tcPr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1 954,6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подпрограммы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улучшение инвестиционного и предпринимательского климата, повышение инвестиционной привлекательности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Печенгского муниципального округа – рост количества малых, в том числе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микропредприятий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к концу 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года до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873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единиц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увеличение объема инвестиций в основной капитал (за исключением бюджетных средств) в расчете на 1 жителя в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году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400,2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рублей;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ОЭР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NewRomanPSMT" w:cs="Times New Roman"/>
                <w:sz w:val="24"/>
                <w:szCs w:val="24"/>
              </w:rPr>
            </w:pP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УИ,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С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ектор инвестиционной деятельности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NewRomanPSMT" w:cs="Times New Roman"/>
                <w:sz w:val="24"/>
                <w:szCs w:val="24"/>
              </w:rPr>
            </w:pP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АНО «Центр социальных проектов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района «Вторая школа»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</w:p>
        </w:tc>
      </w:tr>
    </w:tbl>
    <w:p>
      <w:pPr>
        <w:ind w:left="6804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804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804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804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804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804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804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риложение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804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подпрограмме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имущества Печенгского муниципального округа,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предназначенного</w:t>
      </w:r>
      <w:r>
        <w:rPr>
          <w:rFonts w:ascii="Times New Roman" w:hAnsi="Times New Roman" w:cs="Times New Roman"/>
          <w:sz w:val="24"/>
          <w:szCs w:val="24"/>
        </w:rPr>
        <w:t xml:space="preserve"> для передачи во владение и (или) пользование СМСП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tbl>
      <w:tblPr>
        <w:tblW w:w="976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82"/>
        <w:gridCol w:w="1403"/>
        <w:gridCol w:w="1843"/>
        <w:gridCol w:w="1417"/>
        <w:gridCol w:w="1134"/>
        <w:gridCol w:w="992"/>
        <w:gridCol w:w="836"/>
        <w:gridCol w:w="708"/>
        <w:gridCol w:w="851"/>
      </w:tblGrid>
      <w:tr>
        <w:tblPrEx/>
        <w:trPr>
          <w:trHeight w:val="111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8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Номер в реестре имущества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Адрес (местоположение) объекта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Тип и номер помещения, расположенного в здании или сооружении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Вид объекта недвижимости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Основная характеристика объекта недвижимости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Право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обладатель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01.000010851110851000003042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/1,2,2а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94,90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01.0001108510000000102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цоколь, часть 1-го этажа № II/ч. 1, ч. 2, 2а,13,14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40,05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72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01.0001108510000000102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часть 1-го этажа №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III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/1,3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60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01.0001108510000000102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 этаж № II/ч. 1,ч.2, 3-12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118,50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63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01.0001108510000000102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первый этаж №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III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/2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64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01.000010851НЗ0021010600621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первый этаж, № I/1,1а-5,8-10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114,50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01.0001108510000000235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подвал, цоколь № II/8,15, ч.1(0,9), 2(2,92),6(0,62),7(0,62)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46,46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01.0001108510000000226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подвал, цоколь, № I/ч.1, ч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ч.7, ч.8, ч.9, 3-6, 10,12,13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150,70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61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01.0001108510000000227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цоколь, № II/ч.1,ч.2,ч.6,ч.7,ч.10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4,14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01.0001108510000000229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цоколь, № II/4,5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01.0001108510000000234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цоколь, № II/14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01.000010851110851000003044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второй, № (19) 1-20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89,30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01.000010851110851000003003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подвал, № II/1-8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136,50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01.000010851000020010106272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четвертый, № 3а/1-34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257,80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01.000010851НЗ0010010110138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III/1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01.000010851НЗ0010010110138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цоколь, № II, IV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01.000010851110851000003055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II/12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21,20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01.000010851110851000003053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19а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(21) 1-6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43,20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01.000010851110851000003050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19а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II/1-8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42,70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2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01.000010851100851000003052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19а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IV/1-6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2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01.000010851110851000003051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19а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III/1-5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45,10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1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01.000010851110851000003049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19а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I/1-6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69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01.000010851110851000003054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24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II/1-14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139,30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2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01.000010851110851000002977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26а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II/1(4,15), 2,3,4(7,8),5,9-20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123,15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2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01.0001108510000001496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27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цоколь, № V/1-11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172,50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01.000010851НП1085100000009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27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цоколь, № III/19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37,90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01.000010851НП1085100000009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27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цоколь, № III/1-10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182,70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01.0001108510000000230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28а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цоколь, № II/1-9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113,30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01.000010851110851000002980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33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VII/1-5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80,40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08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01.000010851110851000002971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Гвардейский, д. 37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II/1-4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36,20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01.000010851НЗ0010010110136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39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4а/1-10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160,60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4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01.000010851НЗ0010010110228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первый, № II/1-9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85,70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01.000010851110851000003004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улица Победы, д. 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первый, № I/20,25,27,28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34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01.000010851110851000002998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улица Победы, д. 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первый, № II/1-4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187,80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01.000010851110851000003001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улица Победы, д. 16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первый, № II/13-15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73,40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01.000010851НЗ0010010110162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улица Октябрьская, д. 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первый, № II/1-5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73,80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01.000010851110851000003038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улица Мира, д. 24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подвал, № I/1-10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71,80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7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01.000010851110851000003004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улица Мира, д. 32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подвал, № I/1-11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108,20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01.000010851110851000003004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улица Мира, д. 32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подвал, №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/1-12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119,10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01.000010851110851000002992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улица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Печенгская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5/11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подвал, № II/1-4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123,00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01.000010851110851000002986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улица Спортивная, д. 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этаж цоколь, № (24) 1-7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50,20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01.000010851НЗ002010600203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улица Советская, д. 22а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здание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341,50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01.000010851НЗ0010010110227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п.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Раякоски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148,70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35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0512085.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Лиинахамари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улица Северная, д. 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53,10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7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0512028.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Печенга, военный городок № 13,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шоссе, 4а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Юбилейная, д. 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47,60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Юбилейная, д. 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цоколь, № I/1-3, III/1-9, IV/1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276,10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01.0001108510000001496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Юбилейная, д. 17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цоколь, № I/11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Юбилейная, д. 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III/1-35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487,90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2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II/1-4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2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I/8,8а (57,9), ч. I/1,2,4 (10,4)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68,30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9,9а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,ч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1,2,4 (I)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76,80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8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ч. V/1 (3)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V/2 (2,6), ч. V/1 (1)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7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V/27,27а,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ч.V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/26 (3,7)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V/28,29 и ч. 26,30,31,32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233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V/26а,40,41,42,44,45,46 (122,7), ч. 1(1,8), 2 (2), 26 (2), 30 (0,7), 31 (0,6), 43 (37,2)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167,00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28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V/47 (8,6), ч. V/1 (0,5), V/2 (1,5), V/43 (14,4)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V/4 (8,3), ч. V/2 (1,6)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9,90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второй, № VI/24, 24а,25 (51,1), ч. VI/2 (5,5)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59,60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38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второй, № VI/26 (12,3), ч. VI/2 (1,8)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14,10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20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второй, № VI/12 (9,7), ч. VI/11 (1,5), ч.VI/2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124,10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4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второй, № VI/18,22,27 (66,5), ч. VI/2 (2,5)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2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второй, № VI/8 (29,1), ч. VI/11 (4,3)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33,40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14б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второй, № VI/ч. 2Б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98,70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д.24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Космонавтов, д. 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III/1-6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39,80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Крупской, д. 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I/2-4,12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358,90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II/37-41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42,40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здание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346,30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д.17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38,50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д.18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III/1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09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д.20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146,70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д.22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д.25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II/1-9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108,10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Ленина, д.33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II/1-11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92,20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д.41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II/24а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68,40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27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д.41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II/89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53,40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д.41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II/45,86,88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177,00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д.41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второй № V/4-23, II/11-18,24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678,70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д.41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II/99,100, этаж третий VIII/13,14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266,50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д.41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I/1,2,4-12,14-16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231,50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д.41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II/48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222,80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274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д.41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II/53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 в здании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87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Мира, д. 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цоколь, № IV/1-3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55,00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88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Мира, д. 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II/12-15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97,40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89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Мира, д. 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54/1-6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пер. Советский, д. 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III/1-4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74,80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пер. Советский, д. 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I/1-2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пер. Советский, д. 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II/1-5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151,70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5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Терешковой, д. 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IV/1-2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16,80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Терешковой, д. 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IV/3-8 (56,8), ч. 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60,60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84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район пропускного пункта КПП АО "Кольская ГМК"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сооружение - автостоянка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855,0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Ленинградская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земельный участок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4 250,0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27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Бабикова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197,50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4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98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Ленина, д.41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II/50-52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109,60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99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д.41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II/67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193,70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4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г. Заполярный, ул. Ленина, д. 41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II/90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349,10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Гвардейский, д. 24а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цоколь№ III/3,8,11,15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144,60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12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улица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Печенгская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 5/11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подвал, № I/1-3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182,70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06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земельный участок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10 206,00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71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земельный участок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33 554,00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66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земельный участок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200 000,00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61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д.12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цоколь, № I/19,20,32,37-42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98,60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148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07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МО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г.п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района,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.Б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редова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д.12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цоколь, № I/33-36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39,90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08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Мурманская область,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Печенгский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п.г.т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Никель, проспект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Гвардейский, д. 23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этаж первый, № I/1-16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помещение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площадь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84,00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09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Мурманская область, Печенгский район, г. Заполярный, ул. Ленина, д. 33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этаж подвал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помещение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150,50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.м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Мурманская область, Печенгский район, г. Заполярный, ул. Ленина, д. 37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этаж подвал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помещение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96,70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.м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111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Мурманская область,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Заполярный, ул. Ленина, д. 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этаж подвал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помещение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7,8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.м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112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Мурманская область,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Заполярный, ул. Ленина, д. 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этаж подвал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помещение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18,9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.м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113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Мурманская область,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Заполярный, ул. Ленина, д. 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этаж подвал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помещение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2,7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.м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  <w:tr>
        <w:tblPrEx/>
        <w:trPr>
          <w:trHeight w:val="8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82" w:type="dxa"/>
            <w:vAlign w:val="center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114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Мурманская область,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Печенгский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 район, г. Заполярный, ул. Ленина, д. 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этаж подвал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  <w:t xml:space="preserve">помещение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площадь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3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12,5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кв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  <w:t xml:space="preserve">.м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/>
          </w:p>
        </w:tc>
      </w:tr>
    </w:tbl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707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 Таблица 1 </w:t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val="en-US"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подпрограмме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ЕРЕЧЕНЬ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мероприятий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объёмом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5109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3"/>
        <w:gridCol w:w="4535"/>
        <w:gridCol w:w="1275"/>
        <w:gridCol w:w="1133"/>
        <w:gridCol w:w="9"/>
        <w:gridCol w:w="1124"/>
        <w:gridCol w:w="9"/>
        <w:gridCol w:w="1266"/>
        <w:gridCol w:w="9"/>
        <w:gridCol w:w="1127"/>
        <w:gridCol w:w="9"/>
        <w:gridCol w:w="1197"/>
        <w:gridCol w:w="2562"/>
      </w:tblGrid>
      <w:tr>
        <w:tblPrEx/>
        <w:trPr>
          <w:trHeight w:val="780"/>
        </w:trPr>
        <w:tc>
          <w:tcPr>
            <w:shd w:val="clear" w:color="auto" w:fill="auto"/>
            <w:tcW w:w="28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8"/>
            <w:shd w:val="clear" w:color="auto" w:fill="auto"/>
            <w:tcW w:w="157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gridSpan w:val="13"/>
            <w:shd w:val="clear" w:color="auto" w:fill="auto"/>
            <w:tcW w:w="500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1. «Повышение инвестиционной привлекательности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 муниципального округа»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8"/>
        </w:trPr>
        <w:tc>
          <w:tcPr>
            <w:gridSpan w:val="13"/>
            <w:shd w:val="clear" w:color="auto" w:fill="auto"/>
            <w:tcW w:w="5000" w:type="pct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Создание условий для повышения инвестиционной привлекательности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1. Создание условий для развития малого и среднего предпринимательства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Имущественная поддержка СМСП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Не требует финансирования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Формирование и актуализация банка данных СМСП,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осуществляющих деятельность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на территории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финансирования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Формирование и актуализация общедоступной информации, необходимой для развития СМСП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КУИ.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финансирования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bottom w:val="single" w:color="auto" w:sz="4" w:space="0"/>
            </w:tcBorders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bottom w:val="none" w:color="000000" w:sz="4" w:space="0"/>
            </w:tcBorders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Методологическая помощь СМСП в целях получения финансовой поддержки и по другим</w:t>
            </w:r>
            <w:r>
              <w:rPr>
                <w:rFonts w:ascii="Times New Roman" w:hAnsi="Times New Roman" w:cs="Times New Roman"/>
              </w:rPr>
              <w:t xml:space="preserve"> актуальным вопросам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финансирования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bottom w:val="none" w:color="000000" w:sz="4" w:space="0"/>
            </w:tcBorders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bottom w:val="none" w:color="000000" w:sz="4" w:space="0"/>
            </w:tcBorders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bottom w:val="none" w:color="000000" w:sz="4" w:space="0"/>
            </w:tcBorders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3"/>
        </w:trPr>
        <w:tc>
          <w:tcPr>
            <w:shd w:val="clear" w:color="auto" w:fill="auto"/>
            <w:tcBorders>
              <w:bottom w:val="single" w:color="auto" w:sz="4" w:space="0"/>
            </w:tcBorders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Borders>
              <w:top w:val="single" w:color="auto" w:sz="4" w:space="0"/>
            </w:tcBorders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Сбор сведений для формирования и ведения торгового реестра  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64,6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21,6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21,5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21,5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64,6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21,6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21,5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21,5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</w:rPr>
              <w:t xml:space="preserve">мероприятий по вопросам СМСП, в том числе семинаров, тренингов, мастер-классов, конкурсов, направленных на повышение компетенции и конкурентоспособности СМСП и </w:t>
            </w:r>
            <w:r>
              <w:rPr>
                <w:rFonts w:ascii="Times New Roman" w:hAnsi="Times New Roman" w:cs="Times New Roman"/>
              </w:rPr>
              <w:t xml:space="preserve">самозанятых</w:t>
            </w:r>
            <w:r>
              <w:rPr>
                <w:rFonts w:ascii="Times New Roman" w:hAnsi="Times New Roman" w:cs="Times New Roman"/>
              </w:rPr>
              <w:t xml:space="preserve"> граждан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АНО «Центр социальных проектов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района «Вторая школа»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Анализ эффективности реализации мер, направленных на развитие СМСП, прогнозирование развития СМСП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финансирования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0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0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сновному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64,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21,6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21,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21,5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2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64,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121,6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21,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9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21,5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ероприятие 2. Создание благоприятных условий для привлечения инвестиций в экономику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заседаний Совета по улучшению инвестиционного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климата и развитию предпринимательства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при Главе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01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Стимулирование и активизация инвестиционной и предпринимательской деятельности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23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19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3029" w:leader="none"/>
              </w:tabs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Актуализация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инвестиционного профиля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ab/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тор инвестиционной деятельности; АНО «Центр социальных проектов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района «Вторая школа»</w:t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3029" w:leader="none"/>
              </w:tabs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3029" w:leader="none"/>
              </w:tabs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3029" w:leader="none"/>
              </w:tabs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590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530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530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530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1501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590,0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20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2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2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2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590,0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79"/>
        </w:trPr>
        <w:tc>
          <w:tcPr>
            <w:gridSpan w:val="3"/>
            <w:shd w:val="clear" w:color="auto" w:fill="auto"/>
            <w:tcW w:w="22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590,0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0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ff0000"/>
                <w:spacing w:val="1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ff0000"/>
                <w:spacing w:val="1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 по подпрограмме 1</w:t>
            </w:r>
            <w:r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4,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1,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590,0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0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954,6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651,6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76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651,5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9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651,5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 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одпрограмме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мероприятий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показателями результативности выполнения мероприятий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tbl>
      <w:tblPr>
        <w:tblW w:w="15310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544"/>
        <w:gridCol w:w="1417"/>
        <w:gridCol w:w="3828"/>
        <w:gridCol w:w="992"/>
        <w:gridCol w:w="992"/>
        <w:gridCol w:w="992"/>
        <w:gridCol w:w="993"/>
        <w:gridCol w:w="1701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изм.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1. «Повышение инвестиционной привлекательности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 муниципального округа»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Цель: Создание условий для повышения инвестиционной привлекательности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1. Создание условий для развития малого и среднего предпринимательства</w:t>
            </w:r>
            <w:r>
              <w:rPr>
                <w:rFonts w:ascii="Times New Roman" w:hAnsi="Times New Roman" w:eastAsia="Times New Roman" w:cs="Times New Roman"/>
                <w:b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ff0000"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304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Имущественная поддержка СМСП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ff000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Количество объектов недвижимости нежилого фонда, находящегося в собственности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муниципального округа, подлежащих к сдаче в аренду СМСП</w:t>
            </w:r>
            <w:r>
              <w:rPr>
                <w:rFonts w:ascii="Times New Roman" w:hAnsi="Times New Roman" w:eastAsia="Times New Roman" w:cs="Times New Roman"/>
                <w:bCs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11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11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11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ff000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Наличие актуализированного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перечня договоров аренды объектов недвижимости нежилого фонда</w:t>
            </w:r>
            <w:r>
              <w:rPr>
                <w:rFonts w:ascii="Times New Roman" w:hAnsi="Times New Roman" w:eastAsia="Times New Roman" w:cs="Times New Roman"/>
                <w:bCs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Увеличение доли объектов, включенных  в перечни муниципального имущества и предоставляемого СМСП и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самозанятым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гражданам в рамках оказания имущественной поддержки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Формирование и актуализация банка данных СМСП,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осуществляющих деятельность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на территории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Наличие банка данных СМСП,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осуществляющих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деятельность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на территории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Формирование и актуализация общедоступной информации, необходимой для развития СМСП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Размещение общедоступной информации, необходимой для развития СМСП на официальном сайте Печенгского муниципального округа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деятельности,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bottom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265" w:leader="none"/>
              </w:tabs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 xml:space="preserve">Методологическая помощь СМСП </w:t>
            </w:r>
            <w:r>
              <w:rPr>
                <w:rFonts w:ascii="Times New Roman" w:hAnsi="Times New Roman" w:cs="Times New Roman"/>
              </w:rPr>
              <w:t xml:space="preserve">в целях получения финансовой поддержки и по другим</w:t>
            </w:r>
            <w:r>
              <w:rPr>
                <w:rFonts w:ascii="Times New Roman" w:hAnsi="Times New Roman" w:cs="Times New Roman"/>
              </w:rPr>
              <w:t xml:space="preserve"> актуальным вопросам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Оказание методологической помощи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СМСП по актуальным вопросам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Borders>
              <w:bottom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инвестиционной деятельности,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Сбор сведений для формирования и ведения торгового реестра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Исполнение государственных полномочий по сбору сведений для формирования и ведения торгового реестра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</w:t>
            </w:r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</w:rPr>
              <w:t xml:space="preserve">мероприятий по вопросам СМСП, в том числе семинаров, тренингов, мастер-классов, конкурсов, направленных на повышение компетенции и конкурентоспособности СМСП и </w:t>
            </w:r>
            <w:r>
              <w:rPr>
                <w:rFonts w:ascii="Times New Roman" w:hAnsi="Times New Roman" w:cs="Times New Roman"/>
              </w:rPr>
              <w:t xml:space="preserve">самозанятых</w:t>
            </w:r>
            <w:r>
              <w:rPr>
                <w:rFonts w:ascii="Times New Roman" w:hAnsi="Times New Roman" w:cs="Times New Roman"/>
              </w:rPr>
              <w:t xml:space="preserve"> граждан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Количество проведенных мероприятий по вопросам СМСП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в том числе семинаров, тренингов, мастер-классов, конкурсов, направленных на повышение компетенции и конкурентоспособности СМСП и </w:t>
            </w:r>
            <w:r>
              <w:rPr>
                <w:rFonts w:ascii="Times New Roman" w:hAnsi="Times New Roman" w:cs="Times New Roman"/>
              </w:rPr>
              <w:t xml:space="preserve">самозанятых</w:t>
            </w:r>
            <w:r>
              <w:rPr>
                <w:rFonts w:ascii="Times New Roman" w:hAnsi="Times New Roman" w:cs="Times New Roman"/>
              </w:rPr>
              <w:t xml:space="preserve"> граждан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АНО «Центр социальных проектов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района «Вторая школа»</w:t>
            </w:r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Анализ эффективности реализации мер, направленных на развитие СМСП, прогнозирование развития СМСП на территории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Проведение анализа эффективности реализации мер, направленных на развитие СМСП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на территории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</w:t>
            </w:r>
            <w:r/>
          </w:p>
        </w:tc>
      </w:tr>
      <w:tr>
        <w:tblPrEx/>
        <w:trPr/>
        <w:tc>
          <w:tcPr>
            <w:gridSpan w:val="9"/>
            <w:shd w:val="clear" w:color="auto" w:fill="auto"/>
            <w:tcW w:w="1531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color w:val="ff0000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Основное мероприятие 2. Создание благоприятных условий для привлечения инвестиций в экономику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ff0000"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заседаний Совета по улучшению инвестиционного климата и развитию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предпринимательства при Главе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Количество заседаний Совета по улучшению инвестиционного климата и развитию предпринимательства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Стимулирование и активизация инвестиционной и предпринимательской деятельности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Предоставление налоговых льгот юридическим лицам и индивидуальным предпринимателям, получившим статус резидента Арктической зоны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РФ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, а также юридическим лицам и индивидуальным предпринимателям, реализующим приоритетные инвестиционные проекты на территории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ОЭР,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color w:val="00b050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Применение регулирующих коэффициентов при расчете арендной платы за земельные участки, предоставленные в аренду без проведения торгов, юридическим лицам и индивидуальным предпринимателям, реализующим приоритетные инвестиционные проекты на территории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муниципального округа, а также юридическим лицам и индивидуальным предпринимателям, получившим статус резидента Арктической зоны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РФ</w:t>
            </w:r>
            <w:r>
              <w:rPr>
                <w:rFonts w:ascii="Times New Roman" w:hAnsi="Times New Roman" w:eastAsia="Times New Roman" w:cs="Times New Roman"/>
                <w:bCs/>
                <w:color w:val="00b05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color w:val="00b05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Актуализация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инвестиционного профиля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Наличие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актуализированного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инвестиционного профиля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соисполнитель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АНО «Центр социальных проектов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района «Вторая школа»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Размещение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актуализированного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инвестиционного профиля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муниципального округа, согласованного Главой Печенгского муниципального округа, на официальном сайте Печенгского муниципального округа в сети Интернет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  <w:sectPr>
          <w:footnotePr/>
          <w:endnotePr/>
          <w:type w:val="nextPage"/>
          <w:pgSz w:w="16838" w:h="11906" w:orient="landscape"/>
          <w:pgMar w:top="993" w:right="1134" w:bottom="709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программе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237" w:firstLine="6521"/>
        <w:jc w:val="both"/>
        <w:spacing w:after="0" w:line="240" w:lineRule="auto"/>
        <w:widowControl w:val="off"/>
        <w:tabs>
          <w:tab w:val="left" w:pos="793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NewRomanPSMT" w:cs="Times New Roman"/>
          <w:b/>
          <w:bCs/>
          <w:sz w:val="24"/>
          <w:szCs w:val="24"/>
        </w:rPr>
      </w:pPr>
      <w:r>
        <w:rPr>
          <w:rFonts w:ascii="Times New Roman" w:hAnsi="Times New Roman" w:eastAsia="TimesNewRomanPSMT" w:cs="Times New Roman"/>
          <w:b/>
          <w:bCs/>
          <w:sz w:val="24"/>
          <w:szCs w:val="24"/>
        </w:rPr>
        <w:t xml:space="preserve">ПОДПРОГРАММА </w:t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  <w:t xml:space="preserve">2</w:t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Развитие туризма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NewRomanPSMT" w:cs="Times New Roman"/>
          <w:b/>
          <w:bCs/>
          <w:sz w:val="24"/>
          <w:szCs w:val="24"/>
        </w:rPr>
      </w:pP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</w:p>
    <w:p>
      <w:pPr>
        <w:pStyle w:val="954"/>
        <w:ind w:left="0"/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tbl>
      <w:tblPr>
        <w:tblW w:w="9373" w:type="dxa"/>
        <w:jc w:val="center"/>
        <w:tblInd w:w="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20"/>
        <w:gridCol w:w="6953"/>
      </w:tblGrid>
      <w:tr>
        <w:tblPrEx/>
        <w:trPr>
          <w:jc w:val="center"/>
          <w:trHeight w:val="5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программы, в которую входит подпрограмма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м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униципальная программа Печенгского муниципального округа «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Экономический потенциал» на 202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-202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овышени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е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туристской привлекательности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Создание условий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туризма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округе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pStyle w:val="954"/>
              <w:numPr>
                <w:ilvl w:val="0"/>
                <w:numId w:val="13"/>
              </w:numPr>
              <w:ind w:left="34" w:hanging="34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Наличие единого реестра туристской инфраструктуры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3"/>
              </w:numPr>
              <w:ind w:left="34" w:hanging="34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информационных сообщений 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грантовых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конкурсах в СМИ, социальных сетях, официальном сайте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3"/>
              </w:numPr>
              <w:ind w:left="34" w:hanging="34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разработанной проектной документации по проекту «Туристический кластер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муниципального округа – «Кольская сверхглубокая», «Плавильный цех», «Шахта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Каула-Котсельваара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3"/>
              </w:numPr>
              <w:ind w:left="34" w:hanging="34"/>
              <w:jc w:val="both"/>
              <w:spacing w:after="0" w:line="240" w:lineRule="auto"/>
              <w:tabs>
                <w:tab w:val="left" w:pos="176" w:leader="none"/>
                <w:tab w:val="left" w:pos="220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функционирующих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КСР.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3"/>
              </w:numPr>
              <w:ind w:left="34" w:hanging="34"/>
              <w:jc w:val="both"/>
              <w:spacing w:after="0" w:line="240" w:lineRule="auto"/>
              <w:tabs>
                <w:tab w:val="left" w:pos="176" w:leader="none"/>
                <w:tab w:val="left" w:pos="220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Наличие реестра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местных производителей сувенирной продукции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3"/>
              </w:numPr>
              <w:ind w:left="34" w:hanging="34"/>
              <w:jc w:val="both"/>
              <w:spacing w:after="0" w:line="240" w:lineRule="auto"/>
              <w:tabs>
                <w:tab w:val="left" w:pos="176" w:leader="none"/>
                <w:tab w:val="left" w:pos="220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проведенных конкурсов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3"/>
              </w:numPr>
              <w:ind w:left="34" w:hanging="34"/>
              <w:jc w:val="both"/>
              <w:spacing w:after="0" w:line="240" w:lineRule="auto"/>
              <w:tabs>
                <w:tab w:val="left" w:pos="176" w:leader="none"/>
                <w:tab w:val="left" w:pos="220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публикаций на информационных и тематических площадках (сайты, мессенджеры, социальные сети), официальном сайте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муниципального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3"/>
              </w:numPr>
              <w:ind w:left="34" w:hanging="34"/>
              <w:jc w:val="both"/>
              <w:spacing w:after="0" w:line="240" w:lineRule="auto"/>
              <w:tabs>
                <w:tab w:val="left" w:pos="176" w:leader="none"/>
                <w:tab w:val="left" w:pos="220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направленных предложений о включении мероприятий в региональный реестр «51 событие»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3"/>
              </w:numPr>
              <w:ind w:left="34" w:hanging="34"/>
              <w:jc w:val="both"/>
              <w:spacing w:after="0" w:line="240" w:lineRule="auto"/>
              <w:tabs>
                <w:tab w:val="left" w:pos="176" w:leader="none"/>
                <w:tab w:val="left" w:pos="220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мероприятий, в организации и проведении которых оказано содействие.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3"/>
              </w:numPr>
              <w:ind w:left="34" w:hanging="34"/>
              <w:jc w:val="both"/>
              <w:spacing w:after="0" w:line="240" w:lineRule="auto"/>
              <w:tabs>
                <w:tab w:val="left" w:pos="176" w:leader="none"/>
                <w:tab w:val="left" w:pos="220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Количество общеобразовательных организаций, участвующих в развитии школьного туризма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ind w:left="44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44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-57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-57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1 311,0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1 311,0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pStyle w:val="954"/>
              <w:numPr>
                <w:ilvl w:val="0"/>
                <w:numId w:val="20"/>
              </w:numPr>
              <w:ind w:left="34" w:firstLine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величение количества функционирующих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КСР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2027 году до 15 единиц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20"/>
              </w:numPr>
              <w:ind w:left="34" w:firstLine="0"/>
              <w:jc w:val="both"/>
              <w:spacing w:after="0" w:line="240" w:lineRule="auto"/>
              <w:tabs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 туристического потока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количество лиц, размещенных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КСР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округе ежегодно на 5% к уровню предыдущего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NewRomanPSMT" w:cs="Times New Roman"/>
                <w:sz w:val="24"/>
                <w:szCs w:val="24"/>
              </w:rPr>
            </w:pP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КУИ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, Отдел образования; МБОУ СОШ № 1, 3, 5, 7, 9, 11, 19, 23; МБОУ ООШ № 20, 22; МБУ «ММЦ»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NewRomanPSMT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АНО «Центр социальных проектов 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 района «Вторая школа»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  <w:sectPr>
          <w:headerReference w:type="default" r:id="rId9"/>
          <w:headerReference w:type="first" r:id="rId10"/>
          <w:footnotePr/>
          <w:endnotePr/>
          <w:type w:val="nextPage"/>
          <w:pgSz w:w="11906" w:h="16838" w:orient="portrait"/>
          <w:pgMar w:top="1134" w:right="851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подпрограмме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мероприятий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объёмом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</w:p>
    <w:tbl>
      <w:tblPr>
        <w:tblW w:w="5109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3"/>
        <w:gridCol w:w="4825"/>
        <w:gridCol w:w="1417"/>
        <w:gridCol w:w="1275"/>
        <w:gridCol w:w="1133"/>
        <w:gridCol w:w="1275"/>
        <w:gridCol w:w="1139"/>
        <w:gridCol w:w="1278"/>
        <w:gridCol w:w="1913"/>
      </w:tblGrid>
      <w:tr>
        <w:tblPrEx/>
        <w:trPr>
          <w:trHeight w:val="780"/>
        </w:trPr>
        <w:tc>
          <w:tcPr>
            <w:shd w:val="clear" w:color="auto" w:fill="auto"/>
            <w:tcW w:w="28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. «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Развитие туризма в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Повышение туристской привлекательности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1.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С</w:t>
            </w:r>
            <w:r>
              <w:rPr>
                <w:rFonts w:ascii="Times New Roman" w:hAnsi="Times New Roman" w:cs="Times New Roman"/>
                <w:b/>
              </w:rPr>
              <w:t xml:space="preserve">оздание условий для развития тури</w:t>
            </w:r>
            <w:r>
              <w:rPr>
                <w:rFonts w:ascii="Times New Roman" w:hAnsi="Times New Roman" w:cs="Times New Roman"/>
                <w:b/>
              </w:rPr>
              <w:t xml:space="preserve">зма</w:t>
            </w:r>
            <w:r>
              <w:rPr>
                <w:rFonts w:ascii="Times New Roman" w:hAnsi="Times New Roman" w:cs="Times New Roman"/>
                <w:b/>
              </w:rPr>
              <w:t xml:space="preserve"> в </w:t>
            </w:r>
            <w:r>
              <w:rPr>
                <w:rFonts w:ascii="Times New Roman" w:hAnsi="Times New Roman" w:cs="Times New Roman"/>
                <w:b/>
              </w:rPr>
              <w:t xml:space="preserve">Печенгском</w:t>
            </w:r>
            <w:r>
              <w:rPr>
                <w:rFonts w:ascii="Times New Roman" w:hAnsi="Times New Roman" w:cs="Times New Roman"/>
                <w:b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Формирование и ведение единого реестра туристской инфраструктуры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.1.2.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Привлечение бизнеса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участию 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грантовых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конкурсах с целью развития инфраструктуры туризма 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.1.3.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Реализация проекта «Туристический кластер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 – «Кольская сверхглубокая», «Плавильный цех», «Шахта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Каула-Котсельваара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КУИ,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АНО «Центр социальных проектов </w:t>
            </w:r>
            <w:r>
              <w:rPr>
                <w:rFonts w:ascii="Times New Roman" w:hAnsi="Times New Roman" w:eastAsia="TimesNewRomanPSMT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eastAsia="TimesNewRomanPSMT" w:cs="Times New Roman"/>
                <w:sz w:val="20"/>
                <w:szCs w:val="20"/>
              </w:rPr>
              <w:t xml:space="preserve"> района «Вторая школа»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.1.4.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Содействие в реализации создания туристской инфраструктуры на территории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59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2.1.5.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Формирование и ведение реестра местных производителей сувенирной продукции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2.1.6.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конкурса цифрового контента (фото, видео)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в целях продвижения туристского потенциала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приграничному сотрудничеству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180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180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2.1.7.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Продвижение туристского потенциала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 на бесплатных информационных ресурсах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2.1.8.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Направление предложений о включении мероприятий в региональный реестр «51 событие»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2.1.9.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Содействие в организации и проведении событийных мероприятий 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2.1.10.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Развитие школьного образовательного туризма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МБОУ СОШ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№№ 1, 3, 5, 7, 9, 11, 19, 23; МБОУ ООШ №№ 20, 22;                             МБУ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ММЦ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1 131,0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377,0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377,0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377,0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1 131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377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377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377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3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1 311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437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437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437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2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1 311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437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437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437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Всего по подпрограмме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1 311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437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437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437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1 311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437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437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437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2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подпрограмме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мероприятий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подпрограммы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показателями результативности выполнения мероприятий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</w:p>
    <w:tbl>
      <w:tblPr>
        <w:tblW w:w="15451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1559"/>
        <w:gridCol w:w="3402"/>
        <w:gridCol w:w="993"/>
        <w:gridCol w:w="141"/>
        <w:gridCol w:w="851"/>
        <w:gridCol w:w="142"/>
        <w:gridCol w:w="850"/>
        <w:gridCol w:w="142"/>
        <w:gridCol w:w="992"/>
        <w:gridCol w:w="1559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изм.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31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5"/>
        </w:trPr>
        <w:tc>
          <w:tcPr>
            <w:gridSpan w:val="12"/>
            <w:shd w:val="clear" w:color="auto" w:fill="auto"/>
            <w:tcW w:w="15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. «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Развитие туризма в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12"/>
            <w:shd w:val="clear" w:color="auto" w:fill="auto"/>
            <w:tcW w:w="154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Повышение туристской привлекательности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12"/>
            <w:shd w:val="clear" w:color="auto" w:fill="auto"/>
            <w:tcW w:w="154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1.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С</w:t>
            </w:r>
            <w:r>
              <w:rPr>
                <w:rFonts w:ascii="Times New Roman" w:hAnsi="Times New Roman" w:cs="Times New Roman"/>
                <w:b/>
              </w:rPr>
              <w:t xml:space="preserve">оздание условий для развития туризма в </w:t>
            </w:r>
            <w:r>
              <w:rPr>
                <w:rFonts w:ascii="Times New Roman" w:hAnsi="Times New Roman" w:cs="Times New Roman"/>
                <w:b/>
              </w:rPr>
              <w:t xml:space="preserve">Печенгском</w:t>
            </w:r>
            <w:r>
              <w:rPr>
                <w:rFonts w:ascii="Times New Roman" w:hAnsi="Times New Roman" w:cs="Times New Roman"/>
                <w:b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778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.1.1.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Формирование и ведение единого реестра туристской инфраструктуры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Наличие единого реестра туристской инфраструктуры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.1.2.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Привлечение бизнеса к участию 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грантовых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конкурсах с целью развития инфраструктуры туризма 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информационных сообщений о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грантовых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конкурсах в СМИ, социальных сетях, официальном сайте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.1.3.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Реализация проекта «Туристический кластер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 – «Кольская сверхглубокая», «Плавильный цех», «Шахта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Каула-Котсельваара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разработанной проектной документации по проекту «Туристический кластер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 – «Кольская сверхглубокая», «Плавильный цех», «Шахта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Каула-Котсельваара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КУИ,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АНО «Центр социальных проектов </w:t>
            </w:r>
            <w:r>
              <w:rPr>
                <w:rFonts w:ascii="Times New Roman" w:hAnsi="Times New Roman" w:eastAsia="TimesNewRomanPSMT" w:cs="Times New Roman"/>
                <w:sz w:val="20"/>
                <w:szCs w:val="20"/>
              </w:rPr>
              <w:t xml:space="preserve">Печенгского</w:t>
            </w:r>
            <w:r>
              <w:rPr>
                <w:rFonts w:ascii="Times New Roman" w:hAnsi="Times New Roman" w:eastAsia="TimesNewRomanPSMT" w:cs="Times New Roman"/>
                <w:sz w:val="20"/>
                <w:szCs w:val="20"/>
              </w:rPr>
              <w:t xml:space="preserve"> района «Вторая школа»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8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2.1.4.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Содействие в реализации создания туристской инфраструктуры на территории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функционирующих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КСР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8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2.1.5.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Формирование и ведение реестра местных производителей сувенирной продукции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Наличие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еестра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местных производителей сувенирной продукции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8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2.1.6.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конкурса цифрового контента (фото, видео)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в целях продвижения туристского потенциала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проведенных конкурсов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8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2.1.7.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Продвижение туристского потенциала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 на бесплатных информационных ресурсах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публикаций на информационных и тематических площадках (сайты, мессенджеры, социальные сети), официальном сайте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 в квартал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1 в квартал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1 в квартал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8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2.1.8.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Направление предложений о включении мероприятий в региональный реестр «51 событие»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направленных предложений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 включении мероприятий в региональный реестр «51 событие»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8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.1.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Содействие в организации и проведении событийных мероприятий в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муниципальном округе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мероприятий, в организации и проведении которых оказано содействие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Ед.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2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Не менее 2</w:t>
            </w:r>
            <w:r/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8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2.1.10.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Развитие школьного образовательного туризма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Количество общеобразовательных организаций, участвующих в развитии школьного туризма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Отдел образования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МБОУ СОШ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№№ 1, 3, 5, 7, 9, 11, 19, 23; МБОУ ООШ №№ 20, 22;                             МБУ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ММЦ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  <w:sectPr>
          <w:footnotePr/>
          <w:endnotePr/>
          <w:type w:val="nextPage"/>
          <w:pgSz w:w="16838" w:h="11906" w:orient="landscape"/>
          <w:pgMar w:top="851" w:right="1134" w:bottom="709" w:left="1134" w:header="709" w:footer="709" w:gutter="0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3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программе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6237" w:firstLine="6521"/>
        <w:jc w:val="both"/>
        <w:spacing w:after="0" w:line="240" w:lineRule="auto"/>
        <w:widowControl w:val="off"/>
        <w:tabs>
          <w:tab w:val="left" w:pos="793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NewRomanPSMT" w:cs="Times New Roman"/>
          <w:b/>
          <w:bCs/>
          <w:sz w:val="24"/>
          <w:szCs w:val="24"/>
        </w:rPr>
      </w:pPr>
      <w:r>
        <w:rPr>
          <w:rFonts w:ascii="Times New Roman" w:hAnsi="Times New Roman" w:eastAsia="TimesNewRomanPSMT" w:cs="Times New Roman"/>
          <w:b/>
          <w:bCs/>
          <w:sz w:val="24"/>
          <w:szCs w:val="24"/>
        </w:rPr>
        <w:t xml:space="preserve">ПОДПРОГРАММА </w:t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  <w:t xml:space="preserve">3</w:t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«Взаимодействие 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 СО НКО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NewRomanPSMT" w:cs="Times New Roman"/>
          <w:b/>
          <w:bCs/>
          <w:sz w:val="24"/>
          <w:szCs w:val="24"/>
        </w:rPr>
      </w:pP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  <w:r>
        <w:rPr>
          <w:rFonts w:ascii="Times New Roman" w:hAnsi="Times New Roman" w:eastAsia="TimesNewRomanPSMT" w:cs="Times New Roman"/>
          <w:b/>
          <w:bCs/>
          <w:sz w:val="24"/>
          <w:szCs w:val="24"/>
        </w:rPr>
      </w:r>
    </w:p>
    <w:p>
      <w:pPr>
        <w:pStyle w:val="954"/>
        <w:ind w:left="0"/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Паспорт подпрограммы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tbl>
      <w:tblPr>
        <w:tblW w:w="9373" w:type="dxa"/>
        <w:jc w:val="center"/>
        <w:tblInd w:w="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20"/>
        <w:gridCol w:w="6953"/>
      </w:tblGrid>
      <w:tr>
        <w:tblPrEx/>
        <w:trPr>
          <w:jc w:val="center"/>
          <w:trHeight w:val="50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программы, в которую входит подпрограмма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муниципального округа «Экономический потенциал» на 202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-202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Создание на территории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муниципального округа благоприятных условий, способствующих развитию потенциала СО НКО и его эффективному использованию в решении задач социально-экономического развития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муниципального округа.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мероприятия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благоприятных условий развития СО НКО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pStyle w:val="954"/>
              <w:numPr>
                <w:ilvl w:val="0"/>
                <w:numId w:val="19"/>
              </w:numPr>
              <w:ind w:left="34" w:firstLine="0"/>
              <w:jc w:val="both"/>
              <w:spacing w:after="0" w:line="240" w:lineRule="auto"/>
              <w:tabs>
                <w:tab w:val="left" w:pos="176" w:leader="none"/>
                <w:tab w:val="left" w:pos="213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СО НКО имущественной поддержки.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9"/>
              </w:numPr>
              <w:ind w:left="34" w:firstLine="0"/>
              <w:jc w:val="both"/>
              <w:spacing w:after="0" w:line="240" w:lineRule="auto"/>
              <w:tabs>
                <w:tab w:val="left" w:pos="176" w:leader="none"/>
                <w:tab w:val="left" w:pos="317" w:leader="none"/>
                <w:tab w:val="left" w:pos="403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информационной, консультативной и организационной поддержки деятельности СО НКО.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9"/>
              </w:numPr>
              <w:ind w:left="34" w:firstLine="0"/>
              <w:jc w:val="both"/>
              <w:spacing w:after="0" w:line="240" w:lineRule="auto"/>
              <w:tabs>
                <w:tab w:val="left" w:pos="176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реестра СО НКО - получателей поддержки.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54"/>
              <w:numPr>
                <w:ilvl w:val="0"/>
                <w:numId w:val="19"/>
              </w:numPr>
              <w:ind w:left="34" w:firstLine="0"/>
              <w:jc w:val="both"/>
              <w:spacing w:after="0" w:line="240" w:lineRule="auto"/>
              <w:tabs>
                <w:tab w:val="left" w:pos="176" w:leader="none"/>
                <w:tab w:val="left" w:pos="220" w:leader="none"/>
                <w:tab w:val="left" w:pos="317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Проведение мониторинга и оценки эффективности мер муниципальной поддержки СО НКО.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Сроки и этапы реализации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3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ind w:left="44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44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-57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-57" w:right="-57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ind w:left="-57" w:right="-57"/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Всего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1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подпрограммы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увеличение количества СО НКО, осуществляющих деятельность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округа, к 2027 году до 27 единиц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5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ОЭР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NewRomanPSMT" w:cs="Times New Roman"/>
                <w:sz w:val="24"/>
                <w:szCs w:val="24"/>
              </w:rPr>
            </w:pP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КУИ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4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20" w:type="dxa"/>
            <w:textDirection w:val="lrTb"/>
            <w:noWrap w:val="false"/>
          </w:tcPr>
          <w:p>
            <w:pPr>
              <w:ind w:firstLine="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5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NewRomanPSMT" w:cs="Times New Roman"/>
                <w:sz w:val="24"/>
                <w:szCs w:val="24"/>
              </w:rPr>
            </w:pP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  <w:r>
              <w:rPr>
                <w:rFonts w:ascii="Times New Roman" w:hAnsi="Times New Roman" w:eastAsia="TimesNewRomanPSMT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color w:val="ff0000"/>
          <w:sz w:val="24"/>
          <w:szCs w:val="24"/>
        </w:rPr>
        <w:sectPr>
          <w:headerReference w:type="default" r:id="rId11"/>
          <w:headerReference w:type="first" r:id="rId12"/>
          <w:footnotePr/>
          <w:endnotePr/>
          <w:type w:val="nextPage"/>
          <w:pgSz w:w="11906" w:h="16838" w:orient="portrait"/>
          <w:pgMar w:top="1134" w:right="851" w:bottom="1134" w:left="1701" w:header="709" w:footer="709" w:gutter="0"/>
          <w:cols w:num="1" w:sep="0" w:space="708" w:equalWidth="1"/>
          <w:docGrid w:linePitch="360"/>
          <w:titlePg/>
        </w:sect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Таблица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к подпрограмме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мероприятий подпрограммы с объёмом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</w:p>
    <w:tbl>
      <w:tblPr>
        <w:tblW w:w="5109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3"/>
        <w:gridCol w:w="4825"/>
        <w:gridCol w:w="1417"/>
        <w:gridCol w:w="1275"/>
        <w:gridCol w:w="1133"/>
        <w:gridCol w:w="1275"/>
        <w:gridCol w:w="1139"/>
        <w:gridCol w:w="1278"/>
        <w:gridCol w:w="1913"/>
      </w:tblGrid>
      <w:tr>
        <w:tblPrEx/>
        <w:trPr>
          <w:trHeight w:val="780"/>
        </w:trPr>
        <w:tc>
          <w:tcPr>
            <w:shd w:val="clear" w:color="auto" w:fill="auto"/>
            <w:tcW w:w="28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Источники финансирования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1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Объем финансирования,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тысяч рублей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Исполнители, соисполнители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8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28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90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. «Взаимодействие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 СО НКО»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Цель: Создание на территории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 муниципального округа благоприятных условий, способствующих развитию потенциала СО НКО и его эффективному использованию в решении задач социально-экономического развития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1. Создание благоприятных условий развития СО НКО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.1.1.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имущественной поддержки 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 НКО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.1.2.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Взаимодействие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НКО, осуществляющим свою деятельность на территории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ОЭР, КУИ.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.1.3.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Формирование и ведение реестра СО НКО  - получателей поддержки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ОЭР.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8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.1.4.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Мониторинг и оценка эффективности мер муниципальной поддержки СО НКО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ОЭР.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требует финансирования</w:t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59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7"/>
        </w:trPr>
        <w:tc>
          <w:tcPr>
            <w:shd w:val="clear" w:color="auto" w:fill="auto"/>
            <w:tcW w:w="28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97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69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34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2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4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Всего по подпрограмме 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4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37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42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633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eastAsia="Times New Roman" w:cs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18"/>
          <w:szCs w:val="18"/>
          <w:lang w:eastAsia="ru-RU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18"/>
          <w:szCs w:val="18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pP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6"/>
          <w:szCs w:val="26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Таблица 2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подпрограмме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мероприятий подпрограммы с показателями результативности выполнения мероприятий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  <w:outlineLvl w:val="1"/>
      </w:pP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ff0000"/>
          <w:sz w:val="24"/>
          <w:szCs w:val="24"/>
          <w:lang w:eastAsia="ru-RU"/>
        </w:rPr>
      </w:r>
    </w:p>
    <w:tbl>
      <w:tblPr>
        <w:tblW w:w="15451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1559"/>
        <w:gridCol w:w="3402"/>
        <w:gridCol w:w="993"/>
        <w:gridCol w:w="141"/>
        <w:gridCol w:w="851"/>
        <w:gridCol w:w="142"/>
        <w:gridCol w:w="850"/>
        <w:gridCol w:w="142"/>
        <w:gridCol w:w="992"/>
        <w:gridCol w:w="1559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Цели, мероприятия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Срок исполнения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Ед. изм.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31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Исполнитель, соисполнитель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235"/>
        </w:trPr>
        <w:tc>
          <w:tcPr>
            <w:gridSpan w:val="12"/>
            <w:shd w:val="clear" w:color="auto" w:fill="auto"/>
            <w:tcW w:w="154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Подпрограмма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. «Взаимодействие 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 СО НКО»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12"/>
            <w:shd w:val="clear" w:color="auto" w:fill="auto"/>
            <w:tcW w:w="154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Цель: Создание на территории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 муниципального округа благоприятных условий, способствующих развитию потенциала СО НКО и его эффективному использованию в решении задач социально-экономического развития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319"/>
        </w:trPr>
        <w:tc>
          <w:tcPr>
            <w:gridSpan w:val="12"/>
            <w:shd w:val="clear" w:color="auto" w:fill="auto"/>
            <w:tcW w:w="154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Основное 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  <w:t xml:space="preserve">ероприятие 1. Создание благоприятных условий развития</w:t>
            </w:r>
            <w:r>
              <w:rPr>
                <w:rFonts w:ascii="Times New Roman" w:hAnsi="Times New Roman" w:eastAsia="Times New Roman" w:cs="Times New Roman"/>
                <w:b/>
                <w:bCs/>
                <w:sz w:val="23"/>
                <w:szCs w:val="23"/>
                <w:lang w:eastAsia="ru-RU"/>
              </w:rPr>
              <w:t xml:space="preserve"> СО НКО</w:t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3"/>
                <w:szCs w:val="23"/>
                <w:lang w:eastAsia="ru-RU"/>
              </w:rPr>
            </w:r>
          </w:p>
        </w:tc>
      </w:tr>
      <w:tr>
        <w:tblPrEx/>
        <w:trPr>
          <w:trHeight w:val="778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.1.1.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Предоставление имущественной поддержки СО НКО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Cs/>
                <w:lang w:eastAsia="ru-RU"/>
              </w:rPr>
              <w:outlineLvl w:val="2"/>
            </w:pP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Оказание имущественной  поддержки СО НКО 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.1.2.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Взаимодействие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НКО, осуществляющими свою деятельность на территории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Оказание информационной, консультативной и организационной поддержки деятельности СО НКО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.1.3.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Формирование и ведение реестра СО НКО – получателей поддержки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Наличие реестра СО НКО – получателей поддержки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8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  <w:t xml:space="preserve">.1.4.</w:t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3"/>
                <w:szCs w:val="23"/>
                <w:lang w:eastAsia="ru-RU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Мониторинг и оценка эффективности мер муниципальной поддержки СО НКО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Проведение мониторинга и оценки эффективности мер муниципальной поддержки СО НКО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ind w:left="9639" w:right="-371"/>
        <w:jc w:val="right"/>
        <w:spacing w:after="0" w:line="240" w:lineRule="auto"/>
        <w:rPr>
          <w:rFonts w:ascii="Times New Roman" w:hAnsi="Times New Roman" w:eastAsia="Times New Roman" w:cs="Times New Roman"/>
          <w:sz w:val="26"/>
          <w:szCs w:val="26"/>
          <w:lang w:eastAsia="ru-RU"/>
        </w:rPr>
        <w:sectPr>
          <w:footnotePr/>
          <w:endnotePr/>
          <w:type w:val="nextPage"/>
          <w:pgSz w:w="16838" w:h="11906" w:orient="landscape"/>
          <w:pgMar w:top="851" w:right="1134" w:bottom="709" w:left="1134" w:header="709" w:footer="709" w:gutter="0"/>
          <w:cols w:num="1" w:sep="0" w:space="708" w:equalWidth="1"/>
          <w:docGrid w:linePitch="360"/>
          <w:titlePg/>
        </w:sectPr>
      </w:pP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  <w:r>
        <w:rPr>
          <w:rFonts w:ascii="Times New Roman" w:hAnsi="Times New Roman" w:eastAsia="Times New Roman" w:cs="Times New Roman"/>
          <w:sz w:val="26"/>
          <w:szCs w:val="26"/>
          <w:lang w:eastAsia="ru-RU"/>
        </w:rPr>
      </w:r>
    </w:p>
    <w:p>
      <w:r/>
    </w:p>
    <w:sectPr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Cambria">
    <w:panose1 w:val="02040503050406030204"/>
  </w:font>
  <w:font w:name="TimesNewRomanPSMT">
    <w:panose1 w:val="02020603050405020304"/>
  </w:font>
  <w:font w:name="Candara">
    <w:panose1 w:val="020E0502030303020204"/>
  </w:font>
  <w:font w:name="Tahoma">
    <w:panose1 w:val="020B0604030504040204"/>
  </w:font>
  <w:font w:name="SimSun">
    <w:panose1 w:val="02010600030101010101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jc w:val="center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  <w:jc w:val="center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15" w:hanging="55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9"/>
  </w:num>
  <w:num w:numId="4">
    <w:abstractNumId w:val="10"/>
  </w:num>
  <w:num w:numId="5">
    <w:abstractNumId w:val="18"/>
  </w:num>
  <w:num w:numId="6">
    <w:abstractNumId w:val="1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3"/>
  </w:num>
  <w:num w:numId="10">
    <w:abstractNumId w:val="3"/>
  </w:num>
  <w:num w:numId="11">
    <w:abstractNumId w:val="5"/>
  </w:num>
  <w:num w:numId="12">
    <w:abstractNumId w:val="7"/>
  </w:num>
  <w:num w:numId="13">
    <w:abstractNumId w:val="12"/>
  </w:num>
  <w:num w:numId="14">
    <w:abstractNumId w:val="14"/>
  </w:num>
  <w:num w:numId="15">
    <w:abstractNumId w:val="8"/>
  </w:num>
  <w:num w:numId="16">
    <w:abstractNumId w:val="16"/>
  </w:num>
  <w:num w:numId="17">
    <w:abstractNumId w:val="4"/>
  </w:num>
  <w:num w:numId="18">
    <w:abstractNumId w:val="0"/>
  </w:num>
  <w:num w:numId="19">
    <w:abstractNumId w:val="20"/>
  </w:num>
  <w:num w:numId="20">
    <w:abstractNumId w:val="2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7">
    <w:name w:val="Heading 1"/>
    <w:basedOn w:val="906"/>
    <w:next w:val="906"/>
    <w:link w:val="73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8">
    <w:name w:val="Heading 1 Char"/>
    <w:basedOn w:val="907"/>
    <w:link w:val="737"/>
    <w:uiPriority w:val="9"/>
    <w:rPr>
      <w:rFonts w:ascii="Arial" w:hAnsi="Arial" w:eastAsia="Arial" w:cs="Arial"/>
      <w:sz w:val="40"/>
      <w:szCs w:val="40"/>
    </w:rPr>
  </w:style>
  <w:style w:type="paragraph" w:styleId="739">
    <w:name w:val="Heading 2"/>
    <w:basedOn w:val="906"/>
    <w:next w:val="906"/>
    <w:link w:val="74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40">
    <w:name w:val="Heading 2 Char"/>
    <w:basedOn w:val="907"/>
    <w:link w:val="739"/>
    <w:uiPriority w:val="9"/>
    <w:rPr>
      <w:rFonts w:ascii="Arial" w:hAnsi="Arial" w:eastAsia="Arial" w:cs="Arial"/>
      <w:sz w:val="34"/>
    </w:rPr>
  </w:style>
  <w:style w:type="paragraph" w:styleId="741">
    <w:name w:val="Heading 3"/>
    <w:basedOn w:val="906"/>
    <w:next w:val="906"/>
    <w:link w:val="74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2">
    <w:name w:val="Heading 3 Char"/>
    <w:basedOn w:val="907"/>
    <w:link w:val="741"/>
    <w:uiPriority w:val="9"/>
    <w:rPr>
      <w:rFonts w:ascii="Arial" w:hAnsi="Arial" w:eastAsia="Arial" w:cs="Arial"/>
      <w:sz w:val="30"/>
      <w:szCs w:val="30"/>
    </w:rPr>
  </w:style>
  <w:style w:type="paragraph" w:styleId="743">
    <w:name w:val="Heading 4"/>
    <w:basedOn w:val="906"/>
    <w:next w:val="906"/>
    <w:link w:val="74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4">
    <w:name w:val="Heading 4 Char"/>
    <w:basedOn w:val="907"/>
    <w:link w:val="743"/>
    <w:uiPriority w:val="9"/>
    <w:rPr>
      <w:rFonts w:ascii="Arial" w:hAnsi="Arial" w:eastAsia="Arial" w:cs="Arial"/>
      <w:b/>
      <w:bCs/>
      <w:sz w:val="26"/>
      <w:szCs w:val="26"/>
    </w:rPr>
  </w:style>
  <w:style w:type="paragraph" w:styleId="745">
    <w:name w:val="Heading 5"/>
    <w:basedOn w:val="906"/>
    <w:next w:val="906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6">
    <w:name w:val="Heading 5 Char"/>
    <w:basedOn w:val="907"/>
    <w:link w:val="745"/>
    <w:uiPriority w:val="9"/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906"/>
    <w:next w:val="906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8">
    <w:name w:val="Heading 6 Char"/>
    <w:basedOn w:val="907"/>
    <w:link w:val="747"/>
    <w:uiPriority w:val="9"/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906"/>
    <w:next w:val="906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0">
    <w:name w:val="Heading 7 Char"/>
    <w:basedOn w:val="907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1">
    <w:name w:val="Heading 8"/>
    <w:basedOn w:val="906"/>
    <w:next w:val="906"/>
    <w:link w:val="75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2">
    <w:name w:val="Heading 8 Char"/>
    <w:basedOn w:val="907"/>
    <w:link w:val="751"/>
    <w:uiPriority w:val="9"/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906"/>
    <w:next w:val="906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>
    <w:name w:val="Heading 9 Char"/>
    <w:basedOn w:val="907"/>
    <w:link w:val="753"/>
    <w:uiPriority w:val="9"/>
    <w:rPr>
      <w:rFonts w:ascii="Arial" w:hAnsi="Arial" w:eastAsia="Arial" w:cs="Arial"/>
      <w:i/>
      <w:iCs/>
      <w:sz w:val="21"/>
      <w:szCs w:val="21"/>
    </w:rPr>
  </w:style>
  <w:style w:type="character" w:styleId="755">
    <w:name w:val="Title Char"/>
    <w:basedOn w:val="907"/>
    <w:link w:val="947"/>
    <w:uiPriority w:val="10"/>
    <w:rPr>
      <w:sz w:val="48"/>
      <w:szCs w:val="48"/>
    </w:rPr>
  </w:style>
  <w:style w:type="paragraph" w:styleId="756">
    <w:name w:val="Subtitle"/>
    <w:basedOn w:val="906"/>
    <w:next w:val="906"/>
    <w:link w:val="757"/>
    <w:uiPriority w:val="11"/>
    <w:qFormat/>
    <w:pPr>
      <w:spacing w:before="200" w:after="200"/>
    </w:pPr>
    <w:rPr>
      <w:sz w:val="24"/>
      <w:szCs w:val="24"/>
    </w:rPr>
  </w:style>
  <w:style w:type="character" w:styleId="757">
    <w:name w:val="Subtitle Char"/>
    <w:basedOn w:val="907"/>
    <w:link w:val="756"/>
    <w:uiPriority w:val="11"/>
    <w:rPr>
      <w:sz w:val="24"/>
      <w:szCs w:val="24"/>
    </w:rPr>
  </w:style>
  <w:style w:type="paragraph" w:styleId="758">
    <w:name w:val="Quote"/>
    <w:basedOn w:val="906"/>
    <w:next w:val="906"/>
    <w:link w:val="759"/>
    <w:uiPriority w:val="29"/>
    <w:qFormat/>
    <w:pPr>
      <w:ind w:left="720" w:right="720"/>
    </w:pPr>
    <w:rPr>
      <w:i/>
    </w:rPr>
  </w:style>
  <w:style w:type="character" w:styleId="759">
    <w:name w:val="Quote Char"/>
    <w:link w:val="758"/>
    <w:uiPriority w:val="29"/>
    <w:rPr>
      <w:i/>
    </w:rPr>
  </w:style>
  <w:style w:type="paragraph" w:styleId="760">
    <w:name w:val="Intense Quote"/>
    <w:basedOn w:val="906"/>
    <w:next w:val="906"/>
    <w:link w:val="7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1">
    <w:name w:val="Intense Quote Char"/>
    <w:link w:val="760"/>
    <w:uiPriority w:val="30"/>
    <w:rPr>
      <w:i/>
    </w:rPr>
  </w:style>
  <w:style w:type="character" w:styleId="762">
    <w:name w:val="Header Char"/>
    <w:basedOn w:val="907"/>
    <w:link w:val="936"/>
    <w:uiPriority w:val="99"/>
  </w:style>
  <w:style w:type="character" w:styleId="763">
    <w:name w:val="Footer Char"/>
    <w:basedOn w:val="907"/>
    <w:link w:val="938"/>
    <w:uiPriority w:val="99"/>
  </w:style>
  <w:style w:type="paragraph" w:styleId="764">
    <w:name w:val="Caption"/>
    <w:basedOn w:val="906"/>
    <w:next w:val="90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5">
    <w:name w:val="Caption Char"/>
    <w:basedOn w:val="764"/>
    <w:link w:val="938"/>
    <w:uiPriority w:val="99"/>
  </w:style>
  <w:style w:type="table" w:styleId="766">
    <w:name w:val="Table Grid Light"/>
    <w:basedOn w:val="9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>
    <w:name w:val="Plain Table 2"/>
    <w:basedOn w:val="9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3">
    <w:name w:val="Grid Table 6 Colorful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4">
    <w:name w:val="Grid Table 7 Colorful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6 Colorful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5">
    <w:name w:val="List Table 7 Colorful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6">
    <w:name w:val="List Table 7 Colorful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7">
    <w:name w:val="List Table 7 Colorful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8">
    <w:name w:val="List Table 7 Colorful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9">
    <w:name w:val="List Table 7 Colorful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0">
    <w:name w:val="Lined - Accent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Lined - Accent 2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Lined - Accent 3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Lined - Accent 4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Lined - Accent 5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Lined - Accent 6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 &amp; Lined - Accent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Bordered &amp; Lined - Accent 2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Bordered &amp; Lined - Accent 3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Bordered &amp; Lined - Accent 4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Bordered &amp; Lined - Accent 5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Bordered &amp; Lined - Accent 6"/>
    <w:basedOn w:val="9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1">
    <w:name w:val="Footnote Text Char"/>
    <w:link w:val="931"/>
    <w:uiPriority w:val="99"/>
    <w:rPr>
      <w:sz w:val="18"/>
    </w:rPr>
  </w:style>
  <w:style w:type="paragraph" w:styleId="892">
    <w:name w:val="endnote text"/>
    <w:basedOn w:val="906"/>
    <w:link w:val="893"/>
    <w:uiPriority w:val="99"/>
    <w:semiHidden/>
    <w:unhideWhenUsed/>
    <w:pPr>
      <w:spacing w:after="0" w:line="240" w:lineRule="auto"/>
    </w:pPr>
    <w:rPr>
      <w:sz w:val="20"/>
    </w:rPr>
  </w:style>
  <w:style w:type="character" w:styleId="893">
    <w:name w:val="Endnote Text Char"/>
    <w:link w:val="892"/>
    <w:uiPriority w:val="99"/>
    <w:rPr>
      <w:sz w:val="20"/>
    </w:rPr>
  </w:style>
  <w:style w:type="character" w:styleId="894">
    <w:name w:val="endnote reference"/>
    <w:basedOn w:val="907"/>
    <w:uiPriority w:val="99"/>
    <w:semiHidden/>
    <w:unhideWhenUsed/>
    <w:rPr>
      <w:vertAlign w:val="superscript"/>
    </w:rPr>
  </w:style>
  <w:style w:type="paragraph" w:styleId="895">
    <w:name w:val="toc 1"/>
    <w:basedOn w:val="906"/>
    <w:next w:val="906"/>
    <w:uiPriority w:val="39"/>
    <w:unhideWhenUsed/>
    <w:pPr>
      <w:ind w:left="0" w:right="0" w:firstLine="0"/>
      <w:spacing w:after="57"/>
    </w:pPr>
  </w:style>
  <w:style w:type="paragraph" w:styleId="896">
    <w:name w:val="toc 2"/>
    <w:basedOn w:val="906"/>
    <w:next w:val="906"/>
    <w:uiPriority w:val="39"/>
    <w:unhideWhenUsed/>
    <w:pPr>
      <w:ind w:left="283" w:right="0" w:firstLine="0"/>
      <w:spacing w:after="57"/>
    </w:pPr>
  </w:style>
  <w:style w:type="paragraph" w:styleId="897">
    <w:name w:val="toc 3"/>
    <w:basedOn w:val="906"/>
    <w:next w:val="906"/>
    <w:uiPriority w:val="39"/>
    <w:unhideWhenUsed/>
    <w:pPr>
      <w:ind w:left="567" w:right="0" w:firstLine="0"/>
      <w:spacing w:after="57"/>
    </w:pPr>
  </w:style>
  <w:style w:type="paragraph" w:styleId="898">
    <w:name w:val="toc 4"/>
    <w:basedOn w:val="906"/>
    <w:next w:val="906"/>
    <w:uiPriority w:val="39"/>
    <w:unhideWhenUsed/>
    <w:pPr>
      <w:ind w:left="850" w:right="0" w:firstLine="0"/>
      <w:spacing w:after="57"/>
    </w:pPr>
  </w:style>
  <w:style w:type="paragraph" w:styleId="899">
    <w:name w:val="toc 5"/>
    <w:basedOn w:val="906"/>
    <w:next w:val="906"/>
    <w:uiPriority w:val="39"/>
    <w:unhideWhenUsed/>
    <w:pPr>
      <w:ind w:left="1134" w:right="0" w:firstLine="0"/>
      <w:spacing w:after="57"/>
    </w:pPr>
  </w:style>
  <w:style w:type="paragraph" w:styleId="900">
    <w:name w:val="toc 6"/>
    <w:basedOn w:val="906"/>
    <w:next w:val="906"/>
    <w:uiPriority w:val="39"/>
    <w:unhideWhenUsed/>
    <w:pPr>
      <w:ind w:left="1417" w:right="0" w:firstLine="0"/>
      <w:spacing w:after="57"/>
    </w:pPr>
  </w:style>
  <w:style w:type="paragraph" w:styleId="901">
    <w:name w:val="toc 7"/>
    <w:basedOn w:val="906"/>
    <w:next w:val="906"/>
    <w:uiPriority w:val="39"/>
    <w:unhideWhenUsed/>
    <w:pPr>
      <w:ind w:left="1701" w:right="0" w:firstLine="0"/>
      <w:spacing w:after="57"/>
    </w:pPr>
  </w:style>
  <w:style w:type="paragraph" w:styleId="902">
    <w:name w:val="toc 8"/>
    <w:basedOn w:val="906"/>
    <w:next w:val="906"/>
    <w:uiPriority w:val="39"/>
    <w:unhideWhenUsed/>
    <w:pPr>
      <w:ind w:left="1984" w:right="0" w:firstLine="0"/>
      <w:spacing w:after="57"/>
    </w:pPr>
  </w:style>
  <w:style w:type="paragraph" w:styleId="903">
    <w:name w:val="toc 9"/>
    <w:basedOn w:val="906"/>
    <w:next w:val="906"/>
    <w:uiPriority w:val="39"/>
    <w:unhideWhenUsed/>
    <w:pPr>
      <w:ind w:left="2268" w:right="0" w:firstLine="0"/>
      <w:spacing w:after="57"/>
    </w:pPr>
  </w:style>
  <w:style w:type="paragraph" w:styleId="904">
    <w:name w:val="TOC Heading"/>
    <w:uiPriority w:val="39"/>
    <w:unhideWhenUsed/>
  </w:style>
  <w:style w:type="paragraph" w:styleId="905">
    <w:name w:val="table of figures"/>
    <w:basedOn w:val="906"/>
    <w:next w:val="906"/>
    <w:uiPriority w:val="99"/>
    <w:unhideWhenUsed/>
    <w:pPr>
      <w:spacing w:after="0" w:afterAutospacing="0"/>
    </w:pPr>
  </w:style>
  <w:style w:type="paragraph" w:styleId="906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styleId="907" w:default="1">
    <w:name w:val="Default Paragraph Font"/>
    <w:uiPriority w:val="1"/>
    <w:semiHidden/>
    <w:unhideWhenUsed/>
  </w:style>
  <w:style w:type="table" w:styleId="9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9" w:default="1">
    <w:name w:val="No List"/>
    <w:uiPriority w:val="99"/>
    <w:semiHidden/>
    <w:unhideWhenUsed/>
  </w:style>
  <w:style w:type="paragraph" w:styleId="910" w:customStyle="1">
    <w:name w:val="Абзац списка1"/>
    <w:basedOn w:val="906"/>
    <w:link w:val="926"/>
    <w:pPr>
      <w:ind w:left="720" w:firstLine="709"/>
      <w:jc w:val="both"/>
      <w:spacing w:after="0"/>
    </w:pPr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911" w:customStyle="1">
    <w:name w:val="ConsPlusNormal Знак"/>
    <w:link w:val="912"/>
    <w:rPr>
      <w:rFonts w:ascii="Arial" w:hAnsi="Arial" w:cs="Arial"/>
      <w:sz w:val="22"/>
      <w:szCs w:val="22"/>
      <w:lang w:val="ru-RU" w:eastAsia="en-US"/>
    </w:rPr>
  </w:style>
  <w:style w:type="paragraph" w:styleId="912" w:customStyle="1">
    <w:name w:val="ConsPlusNormal"/>
    <w:link w:val="911"/>
    <w:pPr>
      <w:ind w:firstLine="720"/>
      <w:widowControl w:val="off"/>
    </w:pPr>
    <w:rPr>
      <w:rFonts w:ascii="Arial" w:hAnsi="Arial" w:cs="Arial"/>
      <w:sz w:val="22"/>
      <w:szCs w:val="22"/>
      <w:lang w:eastAsia="en-US"/>
    </w:rPr>
  </w:style>
  <w:style w:type="paragraph" w:styleId="913">
    <w:name w:val="Normal (Web)"/>
    <w:basedOn w:val="90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4" w:customStyle="1">
    <w:name w:val="Standard"/>
    <w:pPr>
      <w:spacing w:after="200" w:line="276" w:lineRule="auto"/>
    </w:pPr>
    <w:rPr>
      <w:rFonts w:eastAsia="SimSun" w:cs="Calibri"/>
      <w:sz w:val="22"/>
      <w:szCs w:val="22"/>
      <w:lang w:eastAsia="en-US"/>
    </w:rPr>
  </w:style>
  <w:style w:type="character" w:styleId="915" w:customStyle="1">
    <w:name w:val="Основной текст_"/>
    <w:link w:val="916"/>
    <w:rPr>
      <w:spacing w:val="-2"/>
      <w:shd w:val="clear" w:color="auto" w:fill="ffffff"/>
    </w:rPr>
  </w:style>
  <w:style w:type="paragraph" w:styleId="916" w:customStyle="1">
    <w:name w:val="Основной текст1"/>
    <w:basedOn w:val="906"/>
    <w:link w:val="915"/>
    <w:pPr>
      <w:ind w:hanging="760"/>
      <w:spacing w:after="360" w:line="317" w:lineRule="exact"/>
      <w:shd w:val="clear" w:color="auto" w:fill="ffffff"/>
      <w:widowControl w:val="off"/>
    </w:pPr>
    <w:rPr>
      <w:spacing w:val="-2"/>
      <w:sz w:val="20"/>
      <w:szCs w:val="20"/>
      <w:lang w:eastAsia="ru-RU"/>
    </w:rPr>
  </w:style>
  <w:style w:type="character" w:styleId="917" w:customStyle="1">
    <w:name w:val="Колонтитул_"/>
    <w:link w:val="918"/>
    <w:rPr>
      <w:spacing w:val="2"/>
      <w:sz w:val="13"/>
      <w:szCs w:val="13"/>
      <w:shd w:val="clear" w:color="auto" w:fill="ffffff"/>
      <w:lang w:val="en-US"/>
    </w:rPr>
  </w:style>
  <w:style w:type="paragraph" w:styleId="918" w:customStyle="1">
    <w:name w:val="Колонтитул"/>
    <w:basedOn w:val="906"/>
    <w:link w:val="917"/>
    <w:pPr>
      <w:spacing w:after="0" w:line="240" w:lineRule="atLeast"/>
      <w:shd w:val="clear" w:color="auto" w:fill="ffffff"/>
      <w:widowControl w:val="off"/>
    </w:pPr>
    <w:rPr>
      <w:spacing w:val="2"/>
      <w:sz w:val="13"/>
      <w:szCs w:val="13"/>
      <w:lang w:val="en-US" w:eastAsia="ru-RU"/>
    </w:rPr>
  </w:style>
  <w:style w:type="character" w:styleId="919">
    <w:name w:val="annotation reference"/>
    <w:semiHidden/>
    <w:rPr>
      <w:sz w:val="16"/>
      <w:szCs w:val="16"/>
    </w:rPr>
  </w:style>
  <w:style w:type="paragraph" w:styleId="920">
    <w:name w:val="annotation text"/>
    <w:basedOn w:val="906"/>
    <w:link w:val="921"/>
    <w:semiHidden/>
    <w:rPr>
      <w:sz w:val="20"/>
      <w:szCs w:val="20"/>
    </w:rPr>
  </w:style>
  <w:style w:type="character" w:styleId="921" w:customStyle="1">
    <w:name w:val="Текст примечания Знак"/>
    <w:link w:val="920"/>
    <w:semiHidden/>
    <w:rPr>
      <w:rFonts w:ascii="Calibri" w:hAnsi="Calibri" w:cs="Calibri"/>
      <w:sz w:val="20"/>
      <w:szCs w:val="20"/>
    </w:rPr>
  </w:style>
  <w:style w:type="paragraph" w:styleId="922">
    <w:name w:val="Balloon Text"/>
    <w:basedOn w:val="906"/>
    <w:link w:val="923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23" w:customStyle="1">
    <w:name w:val="Текст выноски Знак"/>
    <w:link w:val="922"/>
    <w:semiHidden/>
    <w:rPr>
      <w:rFonts w:ascii="Tahoma" w:hAnsi="Tahoma" w:cs="Tahoma"/>
      <w:sz w:val="16"/>
      <w:szCs w:val="16"/>
    </w:rPr>
  </w:style>
  <w:style w:type="character" w:styleId="924" w:customStyle="1">
    <w:name w:val="butback1"/>
    <w:rPr>
      <w:color w:val="auto"/>
    </w:rPr>
  </w:style>
  <w:style w:type="character" w:styleId="925" w:customStyle="1">
    <w:name w:val="submenu-table"/>
    <w:basedOn w:val="907"/>
  </w:style>
  <w:style w:type="character" w:styleId="926" w:customStyle="1">
    <w:name w:val="List Paragraph Char"/>
    <w:link w:val="910"/>
    <w:rPr>
      <w:rFonts w:ascii="Times New Roman" w:hAnsi="Times New Roman" w:cs="Times New Roman"/>
      <w:sz w:val="28"/>
      <w:szCs w:val="28"/>
    </w:rPr>
  </w:style>
  <w:style w:type="paragraph" w:styleId="927">
    <w:name w:val="Body Text Indent"/>
    <w:basedOn w:val="906"/>
    <w:link w:val="928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8" w:customStyle="1">
    <w:name w:val="Основной текст с отступом Знак"/>
    <w:link w:val="927"/>
    <w:rPr>
      <w:rFonts w:ascii="Times New Roman" w:hAnsi="Times New Roman" w:cs="Times New Roman"/>
      <w:sz w:val="24"/>
      <w:szCs w:val="24"/>
    </w:rPr>
  </w:style>
  <w:style w:type="paragraph" w:styleId="929">
    <w:name w:val="Body Text"/>
    <w:basedOn w:val="906"/>
    <w:link w:val="930"/>
    <w:semiHidden/>
    <w:pPr>
      <w:spacing w:after="120"/>
    </w:pPr>
  </w:style>
  <w:style w:type="character" w:styleId="930" w:customStyle="1">
    <w:name w:val="Основной текст Знак"/>
    <w:link w:val="929"/>
    <w:semiHidden/>
    <w:rPr>
      <w:rFonts w:ascii="Calibri" w:hAnsi="Calibri" w:cs="Calibri"/>
    </w:rPr>
  </w:style>
  <w:style w:type="paragraph" w:styleId="931">
    <w:name w:val="footnote text"/>
    <w:basedOn w:val="906"/>
    <w:link w:val="932"/>
    <w:semiHidden/>
    <w:rPr>
      <w:sz w:val="20"/>
      <w:szCs w:val="20"/>
    </w:rPr>
  </w:style>
  <w:style w:type="character" w:styleId="932" w:customStyle="1">
    <w:name w:val="Текст сноски Знак"/>
    <w:link w:val="931"/>
    <w:semiHidden/>
    <w:rPr>
      <w:rFonts w:ascii="Calibri" w:hAnsi="Calibri" w:cs="Calibri"/>
      <w:sz w:val="20"/>
      <w:szCs w:val="20"/>
    </w:rPr>
  </w:style>
  <w:style w:type="character" w:styleId="933">
    <w:name w:val="footnote reference"/>
    <w:semiHidden/>
    <w:rPr>
      <w:vertAlign w:val="superscript"/>
    </w:rPr>
  </w:style>
  <w:style w:type="paragraph" w:styleId="934">
    <w:name w:val="annotation subject"/>
    <w:basedOn w:val="920"/>
    <w:next w:val="920"/>
    <w:link w:val="935"/>
    <w:semiHidden/>
    <w:rPr>
      <w:b/>
      <w:bCs/>
    </w:rPr>
  </w:style>
  <w:style w:type="character" w:styleId="935" w:customStyle="1">
    <w:name w:val="Тема примечания Знак"/>
    <w:link w:val="934"/>
    <w:semiHidden/>
    <w:rPr>
      <w:rFonts w:ascii="Calibri" w:hAnsi="Calibri" w:cs="Calibri"/>
      <w:b/>
      <w:bCs/>
      <w:sz w:val="20"/>
      <w:szCs w:val="20"/>
    </w:rPr>
  </w:style>
  <w:style w:type="paragraph" w:styleId="936">
    <w:name w:val="Header"/>
    <w:basedOn w:val="906"/>
    <w:link w:val="937"/>
    <w:pPr>
      <w:tabs>
        <w:tab w:val="center" w:pos="4677" w:leader="none"/>
        <w:tab w:val="right" w:pos="9355" w:leader="none"/>
      </w:tabs>
    </w:pPr>
  </w:style>
  <w:style w:type="character" w:styleId="937" w:customStyle="1">
    <w:name w:val="Верхний колонтитул Знак"/>
    <w:link w:val="936"/>
    <w:rPr>
      <w:rFonts w:ascii="Calibri" w:hAnsi="Calibri" w:cs="Calibri"/>
    </w:rPr>
  </w:style>
  <w:style w:type="paragraph" w:styleId="938">
    <w:name w:val="Footer"/>
    <w:basedOn w:val="906"/>
    <w:link w:val="939"/>
    <w:pPr>
      <w:tabs>
        <w:tab w:val="center" w:pos="4677" w:leader="none"/>
        <w:tab w:val="right" w:pos="9355" w:leader="none"/>
      </w:tabs>
    </w:pPr>
  </w:style>
  <w:style w:type="character" w:styleId="939" w:customStyle="1">
    <w:name w:val="Нижний колонтитул Знак"/>
    <w:link w:val="938"/>
    <w:rPr>
      <w:rFonts w:ascii="Calibri" w:hAnsi="Calibri" w:cs="Calibri"/>
    </w:rPr>
  </w:style>
  <w:style w:type="paragraph" w:styleId="940" w:customStyle="1">
    <w:name w:val="Обычный.Текст с отступ."/>
    <w:pPr>
      <w:ind w:firstLine="709"/>
      <w:jc w:val="both"/>
    </w:pPr>
    <w:rPr>
      <w:rFonts w:ascii="Times New Roman" w:hAnsi="Times New Roman" w:eastAsia="Times New Roman"/>
      <w:sz w:val="24"/>
      <w:szCs w:val="24"/>
    </w:rPr>
  </w:style>
  <w:style w:type="character" w:styleId="941" w:customStyle="1">
    <w:name w:val="Дата1"/>
    <w:basedOn w:val="907"/>
  </w:style>
  <w:style w:type="character" w:styleId="942">
    <w:name w:val="Strong"/>
    <w:qFormat/>
    <w:rPr>
      <w:b/>
      <w:bCs/>
    </w:rPr>
  </w:style>
  <w:style w:type="character" w:styleId="943" w:customStyle="1">
    <w:name w:val="Font Style13"/>
    <w:rPr>
      <w:rFonts w:ascii="Candara" w:hAnsi="Candara" w:cs="Candara"/>
      <w:sz w:val="24"/>
      <w:szCs w:val="24"/>
    </w:rPr>
  </w:style>
  <w:style w:type="paragraph" w:styleId="944" w:customStyle="1">
    <w:name w:val="western"/>
    <w:basedOn w:val="906"/>
    <w:pPr>
      <w:spacing w:before="100" w:beforeAutospacing="1" w:after="115"/>
    </w:pPr>
    <w:rPr>
      <w:rFonts w:eastAsia="Times New Roman"/>
      <w:color w:val="000000"/>
      <w:lang w:eastAsia="ru-RU"/>
    </w:rPr>
  </w:style>
  <w:style w:type="paragraph" w:styleId="945" w:customStyle="1">
    <w:name w:val="Без интервала1"/>
    <w:link w:val="946"/>
    <w:rPr>
      <w:rFonts w:eastAsia="Times New Roman" w:cs="Calibri"/>
      <w:sz w:val="22"/>
      <w:szCs w:val="22"/>
      <w:lang w:eastAsia="en-US"/>
    </w:rPr>
  </w:style>
  <w:style w:type="character" w:styleId="946" w:customStyle="1">
    <w:name w:val="No Spacing Char"/>
    <w:link w:val="945"/>
    <w:rPr>
      <w:rFonts w:eastAsia="Times New Roman"/>
      <w:sz w:val="22"/>
      <w:szCs w:val="22"/>
      <w:lang w:val="ru-RU" w:eastAsia="en-US"/>
    </w:rPr>
  </w:style>
  <w:style w:type="paragraph" w:styleId="947">
    <w:name w:val="Title"/>
    <w:basedOn w:val="906"/>
    <w:next w:val="906"/>
    <w:link w:val="948"/>
    <w:qFormat/>
    <w:pPr>
      <w:spacing w:after="300" w:line="240" w:lineRule="auto"/>
      <w:pBdr>
        <w:bottom w:val="single" w:color="4F81BD" w:sz="8" w:space="4"/>
      </w:pBdr>
    </w:pPr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948" w:customStyle="1">
    <w:name w:val="Название Знак"/>
    <w:link w:val="947"/>
    <w:rPr>
      <w:rFonts w:ascii="Cambria" w:hAnsi="Cambria" w:cs="Cambria"/>
      <w:color w:val="17365d"/>
      <w:spacing w:val="5"/>
      <w:sz w:val="52"/>
      <w:szCs w:val="52"/>
      <w:lang w:eastAsia="ru-RU"/>
    </w:rPr>
  </w:style>
  <w:style w:type="table" w:styleId="949">
    <w:name w:val="Table Grid"/>
    <w:basedOn w:val="908"/>
    <w:rPr>
      <w:rFonts w:cs="Calibri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50" w:customStyle="1">
    <w:name w:val="Основной текст с отступом Знак3"/>
    <w:rPr>
      <w:sz w:val="24"/>
      <w:lang w:eastAsia="ar-SA" w:bidi="ar-SA"/>
    </w:rPr>
  </w:style>
  <w:style w:type="paragraph" w:styleId="951">
    <w:name w:val="Body Text Indent 2"/>
    <w:basedOn w:val="906"/>
    <w:link w:val="952"/>
    <w:pPr>
      <w:ind w:left="283"/>
      <w:spacing w:after="120" w:line="480" w:lineRule="auto"/>
    </w:pPr>
  </w:style>
  <w:style w:type="character" w:styleId="952" w:customStyle="1">
    <w:name w:val="Основной текст с отступом 2 Знак"/>
    <w:link w:val="951"/>
    <w:rPr>
      <w:rFonts w:cs="Calibri"/>
      <w:sz w:val="22"/>
      <w:szCs w:val="22"/>
      <w:lang w:eastAsia="en-US"/>
    </w:rPr>
  </w:style>
  <w:style w:type="paragraph" w:styleId="953">
    <w:name w:val="No Spacing"/>
    <w:uiPriority w:val="1"/>
    <w:qFormat/>
    <w:rPr>
      <w:rFonts w:cs="Calibri"/>
      <w:sz w:val="22"/>
      <w:szCs w:val="22"/>
      <w:lang w:eastAsia="en-US"/>
    </w:rPr>
  </w:style>
  <w:style w:type="paragraph" w:styleId="954">
    <w:name w:val="List Paragraph"/>
    <w:basedOn w:val="906"/>
    <w:uiPriority w:val="34"/>
    <w:qFormat/>
    <w:pPr>
      <w:ind w:left="720"/>
    </w:pPr>
  </w:style>
  <w:style w:type="character" w:styleId="955" w:customStyle="1">
    <w:name w:val="МОН Знак"/>
    <w:link w:val="956"/>
    <w:rPr>
      <w:sz w:val="24"/>
      <w:szCs w:val="24"/>
    </w:rPr>
  </w:style>
  <w:style w:type="paragraph" w:styleId="956" w:customStyle="1">
    <w:name w:val="МОН"/>
    <w:basedOn w:val="906"/>
    <w:link w:val="955"/>
    <w:pPr>
      <w:ind w:firstLine="709"/>
      <w:jc w:val="both"/>
      <w:spacing w:after="0" w:line="360" w:lineRule="auto"/>
    </w:pPr>
    <w:rPr>
      <w:rFonts w:cs="Times New Roman"/>
      <w:sz w:val="24"/>
      <w:szCs w:val="24"/>
      <w:lang w:eastAsia="ru-RU"/>
    </w:rPr>
  </w:style>
  <w:style w:type="paragraph" w:styleId="957" w:customStyle="1">
    <w:name w:val="Знак Знак Знак Знак Знак Знак Знак Знак Знак Знак Знак Знак Знак Знак"/>
    <w:basedOn w:val="906"/>
    <w:pPr>
      <w:jc w:val="both"/>
      <w:spacing w:before="100" w:beforeAutospacing="1" w:after="100" w:afterAutospacing="1" w:line="240" w:lineRule="auto"/>
    </w:pPr>
    <w:rPr>
      <w:rFonts w:ascii="Tahoma" w:hAnsi="Tahoma" w:eastAsia="Times New Roman" w:cs="Times New Roman"/>
      <w:sz w:val="20"/>
      <w:szCs w:val="20"/>
      <w:lang w:val="en-US"/>
    </w:rPr>
  </w:style>
  <w:style w:type="character" w:styleId="958">
    <w:name w:val="Hyperlink"/>
    <w:uiPriority w:val="99"/>
    <w:rPr>
      <w:color w:val="0000ff"/>
      <w:u w:val="single"/>
    </w:rPr>
  </w:style>
  <w:style w:type="character" w:styleId="959">
    <w:name w:val="FollowedHyperlink"/>
    <w:basedOn w:val="907"/>
    <w:uiPriority w:val="99"/>
    <w:unhideWhenUsed/>
    <w:rPr>
      <w:color w:val="800080"/>
      <w:u w:val="single"/>
    </w:rPr>
  </w:style>
  <w:style w:type="paragraph" w:styleId="960" w:customStyle="1">
    <w:name w:val="xl63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61" w:customStyle="1">
    <w:name w:val="xl64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62" w:customStyle="1">
    <w:name w:val="xl65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63" w:customStyle="1">
    <w:name w:val="xl66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64" w:customStyle="1">
    <w:name w:val="xl67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5" w:customStyle="1">
    <w:name w:val="xl68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6" w:customStyle="1">
    <w:name w:val="xl69"/>
    <w:basedOn w:val="906"/>
    <w:pPr>
      <w:jc w:val="center"/>
      <w:spacing w:before="100" w:beforeAutospacing="1" w:after="100" w:afterAutospacing="1" w:line="240" w:lineRule="auto"/>
      <w:shd w:val="clear" w:color="000000" w:fill="ffffff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67" w:customStyle="1">
    <w:name w:val="xl70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68" w:customStyle="1">
    <w:name w:val="xl71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69" w:customStyle="1">
    <w:name w:val="xl72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70" w:customStyle="1">
    <w:name w:val="xl73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  <w:bottom w:val="singl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71" w:customStyle="1">
    <w:name w:val="xl74"/>
    <w:basedOn w:val="906"/>
    <w:pPr>
      <w:jc w:val="center"/>
      <w:spacing w:before="100" w:beforeAutospacing="1" w:after="100" w:afterAutospacing="1" w:line="240" w:lineRule="auto"/>
      <w:pBdr>
        <w:top w:val="single" w:color="000000" w:sz="4" w:space="0"/>
      </w:pBdr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numbering" w:styleId="972" w:customStyle="1">
    <w:name w:val="Нет списка1"/>
    <w:next w:val="909"/>
    <w:uiPriority w:val="99"/>
    <w:semiHidden/>
    <w:unhideWhenUsed/>
  </w:style>
  <w:style w:type="table" w:styleId="973" w:customStyle="1">
    <w:name w:val="Сетка таблицы1"/>
    <w:basedOn w:val="908"/>
    <w:next w:val="949"/>
    <w:rPr>
      <w:rFonts w:cs="Calibri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D79E3-9C5D-49C8-8A1A-E97831814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</dc:creator>
  <cp:revision>18</cp:revision>
  <dcterms:created xsi:type="dcterms:W3CDTF">2024-10-24T07:42:00Z</dcterms:created>
  <dcterms:modified xsi:type="dcterms:W3CDTF">2024-11-08T08:10:18Z</dcterms:modified>
</cp:coreProperties>
</file>