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framePr w:wrap="auto" w:vAnchor="page" w:hAnchor="margin" w:y="1"/>
      </w:pPr>
      <w:r/>
      <w:r/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/>
      <w:bookmarkStart w:id="0" w:name="Par29"/>
      <w:r/>
      <w:bookmarkStart w:id="1" w:name="Par1"/>
      <w:r/>
      <w:bookmarkStart w:id="2" w:name="Par36"/>
      <w:r/>
      <w:bookmarkStart w:id="3" w:name="Par49"/>
      <w:r/>
      <w:bookmarkEnd w:id="0"/>
      <w:r/>
      <w:bookmarkEnd w:id="1"/>
      <w:r/>
      <w:bookmarkEnd w:id="2"/>
      <w:r/>
      <w:bookmarkEnd w:id="3"/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2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от 01.11.2024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 № 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1719</w:t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О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б утверждении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муниципальной программ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ы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«Энергосбережение и повышение 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энергоэф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ф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ективности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» на 202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5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-202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7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  <w:t xml:space="preserve"> годы</w:t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cs="Times New Roman"/>
          <w:b/>
          <w:bCs/>
          <w:sz w:val="20"/>
          <w:szCs w:val="20"/>
          <w:lang w:eastAsia="ru-RU"/>
        </w:rPr>
      </w:r>
    </w:p>
    <w:p>
      <w:pPr>
        <w:ind w:left="34"/>
        <w:jc w:val="center"/>
        <w:spacing w:after="0" w:line="240" w:lineRule="auto"/>
        <w:rPr>
          <w:rFonts w:ascii="Times New Roman" w:hAnsi="Times New Roman" w:eastAsia="Times New Roman" w:cs="Times New Roman"/>
          <w:color w:val="0070c0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color w:val="0070c0"/>
          <w:sz w:val="20"/>
          <w:szCs w:val="20"/>
          <w:lang w:eastAsia="ru-RU"/>
        </w:rPr>
        <w:t xml:space="preserve">  </w:t>
      </w:r>
      <w:r>
        <w:rPr>
          <w:rFonts w:ascii="Times New Roman" w:hAnsi="Times New Roman" w:eastAsia="Times New Roman" w:cs="Times New Roman"/>
          <w:color w:val="0070c0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color w:val="0070c0"/>
          <w:sz w:val="20"/>
          <w:szCs w:val="20"/>
          <w:lang w:eastAsia="ru-RU"/>
        </w:rPr>
      </w:r>
    </w:p>
    <w:p>
      <w:pPr>
        <w:ind w:left="34" w:firstLine="675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Руководствуясь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Федеральным законом от 06.10.2003 № 131-ФЗ «Об общих принципах организации местного самоуправления в Российской Федерации»,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Порядком разработки, реализации и оценки эффективности муниципальных программ Печенгского муниципального округа, утвержденн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ым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постановлением администрации Печенгского муниципального округа от 16.08.2021 № 838, </w:t>
      </w:r>
      <w:r>
        <w:rPr>
          <w:rFonts w:ascii="Times New Roman" w:hAnsi="Times New Roman" w:cs="Times New Roman"/>
          <w:sz w:val="24"/>
          <w:szCs w:val="24"/>
        </w:rPr>
        <w:t xml:space="preserve">в целях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обеспечения рационального и экономного использования энергетических ресурсов за счет реализаци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и энергосберегающих мероприяти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й в Печенгском муниципальном округе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29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Утвердить муниципальную программу Печ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енгского муниципального округа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«Энергосбережение и повышение энергетической эффективности» на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7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годы согласно приложению.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numPr>
          <w:ilvl w:val="0"/>
          <w:numId w:val="29"/>
        </w:numPr>
        <w:ind w:left="0"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 w:eastAsia="Lucida Sans Unicode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Настоящее постановление вступает в силу с 01 января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года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eastAsia="Lucida Sans Unicode" w:cs="Times New Roman"/>
          <w:sz w:val="24"/>
          <w:szCs w:val="24"/>
        </w:rPr>
      </w:r>
      <w:r>
        <w:rPr>
          <w:rFonts w:ascii="Times New Roman" w:hAnsi="Times New Roman" w:eastAsia="Lucida Sans Unicode" w:cs="Times New Roman"/>
          <w:sz w:val="24"/>
          <w:szCs w:val="24"/>
        </w:rPr>
      </w:r>
    </w:p>
    <w:p>
      <w:pPr>
        <w:numPr>
          <w:ilvl w:val="0"/>
          <w:numId w:val="29"/>
        </w:numPr>
        <w:ind w:left="0"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 w:eastAsia="Lucida Sans Unicode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Настоящее постановление опубликовать в официальном издании газета «Печенга» и разместить на сайте Печенгского муниципального округа в сети Интернет.</w:t>
      </w:r>
      <w:r>
        <w:rPr>
          <w:rFonts w:ascii="Times New Roman" w:hAnsi="Times New Roman" w:eastAsia="Lucida Sans Unicode" w:cs="Times New Roman"/>
          <w:sz w:val="24"/>
          <w:szCs w:val="24"/>
        </w:rPr>
      </w:r>
      <w:r>
        <w:rPr>
          <w:rFonts w:ascii="Times New Roman" w:hAnsi="Times New Roman" w:eastAsia="Lucida Sans Unicode" w:cs="Times New Roman"/>
          <w:sz w:val="24"/>
          <w:szCs w:val="24"/>
        </w:rPr>
      </w:r>
    </w:p>
    <w:p>
      <w:pPr>
        <w:numPr>
          <w:ilvl w:val="0"/>
          <w:numId w:val="29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 Контроль за</w:t>
      </w:r>
      <w:r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возложить на заместителя Главы Печенгского муниципального округа Пономарева А.В.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/>
      <w:bookmarkStart w:id="4" w:name="_GoBack"/>
      <w:r/>
      <w:bookmarkEnd w:id="4"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      А.В. Кузнецов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Князева Э.Г.,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12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  <w:t xml:space="preserve">91</w:t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ind w:left="5529" w:right="-1"/>
        <w:spacing w:after="0" w:line="240" w:lineRule="auto"/>
        <w:tabs>
          <w:tab w:val="left" w:pos="284" w:leader="none"/>
          <w:tab w:val="left" w:pos="426" w:leader="none"/>
          <w:tab w:val="left" w:pos="5529" w:leader="none"/>
        </w:tabs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426" w:leader="none"/>
          <w:tab w:val="left" w:pos="5529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к постановлению администрации Печенгского муниципального округа 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284" w:leader="none"/>
          <w:tab w:val="left" w:pos="426" w:leader="none"/>
          <w:tab w:val="left" w:pos="5529" w:leader="none"/>
        </w:tabs>
        <w:rPr>
          <w:rFonts w:ascii="Times New Roman" w:hAnsi="Times New Roman" w:cs="Times New Roman"/>
          <w:i/>
          <w:color w:val="0000cc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01.11.2024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№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1719</w:t>
      </w:r>
      <w:r>
        <w:rPr>
          <w:rFonts w:ascii="Times New Roman" w:hAnsi="Times New Roman" w:cs="Times New Roman"/>
          <w:i/>
          <w:color w:val="0000cc"/>
          <w:sz w:val="24"/>
          <w:szCs w:val="24"/>
          <w:lang w:eastAsia="ru-RU"/>
        </w:rPr>
      </w:r>
      <w:r>
        <w:rPr>
          <w:rFonts w:ascii="Times New Roman" w:hAnsi="Times New Roman" w:cs="Times New Roman"/>
          <w:i/>
          <w:color w:val="0000cc"/>
          <w:sz w:val="24"/>
          <w:szCs w:val="24"/>
          <w:lang w:eastAsia="ru-RU"/>
        </w:rPr>
      </w:r>
    </w:p>
    <w:p>
      <w:pPr>
        <w:ind w:right="-1" w:firstLine="5387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1" w:firstLine="5387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right="-1"/>
        <w:jc w:val="center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МУНИЦИПАЛЬНАЯ ПРОГРАММА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ind w:right="-1"/>
        <w:jc w:val="center"/>
        <w:spacing w:after="0" w:line="240" w:lineRule="auto"/>
        <w:tabs>
          <w:tab w:val="left" w:pos="0" w:leader="none"/>
          <w:tab w:val="left" w:pos="284" w:leader="none"/>
          <w:tab w:val="left" w:pos="426" w:leader="none"/>
          <w:tab w:val="left" w:pos="5812" w:leader="none"/>
        </w:tabs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«Энергосбережение и повышение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энергоэффективности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»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на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202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5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-202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7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ПАСПОРТ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муниципальной программы Печенгского муниципального округа «Энергосбережение и повышение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энергоэффективности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»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на 202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5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-202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7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</w:r>
    </w:p>
    <w:tbl>
      <w:tblPr>
        <w:tblW w:w="4994" w:type="pct"/>
        <w:jc w:val="center"/>
        <w:tblInd w:w="-225" w:type="dxa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510"/>
        <w:gridCol w:w="6983"/>
      </w:tblGrid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Цели программы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78" w:type="pct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рационального и экономного использования энергетических ресурсов за счёт реализации энергосберегающих мероприятий.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256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3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Задачи программы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678" w:type="pct"/>
            <w:vAlign w:val="center"/>
            <w:textDirection w:val="lrTb"/>
            <w:noWrap w:val="false"/>
          </w:tcPr>
          <w:p>
            <w:pPr>
              <w:pStyle w:val="92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устойчивого процесса повышения эффективности энергопотребления.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  <w:trHeight w:val="36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Показатели программы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78" w:type="pct"/>
            <w:textDirection w:val="lrTb"/>
            <w:noWrap w:val="false"/>
          </w:tcPr>
          <w:p>
            <w:pPr>
              <w:jc w:val="both"/>
              <w:spacing w:after="0" w:line="240" w:lineRule="auto"/>
              <w:tabs>
                <w:tab w:val="left" w:pos="606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Наличие утвержденных лимитов потребления энергоресурсов муниципальными учреждениями.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606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Проведение мониторинга по соблюдению установленных лимитов муниципальными учреждениями.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606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 Проведение мониторинга по реализации энергосберегающих мероприятий.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606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Проведение разъяснительной работы, обучение основам энергосбережения сотру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дников муниципальных учреждений.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606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Наличие и функционирование приборов учета потребления энергоресурсов в муниципальных учреждениях и сроков их поверки.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606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6. Предоставление энергетических деклараций через модуль ГИС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Энергоэффективность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».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606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Количество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муниципальных жилых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помещений, в которых установлены приборы учёта энергетических ресурсов.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tabs>
                <w:tab w:val="left" w:pos="6060" w:leader="none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8. Количество незаселенных муниципальных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жилых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помещений, в которых установлены приборы учета энергетических ресурсов.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Сроки и этапы реализации программы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-202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годы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3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Перечень подпрограмм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542"/>
        </w:trPr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3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Финансовое обеспечение программы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36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Всего по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муниципальной программе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: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450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,0 тыс. рублей,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     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в том числе: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ФБ: 0,0 тыс. рублей, из них: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ОБ: 0,0 тыс. рублей, из них: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МБ: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450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,0 тыс. рублей, из них: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год: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15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0,0 тыс. рублей,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год: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15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0,0 тыс. рублей,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год: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15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0,0 тыс. рублей,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ВБС: 0,0 тыс. рублей, из них: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год: 0,0 тыс. рублей,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год: 0,0 тыс. рублей.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Справочно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: объем налоговых расходов муниципального образования в рамках реализации программы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78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Всего 0,0 тыс. рублей,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в том числе: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год: 0,0 тыс. рублей;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год: 0,0 тыс. рублей;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202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7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 год: 0,0 тыс. рублей.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Ожидаемые конечные результаты реализации программы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78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Снижение затрат на энергопотребление учреждений муниципального образования в результате реализации энергосберегающих мероприятий.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овышение уровня компетентности работников в вопросах эффективного использования энергетических ресурсов.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  <w:t xml:space="preserve">беспечение муниципального жилищного фонда индивидуальными приборами учёта энергетических ресурсов.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  <w:trHeight w:val="27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Ответственный исполнитель программы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78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Печенгского муниципального округа (Отдел строительства и ЖКХ администрации Печенгского муниципального округа (далее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ОС и ЖКХ)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Исполнители программы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78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учреждение «Ремонтно-эксплуатационная служба» (далее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МБУ «РЭС»),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Администрация Печенгского муниципального округа (отдел экономического развития администрации Печенгского муниципального округа) (далее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ОЭР), муниципальные учреждения.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jc w:val="center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22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  <w:t xml:space="preserve">Соисполнители программы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eastAsia="ru-RU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678" w:type="pct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934"/>
        <w:ind w:left="0"/>
        <w:widowControl w:val="off"/>
        <w:rPr>
          <w:b/>
          <w:bCs/>
        </w:rPr>
      </w:pPr>
      <w:r/>
      <w:bookmarkStart w:id="5" w:name="Par149"/>
      <w:r/>
      <w:bookmarkEnd w:id="5"/>
      <w:r>
        <w:rPr>
          <w:b/>
          <w:bCs/>
        </w:rPr>
      </w:r>
      <w:r>
        <w:rPr>
          <w:b/>
          <w:bCs/>
        </w:rPr>
      </w:r>
    </w:p>
    <w:p>
      <w:pPr>
        <w:pStyle w:val="949"/>
        <w:numPr>
          <w:ilvl w:val="0"/>
          <w:numId w:val="37"/>
        </w:numPr>
        <w:ind w:left="0"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Характеристика проблемы, на решение которой направлена программа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934"/>
        <w:ind w:left="1080"/>
        <w:widowControl w:val="off"/>
        <w:rPr>
          <w:b/>
          <w:bCs/>
        </w:rPr>
      </w:pPr>
      <w:r>
        <w:rPr>
          <w:b/>
          <w:bCs/>
        </w:rPr>
      </w:r>
      <w:r>
        <w:rPr>
          <w:b/>
          <w:bCs/>
        </w:rPr>
      </w:r>
      <w:r>
        <w:rPr>
          <w:b/>
          <w:bCs/>
        </w:rPr>
      </w:r>
    </w:p>
    <w:p>
      <w:pPr>
        <w:pStyle w:val="924"/>
        <w:ind w:firstLine="708"/>
        <w:jc w:val="both"/>
        <w:rPr>
          <w:rFonts w:ascii="Times New Roman" w:hAnsi="Times New Roman" w:cs="Times New Roman"/>
          <w:color w:val="0000ff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Правовой основой для разработки программы является </w:t>
      </w:r>
      <w:hyperlink r:id="rId13" w:tooltip="http://docs.cntd.ru/document/902186281" w:history="1">
        <w:r>
          <w:rPr>
            <w:rFonts w:ascii="Times New Roman" w:hAnsi="Times New Roman" w:cs="Times New Roman"/>
            <w:sz w:val="24"/>
            <w:szCs w:val="24"/>
          </w:rPr>
          <w:t xml:space="preserve">Федеральный закон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</w:t>
        </w:r>
      </w:hyperlink>
      <w:r>
        <w:rPr>
          <w:rFonts w:ascii="Times New Roman" w:hAnsi="Times New Roman" w:cs="Times New Roman"/>
          <w:color w:val="0000ff"/>
          <w:sz w:val="24"/>
          <w:szCs w:val="24"/>
        </w:rPr>
        <w:t xml:space="preserve">. </w:t>
      </w:r>
      <w:r>
        <w:rPr>
          <w:rFonts w:ascii="Times New Roman" w:hAnsi="Times New Roman" w:cs="Times New Roman"/>
          <w:color w:val="0000ff"/>
          <w:sz w:val="24"/>
          <w:szCs w:val="24"/>
        </w:rPr>
      </w:r>
      <w:r>
        <w:rPr>
          <w:rFonts w:ascii="Times New Roman" w:hAnsi="Times New Roman" w:cs="Times New Roman"/>
          <w:color w:val="0000ff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 настоящее время проблемы энергосбережения и энергетической эффективности не теряют своей актуальности. Спрос на энергетические ресурсы постоянно растет, вместе с тем повышаются тарифы, сокращаются запасы полезных ископаемых (нефть, газ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, уголь), ухудшается экология. Все это придает особенное значение вопросам энергосбережения. Одним из эффективных способов снижения энергетических затрат является внедрение современных энергосберегающих технологий, реализация энергосберегающих мероприятий.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Основным инструментом управления процесса энергосбережения является программно-целевой метод, предусматривающий разработку, принятие и исполнение муниципальных программ энергосбережения.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Основными преимуществами решения проблемы энергосбережения программно-целевым методом являются: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комплексный подход к решению задачи энергосбережения и координация действий по ее решению;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распределение полномочий и ответственности исполнителей мероприятий программы;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эффективное планирование и мониторинг результатов реализации программы;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целевое финансирование комплекса энергосберегающих мероприятий.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Ранее на территории муниципального образования реализовывались программы по энергосбережению. Основные мероприятия реализовывались по двум направлениям: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  <w:t xml:space="preserve">- организационные мероприятия по энергосбережению и повышению энергетической эффективности;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  <w:t xml:space="preserve">- технические и технологические мероприятия по энергосбережению и повышению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энергоэффективности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950"/>
        <w:ind w:firstLine="708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ab/>
        <w:t xml:space="preserve">В ходе реализации программ 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беспечено более рациональное и экономное использование энергоресурсов - достигнута экономия по использованию электроэнергии, отоплению, водоснабжению в муниципальных учреждениях, что свидетельствует о достаточном уровне эффективности  реализации программ. 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ab/>
        <w:t xml:space="preserve">Как и прежде, повышение эффективности использования энергетических ресурсов остается одной из приоритетных задач социально-экономического развития муниципального образования, решение которой обеспечивается настоящей программой.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924"/>
        <w:ind w:firstLine="708"/>
        <w:jc w:val="both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Программа разработана с учетом накопленного опыта реализации действовавших ранее программ по энергосбережению. Ее реализация будет осуществляться на основе выполнения мероприятий, взаимоувязанных по целям, задачам и срокам исполнения.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ind w:firstLine="708"/>
        <w:jc w:val="both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9"/>
        <w:numPr>
          <w:ilvl w:val="0"/>
          <w:numId w:val="37"/>
        </w:numPr>
        <w:ind w:left="0" w:firstLine="708"/>
        <w:jc w:val="center"/>
        <w:spacing w:after="0" w:line="240" w:lineRule="auto"/>
        <w:tabs>
          <w:tab w:val="left" w:pos="567" w:leader="none"/>
          <w:tab w:val="left" w:pos="993" w:leader="none"/>
        </w:tabs>
        <w:rPr>
          <w:rFonts w:ascii="Times New Roman" w:hAnsi="Times New Roman"/>
          <w:b/>
          <w:bCs/>
          <w:sz w:val="24"/>
          <w:szCs w:val="24"/>
          <w:lang w:eastAsia="ru-RU"/>
        </w:rPr>
        <w:outlineLvl w:val="1"/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Основные цели и задачи программы с указанием сроков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br/>
      </w: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и этапов ее реализации, а также перечень основных мероприятий и показателей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949"/>
        <w:ind w:left="708"/>
        <w:spacing w:after="0" w:line="240" w:lineRule="auto"/>
        <w:tabs>
          <w:tab w:val="left" w:pos="567" w:leader="none"/>
          <w:tab w:val="left" w:pos="993" w:leader="none"/>
        </w:tabs>
        <w:rPr>
          <w:rFonts w:ascii="Times New Roman" w:hAnsi="Times New Roman"/>
          <w:b/>
          <w:bCs/>
          <w:sz w:val="24"/>
          <w:szCs w:val="24"/>
          <w:lang w:eastAsia="ru-RU"/>
        </w:rPr>
        <w:outlineLvl w:val="1"/>
      </w:pPr>
      <w:r>
        <w:rPr>
          <w:rFonts w:ascii="Times New Roman" w:hAnsi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924"/>
        <w:ind w:firstLine="708"/>
        <w:jc w:val="both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Целью данной программы является обеспечение рационального использования энергетических ресурсов за счёт реализации энергосберегающих мероприятий.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ind w:firstLine="708"/>
        <w:jc w:val="both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Задача программы - обеспечение устойчивого процесса повышения эффективности энергопотребления. 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Достижение поставленной цели позволит продолжить процесс перевода муниципального образования на энергосберегающий путь развития и значительно снизить негативные последствия роста тарифов на энергетические ресурсы.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24"/>
        <w:ind w:firstLine="708"/>
        <w:jc w:val="both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В ходе успешной реализации программы будет обеспечено: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снижение затрат на энергопотребление учреждений муниципального образования в результате реализации энергосберегающих мероприятий;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повышение уровня компетентности работников в вопросах эффективного использования энергетических ресурсов;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обеспечение муниципального жилищного фонда индивидуальными приборами учёта энергетических ресурсов.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8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8"/>
        <w:jc w:val="center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  <w:t xml:space="preserve">Основные показатели эффективности реализации программы</w:t>
      </w: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u w:val="single"/>
          <w:lang w:eastAsia="ru-RU"/>
        </w:rPr>
      </w:r>
    </w:p>
    <w:p>
      <w:pPr>
        <w:pStyle w:val="934"/>
        <w:ind w:left="0"/>
        <w:jc w:val="center"/>
        <w:widowControl w:val="off"/>
        <w:rPr>
          <w:bCs/>
          <w:color w:val="0070c0"/>
          <w:sz w:val="20"/>
          <w:szCs w:val="20"/>
        </w:rPr>
        <w:outlineLvl w:val="1"/>
      </w:pPr>
      <w:r>
        <w:rPr>
          <w:bCs/>
          <w:color w:val="0070c0"/>
          <w:sz w:val="20"/>
          <w:szCs w:val="20"/>
        </w:rPr>
      </w:r>
      <w:r>
        <w:rPr>
          <w:bCs/>
          <w:color w:val="0070c0"/>
          <w:sz w:val="20"/>
          <w:szCs w:val="20"/>
        </w:rPr>
      </w:r>
      <w:r>
        <w:rPr>
          <w:bCs/>
          <w:color w:val="0070c0"/>
          <w:sz w:val="20"/>
          <w:szCs w:val="20"/>
        </w:rPr>
      </w:r>
    </w:p>
    <w:tbl>
      <w:tblPr>
        <w:tblpPr w:horzAnchor="margin" w:tblpX="108" w:vertAnchor="text" w:tblpY="1" w:leftFromText="181" w:topFromText="0" w:rightFromText="181" w:bottomFromText="0"/>
        <w:tblW w:w="970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667"/>
        <w:gridCol w:w="8"/>
        <w:gridCol w:w="2552"/>
        <w:gridCol w:w="847"/>
        <w:gridCol w:w="726"/>
        <w:gridCol w:w="857"/>
        <w:gridCol w:w="731"/>
        <w:gridCol w:w="856"/>
        <w:gridCol w:w="802"/>
        <w:gridCol w:w="1654"/>
      </w:tblGrid>
      <w:tr>
        <w:tblPrEx/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№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п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/п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Цели, 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мероприятия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, показатели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7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Ед. изм.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97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Значение показателя 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654" w:type="dxa"/>
            <w:vMerge w:val="restart"/>
            <w:textDirection w:val="lrTb"/>
            <w:noWrap w:val="false"/>
          </w:tcPr>
          <w:p>
            <w:pPr>
              <w:ind w:right="-14"/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Источник данных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319"/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Отчет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Оценка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38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Годы реализации программы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65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6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tabs>
                <w:tab w:val="center" w:pos="716" w:leader="none"/>
                <w:tab w:val="left" w:pos="1361" w:leader="none"/>
              </w:tabs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20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202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  <w:r>
              <w:rPr>
                <w:rFonts w:ascii="Times New Roman" w:hAnsi="Times New Roman"/>
                <w:bCs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5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315"/>
          <w:tblHeader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1.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02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Показатель цели муниципальной программы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</w:tr>
      <w:tr>
        <w:tblPrEx/>
        <w:trPr>
          <w:trHeight w:val="464"/>
          <w:tblHeader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1.1.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gridSpan w:val="8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025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Обеспечение рационального и экономного использования энергетических ресурсов за счёт реализации энергосберегающих мероприятий.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</w:tr>
      <w:tr>
        <w:tblPrEx/>
        <w:trPr>
          <w:trHeight w:val="228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2.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</w:r>
          </w:p>
        </w:tc>
        <w:tc>
          <w:tcPr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25" w:type="dxa"/>
            <w:textDirection w:val="lrTb"/>
            <w:noWrap w:val="false"/>
          </w:tcPr>
          <w:p>
            <w:pPr>
              <w:ind w:right="22"/>
              <w:spacing w:before="4"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Показатели мероприятий муниципальной программы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87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2.1.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ind w:right="22"/>
              <w:jc w:val="both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Наличие утвержденных лимитов потребления энергоресурсов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муниципальными учреждениями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%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6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7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1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6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02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100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54" w:type="dxa"/>
            <w:textDirection w:val="lrTb"/>
            <w:noWrap w:val="false"/>
          </w:tcPr>
          <w:p>
            <w:pPr>
              <w:ind w:right="22"/>
              <w:jc w:val="center"/>
              <w:spacing w:before="4"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Информация ОЭР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87"/>
        </w:trPr>
        <w:tc>
          <w:tcPr>
            <w:gridSpan w:val="2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2.2.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pStyle w:val="947"/>
              <w:ind w:left="3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мониторинга по соблюдению установленных лимитов муниципальными учреждениями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6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7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1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6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02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54" w:type="dxa"/>
            <w:textDirection w:val="lrTb"/>
            <w:noWrap w:val="false"/>
          </w:tcPr>
          <w:p>
            <w:pPr>
              <w:ind w:right="22"/>
              <w:jc w:val="center"/>
              <w:spacing w:before="4"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Информация ОЭР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87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2.3.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pStyle w:val="947"/>
              <w:ind w:left="3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мониторинга по реализации энергосберегающих мероприятий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Да/нет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6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7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1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6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02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654" w:type="dxa"/>
            <w:textDirection w:val="lrTb"/>
            <w:noWrap w:val="false"/>
          </w:tcPr>
          <w:p>
            <w:pPr>
              <w:ind w:right="22"/>
              <w:jc w:val="center"/>
              <w:spacing w:before="4"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Информация муниципальных учреждений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2.4.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pStyle w:val="947"/>
              <w:ind w:left="3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Проведение разъяснительной работы, обучение основам энергосбережения сотрудников муниципальных учреждений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Да/нет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6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7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1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6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02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654" w:type="dxa"/>
            <w:textDirection w:val="lrTb"/>
            <w:noWrap w:val="false"/>
          </w:tcPr>
          <w:p>
            <w:pPr>
              <w:ind w:right="22"/>
              <w:jc w:val="center"/>
              <w:spacing w:before="4"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Информация муниципальных учреждений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77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2.5.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pStyle w:val="947"/>
              <w:ind w:left="3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Наличие и функционирование приборов учета потребления энергоресурсов в муниципальных учреждениях и сроков их поверки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Да/нет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6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7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1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6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02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654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Информация МБУ «РЭС»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23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2.6.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pStyle w:val="947"/>
              <w:ind w:left="3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Предоставление энергетических деклараций через модуль ГИС «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Энергоэффективность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Да/нет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6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7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1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6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02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да</w:t>
            </w:r>
            <w:r>
              <w:rPr>
                <w:rFonts w:ascii="Times New Roman" w:hAnsi="Times New Roman"/>
                <w:sz w:val="20"/>
                <w:szCs w:val="20"/>
              </w:rPr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654" w:type="dxa"/>
            <w:textDirection w:val="lrTb"/>
            <w:noWrap w:val="false"/>
          </w:tcPr>
          <w:p>
            <w:pPr>
              <w:ind w:right="22"/>
              <w:jc w:val="center"/>
              <w:spacing w:before="4"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Информация муниципальных учреждений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23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2.7.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pStyle w:val="947"/>
              <w:ind w:left="3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муниципальных жилых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помещений, в которых установлены приборы учета энергетических ресурсов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6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7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654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тчет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исполнителей программы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r>
          </w:p>
        </w:tc>
      </w:tr>
      <w:tr>
        <w:tblPrEx/>
        <w:trPr>
          <w:trHeight w:val="223"/>
        </w:trPr>
        <w:tc>
          <w:tcPr>
            <w:gridSpan w:val="2"/>
            <w:tcBorders>
              <w:left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2.8.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2" w:type="dxa"/>
            <w:textDirection w:val="lrTb"/>
            <w:noWrap w:val="false"/>
          </w:tcPr>
          <w:p>
            <w:pPr>
              <w:pStyle w:val="947"/>
              <w:ind w:left="34"/>
              <w:jc w:val="both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незаселенных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муниципальных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жилых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помещений, в которых установлены приборы учета энергетических ресурсов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шт.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6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7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3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менее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30</w:t>
            </w:r>
            <w:r/>
          </w:p>
        </w:tc>
        <w:tc>
          <w:tcPr>
            <w:tcBorders>
              <w:left w:val="single" w:color="auto" w:sz="4" w:space="0"/>
              <w:right w:val="single" w:color="auto" w:sz="4" w:space="0"/>
            </w:tcBorders>
            <w:tcW w:w="1654" w:type="dxa"/>
            <w:textDirection w:val="lrTb"/>
            <w:noWrap w:val="false"/>
          </w:tcPr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тчет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ind w:right="22"/>
              <w:jc w:val="center"/>
              <w:spacing w:after="0" w:line="240" w:lineRule="auto"/>
              <w:widowControl w:val="off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исполнителей программы</w:t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r>
          </w:p>
        </w:tc>
      </w:tr>
    </w:tbl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/>
      <w:bookmarkStart w:id="6" w:name="Par230"/>
      <w:r/>
      <w:bookmarkEnd w:id="6"/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pStyle w:val="949"/>
        <w:numPr>
          <w:ilvl w:val="0"/>
          <w:numId w:val="37"/>
        </w:numPr>
        <w:ind w:left="0" w:firstLine="709"/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Механизм реализации программы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Администрация Печенгского муниципального округа (Отдел строительства и ЖКХ администрации Печенгского муниципального округа)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ответственный исполнитель программы: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осуществляет текущее управление мероприятиями программы,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контроль за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ходом выполнения мероприятий программы, подготовку в установленном порядке отчетности по реализации программы;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с учетом выделяемых на реализацию программы финансовых средств в установленном порядке принимает меры по уточнению показателей по программным мероприятиям, механизму реализации программы, составу исполнителей;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проводит мониторинг реализации программных мероприятий;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  <w:tab w:val="left" w:pos="851" w:leader="none"/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- осуществляет подготовку предложений по корректировке программы.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  <w:lang w:eastAsia="ru-RU"/>
        </w:rPr>
        <w:outlineLvl w:val="1"/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</w:r>
    </w:p>
    <w:p>
      <w:pPr>
        <w:pStyle w:val="949"/>
        <w:numPr>
          <w:ilvl w:val="0"/>
          <w:numId w:val="37"/>
        </w:numPr>
        <w:ind w:left="0" w:firstLine="709"/>
        <w:jc w:val="center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/>
          <w:b/>
          <w:bCs/>
          <w:sz w:val="24"/>
          <w:szCs w:val="24"/>
          <w:lang w:eastAsia="ru-RU"/>
        </w:rPr>
        <w:outlineLvl w:val="1"/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Оценка эффективности программы и рисков ее реализации</w:t>
      </w:r>
      <w:r>
        <w:rPr>
          <w:rFonts w:ascii="Times New Roman" w:hAnsi="Times New Roman"/>
          <w:b/>
          <w:bCs/>
          <w:sz w:val="24"/>
          <w:szCs w:val="24"/>
          <w:lang w:eastAsia="ru-RU"/>
        </w:rPr>
      </w:r>
      <w:r>
        <w:rPr>
          <w:rFonts w:ascii="Times New Roman" w:hAnsi="Times New Roman"/>
          <w:b/>
          <w:bCs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b/>
          <w:bCs/>
          <w:sz w:val="24"/>
          <w:szCs w:val="24"/>
        </w:rPr>
        <w:outlineLvl w:val="1"/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Оценка эффективности выполнения программы проводится для получения </w:t>
      </w:r>
      <w:r>
        <w:rPr>
          <w:rFonts w:ascii="Times New Roman" w:hAnsi="Times New Roman" w:cs="Times New Roman"/>
          <w:sz w:val="24"/>
          <w:szCs w:val="24"/>
        </w:rPr>
        <w:t xml:space="preserve">оперативной информации о ходе и промежуточных результатах достижения цели, решения задач и выполнении мероприятий программы. Результаты оценки эффективности используются для подготовки предложений по внесению изменений в программу.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Эффективность реализации программы оценивается как степень достижения запланированных результатов (сопоставление плановых и фактических значений показателей программы) при условии соблюдения обоснованного объема расходов.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программы подвержена влиянию следующих групп рисков и негативных факторов: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</w:t>
      </w:r>
      <w:r>
        <w:rPr>
          <w:rFonts w:ascii="Times New Roman" w:hAnsi="Times New Roman" w:cs="Times New Roman"/>
          <w:sz w:val="24"/>
          <w:szCs w:val="24"/>
        </w:rPr>
        <w:t xml:space="preserve"> Значительным риском является сокращение запланированных объемов финансирования в ходе формирования и реализации программы, что может повлечь за собой корректировку показателей и необходимость внесения изменений в перечень реализуемых основных мероприятий.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минимизации негативного влияния данного риска на ход реализации про</w:t>
      </w:r>
      <w:r>
        <w:rPr>
          <w:rFonts w:ascii="Times New Roman" w:hAnsi="Times New Roman" w:cs="Times New Roman"/>
          <w:sz w:val="24"/>
          <w:szCs w:val="24"/>
        </w:rPr>
        <w:t xml:space="preserve">граммы необходимо обеспечить сбалансированное распределение финансовых средств по основным мероприятиям программы с учетом ограниченности ресурсов, определения приоритетных направлений деятельности и необходимости достижения ожидаемых конечных результатов.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Правовые риски, связанные с внесением не предусмотренных программой изменений в федеральные</w:t>
      </w:r>
      <w:r>
        <w:rPr>
          <w:rFonts w:ascii="Times New Roman" w:hAnsi="Times New Roman" w:cs="Times New Roman"/>
          <w:sz w:val="24"/>
          <w:szCs w:val="24"/>
        </w:rPr>
        <w:t xml:space="preserve"> и региональные нормативные правовые акты, могут привести к утере актуальности поставленных задач и запланированных основных мероприятий, а также к необходимости включения новых направлений деятельности, что окажет влияние на конечные результаты программы.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Мерами по управлению данным видом рисков служит оперативное принятие муниципальных нормативных правовых актов, регулирующих сферы управления социально-экономическим развитием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49"/>
        <w:ind w:left="0"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 Повышение уровня инфляции может привести к изменению цен на рынке товаров, работ, услуг, что в свою очередь существенно повлияет на запланированный к приобретению в рамках программы объем таких товаров, работ, услуг.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Мерами по управлению данным видом рисков </w:t>
      </w:r>
      <w:r>
        <w:rPr>
          <w:rFonts w:ascii="Times New Roman" w:hAnsi="Times New Roman" w:cs="Times New Roman"/>
          <w:sz w:val="24"/>
          <w:szCs w:val="24"/>
        </w:rPr>
        <w:t xml:space="preserve">служит мониторинг цен и прогнозирование текущих тенденций в сфере реализации программы для своевременного пересмотра объема финансирования и его перераспределения по основным мероприятиям программы для обеспечения достижения ожидаемых конечных результатов.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 Несоблюдение договорных обязательств исполнителей по муниципальным контрактам может повлечь срыв сроков выполнения мероприятий либо выполнение их не в полном объеме, что в свою очередь может оказать серьезное влияние на конечные результаты программы.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минимизации негативного влияни</w:t>
      </w:r>
      <w:r>
        <w:rPr>
          <w:rFonts w:ascii="Times New Roman" w:hAnsi="Times New Roman" w:cs="Times New Roman"/>
          <w:sz w:val="24"/>
          <w:szCs w:val="24"/>
        </w:rPr>
        <w:t xml:space="preserve">я данного риска на ход реализации программы необходимо обеспечить оперативный мониторинг выполнения мероприятий программы, контроль и сопровождение всех действующих договоров и контрактов в части своевременности исполнения контрагентами своих обязательств.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5. Возникновение обстоятельств непреодолимой силы (природные, техногенные катастрофы, вооруженные конфликты) может оказать существенное влияние на результаты реализации программы и существенно снизить показатели ее результативности.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Управление рисками будет осуществляться на основе регулярного мониторинга реализации программы.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sectPr>
          <w:footerReference w:type="default" r:id="rId9"/>
          <w:footnotePr/>
          <w:endnotePr/>
          <w:type w:val="nextPage"/>
          <w:pgSz w:w="11905" w:h="16838" w:orient="portrait"/>
          <w:pgMar w:top="1134" w:right="850" w:bottom="1134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1190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 1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11907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программе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</w:t>
      </w:r>
      <w:r>
        <w:rPr>
          <w:rFonts w:ascii="Times New Roman" w:hAnsi="Times New Roman" w:cs="Times New Roman"/>
          <w:b/>
          <w:sz w:val="24"/>
          <w:szCs w:val="24"/>
        </w:rPr>
        <w:t xml:space="preserve">ЕРЕЧЕНЬ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мероприятий </w:t>
      </w:r>
      <w:r>
        <w:rPr>
          <w:rFonts w:ascii="Times New Roman" w:hAnsi="Times New Roman" w:cs="Times New Roman"/>
          <w:sz w:val="24"/>
          <w:szCs w:val="24"/>
        </w:rPr>
        <w:t xml:space="preserve">программы </w:t>
      </w:r>
      <w:r>
        <w:rPr>
          <w:rFonts w:ascii="Times New Roman" w:hAnsi="Times New Roman" w:cs="Times New Roman"/>
          <w:sz w:val="24"/>
          <w:szCs w:val="24"/>
        </w:rPr>
        <w:t xml:space="preserve">с объёмом финансирования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color w:val="0070c0"/>
          <w:sz w:val="20"/>
          <w:szCs w:val="20"/>
        </w:rPr>
      </w:pPr>
      <w:r>
        <w:rPr>
          <w:rFonts w:ascii="Times New Roman" w:hAnsi="Times New Roman" w:cs="Times New Roman"/>
          <w:color w:val="0070c0"/>
          <w:sz w:val="20"/>
          <w:szCs w:val="20"/>
        </w:rPr>
      </w:r>
      <w:r>
        <w:rPr>
          <w:rFonts w:ascii="Times New Roman" w:hAnsi="Times New Roman" w:cs="Times New Roman"/>
          <w:color w:val="0070c0"/>
          <w:sz w:val="20"/>
          <w:szCs w:val="20"/>
        </w:rPr>
      </w:r>
      <w:r>
        <w:rPr>
          <w:rFonts w:ascii="Times New Roman" w:hAnsi="Times New Roman" w:cs="Times New Roman"/>
          <w:color w:val="0070c0"/>
          <w:sz w:val="20"/>
          <w:szCs w:val="20"/>
        </w:rPr>
      </w:r>
    </w:p>
    <w:tbl>
      <w:tblPr>
        <w:tblW w:w="4897" w:type="pct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A0" w:firstRow="1" w:lastRow="0" w:firstColumn="1" w:lastColumn="0" w:noHBand="0" w:noVBand="0"/>
      </w:tblPr>
      <w:tblGrid>
        <w:gridCol w:w="733"/>
        <w:gridCol w:w="4698"/>
        <w:gridCol w:w="1516"/>
        <w:gridCol w:w="1234"/>
        <w:gridCol w:w="1237"/>
        <w:gridCol w:w="1228"/>
        <w:gridCol w:w="1228"/>
        <w:gridCol w:w="1259"/>
        <w:gridCol w:w="2181"/>
      </w:tblGrid>
      <w:tr>
        <w:tblPrEx/>
        <w:trPr>
          <w:trHeight w:val="588"/>
        </w:trPr>
        <w:tc>
          <w:tcPr>
            <w:shd w:val="clear" w:color="auto" w:fill="auto"/>
            <w:tcW w:w="239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Cs/>
              </w:rPr>
              <w:t xml:space="preserve">№ </w:t>
            </w:r>
            <w:r>
              <w:rPr>
                <w:rFonts w:ascii="Times New Roman" w:hAnsi="Times New Roman" w:cs="Times New Roman"/>
                <w:bCs/>
              </w:rPr>
              <w:t xml:space="preserve">п</w:t>
            </w:r>
            <w:r>
              <w:rPr>
                <w:rFonts w:ascii="Times New Roman" w:hAnsi="Times New Roman" w:cs="Times New Roman"/>
                <w:bCs/>
              </w:rPr>
              <w:t xml:space="preserve">/п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534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Цели, мероприятия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495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Срок исполнения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403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Источники финансирования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gridSpan w:val="4"/>
            <w:shd w:val="clear" w:color="auto" w:fill="auto"/>
            <w:tcW w:w="1617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Объем финансирования,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тысяч рублей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712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885" w:leader="none"/>
              </w:tabs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Исполнители, соисполнители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272"/>
        </w:trPr>
        <w:tc>
          <w:tcPr>
            <w:shd w:val="clear" w:color="auto" w:fill="auto"/>
            <w:tcW w:w="239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1534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495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403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Всего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202</w:t>
            </w:r>
            <w:r>
              <w:rPr>
                <w:rFonts w:ascii="Times New Roman" w:hAnsi="Times New Roman" w:cs="Times New Roman"/>
                <w:bCs/>
              </w:rPr>
              <w:t xml:space="preserve">5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202</w:t>
            </w:r>
            <w:r>
              <w:rPr>
                <w:rFonts w:ascii="Times New Roman" w:hAnsi="Times New Roman" w:cs="Times New Roman"/>
                <w:bCs/>
              </w:rPr>
              <w:t xml:space="preserve">6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202</w:t>
            </w:r>
            <w:r>
              <w:rPr>
                <w:rFonts w:ascii="Times New Roman" w:hAnsi="Times New Roman" w:cs="Times New Roman"/>
                <w:bCs/>
              </w:rPr>
              <w:t xml:space="preserve">7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shd w:val="clear" w:color="auto" w:fill="auto"/>
            <w:tcW w:w="7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147"/>
        </w:trPr>
        <w:tc>
          <w:tcPr>
            <w:shd w:val="clear" w:color="auto" w:fill="auto"/>
            <w:tcW w:w="239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153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95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03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8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auto" w:fill="auto"/>
            <w:tcW w:w="712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295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Цель. Обеспечение рационального и экономного использования энергетических ресурсов за счет реализации энергосберегающих мероприятий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286"/>
        </w:trPr>
        <w:tc>
          <w:tcPr>
            <w:gridSpan w:val="9"/>
            <w:shd w:val="clear" w:color="auto" w:fill="auto"/>
            <w:tcW w:w="5000" w:type="pc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Основное м</w:t>
            </w: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ероприятие 1. Обеспечение устойчивого процесса повышения эффективности энергопотребления</w:t>
            </w:r>
            <w:r>
              <w:rPr>
                <w:rFonts w:ascii="Times New Roman" w:hAnsi="Times New Roman" w:cs="Times New Roman"/>
                <w:b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/>
                <w:sz w:val="23"/>
                <w:szCs w:val="23"/>
              </w:rPr>
            </w:r>
          </w:p>
        </w:tc>
      </w:tr>
      <w:tr>
        <w:tblPrEx/>
        <w:trPr>
          <w:trHeight w:val="188"/>
        </w:trPr>
        <w:tc>
          <w:tcPr>
            <w:shd w:val="clear" w:color="auto" w:fill="auto"/>
            <w:tcW w:w="23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1.1.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534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Установление лимитов потребления энергоресурсов муниципальными учреждениями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9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202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5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-202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71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ОЭР.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требует финансирования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88"/>
        </w:trPr>
        <w:tc>
          <w:tcPr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53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9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7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27"/>
        </w:trPr>
        <w:tc>
          <w:tcPr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53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9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7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88"/>
        </w:trPr>
        <w:tc>
          <w:tcPr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53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9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ВБС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7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78"/>
        </w:trPr>
        <w:tc>
          <w:tcPr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53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9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7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97"/>
        </w:trPr>
        <w:tc>
          <w:tcPr>
            <w:shd w:val="clear" w:color="auto" w:fill="auto"/>
            <w:tcW w:w="23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1.2.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534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Мониторинг соблюдения установленных лимитов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9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202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5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-202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71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ОЭР.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требует финансирования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97"/>
        </w:trPr>
        <w:tc>
          <w:tcPr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53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9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7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97"/>
        </w:trPr>
        <w:tc>
          <w:tcPr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53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9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7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97"/>
        </w:trPr>
        <w:tc>
          <w:tcPr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53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9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ВБС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7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97"/>
        </w:trPr>
        <w:tc>
          <w:tcPr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53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9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7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97"/>
        </w:trPr>
        <w:tc>
          <w:tcPr>
            <w:shd w:val="clear" w:color="auto" w:fill="auto"/>
            <w:tcW w:w="23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1.3.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534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Контроль и мониторинг за реализацией энергосберегающих мероприятий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9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202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5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-202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71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униципальные учреждения.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требует финансирования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97"/>
        </w:trPr>
        <w:tc>
          <w:tcPr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53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9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7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97"/>
        </w:trPr>
        <w:tc>
          <w:tcPr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53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9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7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97"/>
        </w:trPr>
        <w:tc>
          <w:tcPr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53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9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ВБС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7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97"/>
        </w:trPr>
        <w:tc>
          <w:tcPr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53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9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7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97"/>
        </w:trPr>
        <w:tc>
          <w:tcPr>
            <w:shd w:val="clear" w:color="auto" w:fill="auto"/>
            <w:tcW w:w="23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1.4.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534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Мероприятия по обучению основам энергосбережения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9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202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5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-202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71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Муниципальные учреждения.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требует финансирования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94"/>
        </w:trPr>
        <w:tc>
          <w:tcPr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53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9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7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62"/>
        </w:trPr>
        <w:tc>
          <w:tcPr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53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9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7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94"/>
        </w:trPr>
        <w:tc>
          <w:tcPr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53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9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ВБС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7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70"/>
        </w:trPr>
        <w:tc>
          <w:tcPr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53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95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712" w:type="pct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6"/>
        </w:trPr>
        <w:tc>
          <w:tcPr>
            <w:shd w:val="clear" w:color="auto" w:fill="auto"/>
            <w:tcW w:w="23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1.5.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534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Мониторинг наличия и функционирования приборов учета потребления энергоресурсов в муниципа</w:t>
            </w:r>
            <w:r>
              <w:rPr>
                <w:rFonts w:ascii="Times New Roman" w:hAnsi="Times New Roman" w:cs="Times New Roman"/>
              </w:rPr>
              <w:t xml:space="preserve">льных учреждениях и сроков их п</w:t>
            </w:r>
            <w:r>
              <w:rPr>
                <w:rFonts w:ascii="Times New Roman" w:hAnsi="Times New Roman" w:cs="Times New Roman"/>
              </w:rPr>
              <w:t xml:space="preserve">оверки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9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202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5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-202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71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«РЭС».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требует финансирования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3"/>
        </w:trPr>
        <w:tc>
          <w:tcPr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53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9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7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07"/>
        </w:trPr>
        <w:tc>
          <w:tcPr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53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9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7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3"/>
        </w:trPr>
        <w:tc>
          <w:tcPr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53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9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ВБС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7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3"/>
        </w:trPr>
        <w:tc>
          <w:tcPr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53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9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7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6"/>
        </w:trPr>
        <w:tc>
          <w:tcPr>
            <w:shd w:val="clear" w:color="auto" w:fill="auto"/>
            <w:tcW w:w="23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1.6.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534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Предоставление энергетических деклараций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9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202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5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-202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71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униципальные учреждения.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требует финансирования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6"/>
        </w:trPr>
        <w:tc>
          <w:tcPr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</w:r>
            <w:r>
              <w:rPr>
                <w:rFonts w:ascii="Times New Roman" w:hAnsi="Times New Roman" w:cs="Times New Roman"/>
                <w:i/>
              </w:rPr>
            </w:r>
            <w:r>
              <w:rPr>
                <w:rFonts w:ascii="Times New Roman" w:hAnsi="Times New Roman" w:cs="Times New Roman"/>
                <w:i/>
              </w:rPr>
            </w:r>
          </w:p>
        </w:tc>
        <w:tc>
          <w:tcPr>
            <w:shd w:val="clear" w:color="auto" w:fill="auto"/>
            <w:tcW w:w="153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9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7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6"/>
        </w:trPr>
        <w:tc>
          <w:tcPr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</w:r>
            <w:r>
              <w:rPr>
                <w:rFonts w:ascii="Times New Roman" w:hAnsi="Times New Roman" w:cs="Times New Roman"/>
                <w:i/>
              </w:rPr>
            </w:r>
            <w:r>
              <w:rPr>
                <w:rFonts w:ascii="Times New Roman" w:hAnsi="Times New Roman" w:cs="Times New Roman"/>
                <w:i/>
              </w:rPr>
            </w:r>
          </w:p>
        </w:tc>
        <w:tc>
          <w:tcPr>
            <w:shd w:val="clear" w:color="auto" w:fill="auto"/>
            <w:tcW w:w="153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9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7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6"/>
        </w:trPr>
        <w:tc>
          <w:tcPr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</w:r>
            <w:r>
              <w:rPr>
                <w:rFonts w:ascii="Times New Roman" w:hAnsi="Times New Roman" w:cs="Times New Roman"/>
                <w:i/>
              </w:rPr>
            </w:r>
            <w:r>
              <w:rPr>
                <w:rFonts w:ascii="Times New Roman" w:hAnsi="Times New Roman" w:cs="Times New Roman"/>
                <w:i/>
              </w:rPr>
            </w:r>
          </w:p>
        </w:tc>
        <w:tc>
          <w:tcPr>
            <w:shd w:val="clear" w:color="auto" w:fill="auto"/>
            <w:tcW w:w="153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9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ВБС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7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6"/>
        </w:trPr>
        <w:tc>
          <w:tcPr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i/>
              </w:rPr>
            </w:pPr>
            <w:r>
              <w:rPr>
                <w:rFonts w:ascii="Times New Roman" w:hAnsi="Times New Roman" w:cs="Times New Roman"/>
                <w:i/>
              </w:rPr>
            </w:r>
            <w:r>
              <w:rPr>
                <w:rFonts w:ascii="Times New Roman" w:hAnsi="Times New Roman" w:cs="Times New Roman"/>
                <w:i/>
              </w:rPr>
            </w:r>
            <w:r>
              <w:rPr>
                <w:rFonts w:ascii="Times New Roman" w:hAnsi="Times New Roman" w:cs="Times New Roman"/>
                <w:i/>
              </w:rPr>
            </w:r>
          </w:p>
        </w:tc>
        <w:tc>
          <w:tcPr>
            <w:shd w:val="clear" w:color="auto" w:fill="auto"/>
            <w:tcW w:w="1534" w:type="pct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9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7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6"/>
        </w:trPr>
        <w:tc>
          <w:tcPr>
            <w:shd w:val="clear" w:color="auto" w:fill="auto"/>
            <w:tcW w:w="23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1.7.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534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Возмещение затрат гражданам, проживающим в муниципальных жилых помещениях, на устан</w:t>
            </w:r>
            <w:r>
              <w:rPr>
                <w:rFonts w:ascii="Times New Roman" w:hAnsi="Times New Roman" w:cs="Times New Roman"/>
              </w:rPr>
              <w:t xml:space="preserve">овку индивидуальных приборов учё</w:t>
            </w:r>
            <w:r>
              <w:rPr>
                <w:rFonts w:ascii="Times New Roman" w:hAnsi="Times New Roman" w:cs="Times New Roman"/>
              </w:rPr>
              <w:t xml:space="preserve">та энергетических ресурсов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9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202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5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-202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71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 и ЖКХ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6"/>
        </w:trPr>
        <w:tc>
          <w:tcPr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highlight w:val="green"/>
              </w:rPr>
            </w:pP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</w:p>
        </w:tc>
        <w:tc>
          <w:tcPr>
            <w:shd w:val="clear" w:color="auto" w:fill="auto"/>
            <w:tcW w:w="153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highlight w:val="green"/>
              </w:rPr>
            </w:pP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</w:p>
        </w:tc>
        <w:tc>
          <w:tcPr>
            <w:shd w:val="clear" w:color="auto" w:fill="auto"/>
            <w:tcW w:w="49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highlight w:val="green"/>
              </w:rPr>
            </w:pP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7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r>
          </w:p>
        </w:tc>
      </w:tr>
      <w:tr>
        <w:tblPrEx/>
        <w:trPr>
          <w:trHeight w:val="56"/>
        </w:trPr>
        <w:tc>
          <w:tcPr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highlight w:val="green"/>
              </w:rPr>
            </w:pP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</w:p>
        </w:tc>
        <w:tc>
          <w:tcPr>
            <w:shd w:val="clear" w:color="auto" w:fill="auto"/>
            <w:tcW w:w="153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highlight w:val="green"/>
              </w:rPr>
            </w:pP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</w:p>
        </w:tc>
        <w:tc>
          <w:tcPr>
            <w:shd w:val="clear" w:color="auto" w:fill="auto"/>
            <w:tcW w:w="49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highlight w:val="green"/>
              </w:rPr>
            </w:pP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</w:t>
            </w:r>
            <w:r>
              <w:rPr>
                <w:rFonts w:ascii="Times New Roman" w:hAnsi="Times New Roman" w:cs="Times New Roman"/>
              </w:rPr>
              <w:t xml:space="preserve">50,0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7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r>
          </w:p>
        </w:tc>
      </w:tr>
      <w:tr>
        <w:tblPrEx/>
        <w:trPr>
          <w:trHeight w:val="56"/>
        </w:trPr>
        <w:tc>
          <w:tcPr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highlight w:val="green"/>
              </w:rPr>
            </w:pP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</w:p>
        </w:tc>
        <w:tc>
          <w:tcPr>
            <w:shd w:val="clear" w:color="auto" w:fill="auto"/>
            <w:tcW w:w="153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highlight w:val="green"/>
              </w:rPr>
            </w:pP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</w:p>
        </w:tc>
        <w:tc>
          <w:tcPr>
            <w:shd w:val="clear" w:color="auto" w:fill="auto"/>
            <w:tcW w:w="49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highlight w:val="green"/>
              </w:rPr>
            </w:pP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ВБС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7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r>
          </w:p>
        </w:tc>
      </w:tr>
      <w:tr>
        <w:tblPrEx/>
        <w:trPr>
          <w:trHeight w:val="181"/>
        </w:trPr>
        <w:tc>
          <w:tcPr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highlight w:val="green"/>
              </w:rPr>
            </w:pP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</w:p>
        </w:tc>
        <w:tc>
          <w:tcPr>
            <w:shd w:val="clear" w:color="auto" w:fill="auto"/>
            <w:tcW w:w="153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highlight w:val="green"/>
              </w:rPr>
            </w:pP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</w:p>
        </w:tc>
        <w:tc>
          <w:tcPr>
            <w:shd w:val="clear" w:color="auto" w:fill="auto"/>
            <w:tcW w:w="49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highlight w:val="green"/>
              </w:rPr>
            </w:pP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</w:t>
            </w:r>
            <w:r>
              <w:rPr>
                <w:rFonts w:ascii="Times New Roman" w:hAnsi="Times New Roman" w:cs="Times New Roman"/>
                <w:b/>
              </w:rPr>
              <w:t xml:space="preserve">50,0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50,0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50,0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1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50,0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7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r>
          </w:p>
        </w:tc>
      </w:tr>
      <w:tr>
        <w:tblPrEx/>
        <w:trPr>
          <w:trHeight w:val="181"/>
        </w:trPr>
        <w:tc>
          <w:tcPr>
            <w:shd w:val="clear" w:color="auto" w:fill="auto"/>
            <w:tcW w:w="239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1.8.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534" w:type="pct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Установка индивидуальных приборов учёта энергетических ресурсов в незаселенные муниципальные жилые помещения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95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2025-2027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71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 и ЖКХ          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81"/>
        </w:trPr>
        <w:tc>
          <w:tcPr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highlight w:val="green"/>
              </w:rPr>
            </w:pP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</w:p>
        </w:tc>
        <w:tc>
          <w:tcPr>
            <w:shd w:val="clear" w:color="auto" w:fill="auto"/>
            <w:tcW w:w="153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highlight w:val="green"/>
              </w:rPr>
            </w:pP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</w:p>
        </w:tc>
        <w:tc>
          <w:tcPr>
            <w:shd w:val="clear" w:color="auto" w:fill="auto"/>
            <w:tcW w:w="49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highlight w:val="green"/>
              </w:rPr>
            </w:pP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7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r>
          </w:p>
        </w:tc>
      </w:tr>
      <w:tr>
        <w:tblPrEx/>
        <w:trPr>
          <w:trHeight w:val="181"/>
        </w:trPr>
        <w:tc>
          <w:tcPr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highlight w:val="green"/>
              </w:rPr>
            </w:pP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</w:p>
        </w:tc>
        <w:tc>
          <w:tcPr>
            <w:shd w:val="clear" w:color="auto" w:fill="auto"/>
            <w:tcW w:w="153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highlight w:val="green"/>
              </w:rPr>
            </w:pP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</w:p>
        </w:tc>
        <w:tc>
          <w:tcPr>
            <w:shd w:val="clear" w:color="auto" w:fill="auto"/>
            <w:tcW w:w="49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highlight w:val="green"/>
              </w:rPr>
            </w:pP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300,0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100</w:t>
            </w:r>
            <w:r>
              <w:rPr>
                <w:rFonts w:ascii="Times New Roman" w:hAnsi="Times New Roman" w:cs="Times New Roman"/>
              </w:rPr>
              <w:t xml:space="preserve">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</w:t>
            </w: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</w:t>
            </w: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7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r>
          </w:p>
        </w:tc>
      </w:tr>
      <w:tr>
        <w:tblPrEx/>
        <w:trPr>
          <w:trHeight w:val="181"/>
        </w:trPr>
        <w:tc>
          <w:tcPr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highlight w:val="green"/>
              </w:rPr>
            </w:pP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</w:p>
        </w:tc>
        <w:tc>
          <w:tcPr>
            <w:shd w:val="clear" w:color="auto" w:fill="auto"/>
            <w:tcW w:w="153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highlight w:val="green"/>
              </w:rPr>
            </w:pP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</w:p>
        </w:tc>
        <w:tc>
          <w:tcPr>
            <w:shd w:val="clear" w:color="auto" w:fill="auto"/>
            <w:tcW w:w="49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highlight w:val="green"/>
              </w:rPr>
            </w:pP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ВБС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0,0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7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r>
          </w:p>
        </w:tc>
      </w:tr>
      <w:tr>
        <w:tblPrEx/>
        <w:trPr>
          <w:trHeight w:val="181"/>
        </w:trPr>
        <w:tc>
          <w:tcPr>
            <w:shd w:val="clear" w:color="auto" w:fill="auto"/>
            <w:tcW w:w="239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highlight w:val="green"/>
              </w:rPr>
            </w:pP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</w:p>
        </w:tc>
        <w:tc>
          <w:tcPr>
            <w:shd w:val="clear" w:color="auto" w:fill="auto"/>
            <w:tcW w:w="1534" w:type="pct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highlight w:val="green"/>
              </w:rPr>
            </w:pP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</w:p>
        </w:tc>
        <w:tc>
          <w:tcPr>
            <w:shd w:val="clear" w:color="auto" w:fill="auto"/>
            <w:tcW w:w="495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highlight w:val="green"/>
              </w:rPr>
            </w:pP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  <w:r>
              <w:rPr>
                <w:rFonts w:ascii="Times New Roman" w:hAnsi="Times New Roman" w:cs="Times New Roman"/>
                <w:highlight w:val="green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04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300,0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100,0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0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100,0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11" w:type="pc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100,0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7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r>
            <w:r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r>
          </w:p>
        </w:tc>
      </w:tr>
      <w:tr>
        <w:tblPrEx/>
        <w:trPr>
          <w:trHeight w:val="56"/>
        </w:trPr>
        <w:tc>
          <w:tcPr>
            <w:gridSpan w:val="3"/>
            <w:shd w:val="clear" w:color="auto" w:fill="auto"/>
            <w:tcW w:w="2268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  <w:t xml:space="preserve">Итого по </w:t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  <w:t xml:space="preserve">основному </w:t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  <w:t xml:space="preserve">мероприятию 1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ФБ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71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6"/>
        </w:trPr>
        <w:tc>
          <w:tcPr>
            <w:gridSpan w:val="3"/>
            <w:shd w:val="clear" w:color="auto" w:fill="auto"/>
            <w:tcW w:w="226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ОБ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7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6"/>
        </w:trPr>
        <w:tc>
          <w:tcPr>
            <w:gridSpan w:val="3"/>
            <w:shd w:val="clear" w:color="auto" w:fill="auto"/>
            <w:tcW w:w="226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МБ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450,0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</w:t>
            </w:r>
            <w:r>
              <w:rPr>
                <w:rFonts w:ascii="Times New Roman" w:hAnsi="Times New Roman" w:cs="Times New Roman"/>
                <w:b/>
              </w:rPr>
              <w:t xml:space="preserve">50,0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150,0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150,0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7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6"/>
        </w:trPr>
        <w:tc>
          <w:tcPr>
            <w:gridSpan w:val="3"/>
            <w:shd w:val="clear" w:color="auto" w:fill="auto"/>
            <w:tcW w:w="226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ВБС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7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6"/>
        </w:trPr>
        <w:tc>
          <w:tcPr>
            <w:gridSpan w:val="3"/>
            <w:shd w:val="clear" w:color="auto" w:fill="auto"/>
            <w:tcW w:w="226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45</w:t>
            </w: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150</w:t>
            </w:r>
            <w:r>
              <w:rPr>
                <w:rFonts w:ascii="Times New Roman" w:hAnsi="Times New Roman" w:cs="Times New Roman"/>
                <w:b/>
              </w:rPr>
              <w:t xml:space="preserve">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15</w:t>
            </w: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15</w:t>
            </w: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7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6"/>
        </w:trPr>
        <w:tc>
          <w:tcPr>
            <w:gridSpan w:val="3"/>
            <w:shd w:val="clear" w:color="auto" w:fill="auto"/>
            <w:tcW w:w="2268" w:type="pct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  <w:t xml:space="preserve">Всего по программе </w:t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b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ФБ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712" w:type="pct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6"/>
        </w:trPr>
        <w:tc>
          <w:tcPr>
            <w:gridSpan w:val="3"/>
            <w:shd w:val="clear" w:color="auto" w:fill="auto"/>
            <w:tcW w:w="226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ОБ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7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194"/>
        </w:trPr>
        <w:tc>
          <w:tcPr>
            <w:gridSpan w:val="3"/>
            <w:shd w:val="clear" w:color="auto" w:fill="auto"/>
            <w:tcW w:w="226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МБ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45</w:t>
            </w: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15</w:t>
            </w: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15</w:t>
            </w: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15</w:t>
            </w: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7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6"/>
        </w:trPr>
        <w:tc>
          <w:tcPr>
            <w:gridSpan w:val="3"/>
            <w:shd w:val="clear" w:color="auto" w:fill="auto"/>
            <w:tcW w:w="226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ВБС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7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6"/>
        </w:trPr>
        <w:tc>
          <w:tcPr>
            <w:gridSpan w:val="3"/>
            <w:shd w:val="clear" w:color="auto" w:fill="auto"/>
            <w:tcW w:w="2268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shd w:val="clear" w:color="auto" w:fill="auto"/>
            <w:tcW w:w="403" w:type="pc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Итого: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04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45</w:t>
            </w: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15</w:t>
            </w: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0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15</w:t>
            </w: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411" w:type="pct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15</w:t>
            </w:r>
            <w:r>
              <w:rPr>
                <w:rFonts w:ascii="Times New Roman" w:hAnsi="Times New Roman" w:cs="Times New Roman"/>
                <w:b/>
              </w:rPr>
              <w:t xml:space="preserve">0,0</w:t>
            </w:r>
            <w:r>
              <w:rPr>
                <w:rFonts w:ascii="Times New Roman" w:hAnsi="Times New Roman" w:cs="Times New Roman"/>
                <w:b/>
              </w:rPr>
            </w:r>
            <w:r>
              <w:rPr>
                <w:rFonts w:ascii="Times New Roman" w:hAnsi="Times New Roman" w:cs="Times New Roman"/>
                <w:b/>
              </w:rPr>
            </w:r>
          </w:p>
        </w:tc>
        <w:tc>
          <w:tcPr>
            <w:shd w:val="clear" w:color="auto" w:fill="auto"/>
            <w:tcW w:w="712" w:type="pct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</w:tbl>
    <w:p>
      <w:pPr>
        <w:ind w:firstLine="426"/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В перечне программных мероприятий с объемом финансирования используются сокращения:</w:t>
      </w: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</w:p>
    <w:p>
      <w:pPr>
        <w:ind w:firstLine="426"/>
        <w:jc w:val="both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ФБ - федеральный бюджет; ОБ - областной бюджет; МБ - местный бюджет; ВБС - внебюджетные средства.</w:t>
      </w:r>
      <w:r>
        <w:rPr>
          <w:rFonts w:ascii="Times New Roman" w:hAnsi="Times New Roman" w:cs="Times New Roman"/>
          <w:sz w:val="18"/>
          <w:szCs w:val="18"/>
        </w:rPr>
      </w:r>
      <w:r>
        <w:rPr>
          <w:rFonts w:ascii="Times New Roman" w:hAnsi="Times New Roman" w:cs="Times New Roman"/>
          <w:sz w:val="18"/>
          <w:szCs w:val="18"/>
        </w:rPr>
      </w:r>
    </w:p>
    <w:p>
      <w:pPr>
        <w:ind w:left="9639" w:right="-31"/>
        <w:jc w:val="righ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9639" w:right="-31"/>
        <w:jc w:val="righ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9639" w:right="-31"/>
        <w:jc w:val="righ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9639" w:right="-31"/>
        <w:jc w:val="righ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9639" w:right="-31"/>
        <w:jc w:val="righ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9639" w:right="-31"/>
        <w:jc w:val="righ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9639" w:right="-31"/>
        <w:jc w:val="righ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9639" w:right="-31"/>
        <w:jc w:val="righ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9639" w:right="-31"/>
        <w:jc w:val="righ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9639" w:right="-31"/>
        <w:jc w:val="right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11907" w:right="-31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 2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11907" w:right="-31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программе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ПЕРЕЧЕНЬ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мероприятий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программы </w:t>
      </w:r>
      <w:r>
        <w:rPr>
          <w:rFonts w:ascii="Times New Roman" w:hAnsi="Times New Roman" w:cs="Times New Roman"/>
          <w:sz w:val="24"/>
          <w:szCs w:val="24"/>
        </w:rPr>
        <w:t xml:space="preserve">с показателями результативности выполнения мероприятий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142" w:right="-371"/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15593" w:type="dxa"/>
        <w:tblInd w:w="25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3969"/>
        <w:gridCol w:w="141"/>
        <w:gridCol w:w="1134"/>
        <w:gridCol w:w="142"/>
        <w:gridCol w:w="3402"/>
        <w:gridCol w:w="142"/>
        <w:gridCol w:w="850"/>
        <w:gridCol w:w="142"/>
        <w:gridCol w:w="851"/>
        <w:gridCol w:w="141"/>
        <w:gridCol w:w="851"/>
        <w:gridCol w:w="142"/>
        <w:gridCol w:w="850"/>
        <w:gridCol w:w="142"/>
        <w:gridCol w:w="1843"/>
      </w:tblGrid>
      <w:tr>
        <w:tblPrEx/>
        <w:trPr>
          <w:trHeight w:val="506"/>
        </w:trPr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pStyle w:val="92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№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92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п</w:t>
            </w:r>
            <w:r>
              <w:rPr>
                <w:rFonts w:ascii="Times New Roman" w:hAnsi="Times New Roman" w:cs="Times New Roman"/>
                <w:b w:val="0"/>
              </w:rPr>
              <w:t xml:space="preserve">/п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shd w:val="clear" w:color="auto" w:fill="auto"/>
            <w:tcW w:w="3969" w:type="dxa"/>
            <w:vMerge w:val="restart"/>
            <w:textDirection w:val="lrTb"/>
            <w:noWrap w:val="false"/>
          </w:tcPr>
          <w:p>
            <w:pPr>
              <w:pStyle w:val="92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92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Цели, мероприятия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gridSpan w:val="2"/>
            <w:shd w:val="clear" w:color="auto" w:fill="auto"/>
            <w:tcW w:w="1275" w:type="dxa"/>
            <w:vMerge w:val="restart"/>
            <w:textDirection w:val="lrTb"/>
            <w:noWrap w:val="false"/>
          </w:tcPr>
          <w:p>
            <w:pPr>
              <w:pStyle w:val="92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92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Срок исполнения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gridSpan w:val="2"/>
            <w:shd w:val="clear" w:color="auto" w:fill="auto"/>
            <w:tcW w:w="3544" w:type="dxa"/>
            <w:vMerge w:val="restart"/>
            <w:textDirection w:val="lrTb"/>
            <w:noWrap w:val="false"/>
          </w:tcPr>
          <w:p>
            <w:pPr>
              <w:pStyle w:val="92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92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Наименование показателя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gridSpan w:val="2"/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pStyle w:val="92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92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Ед</w:t>
            </w:r>
            <w:r>
              <w:rPr>
                <w:rFonts w:ascii="Times New Roman" w:hAnsi="Times New Roman" w:cs="Times New Roman"/>
                <w:b w:val="0"/>
              </w:rPr>
              <w:t xml:space="preserve">.и</w:t>
            </w:r>
            <w:r>
              <w:rPr>
                <w:rFonts w:ascii="Times New Roman" w:hAnsi="Times New Roman" w:cs="Times New Roman"/>
                <w:b w:val="0"/>
              </w:rPr>
              <w:t xml:space="preserve">зм</w:t>
            </w:r>
            <w:r>
              <w:rPr>
                <w:rFonts w:ascii="Times New Roman" w:hAnsi="Times New Roman" w:cs="Times New Roman"/>
                <w:b w:val="0"/>
              </w:rPr>
              <w:t xml:space="preserve">.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gridSpan w:val="6"/>
            <w:shd w:val="clear" w:color="auto" w:fill="auto"/>
            <w:tcW w:w="2977" w:type="dxa"/>
            <w:textDirection w:val="lrTb"/>
            <w:noWrap w:val="false"/>
          </w:tcPr>
          <w:p>
            <w:pPr>
              <w:pStyle w:val="92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Показатели результативности выполнения мероприятий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gridSpan w:val="2"/>
            <w:shd w:val="clear" w:color="auto" w:fill="auto"/>
            <w:tcW w:w="1985" w:type="dxa"/>
            <w:vMerge w:val="restart"/>
            <w:textDirection w:val="lrTb"/>
            <w:noWrap w:val="false"/>
          </w:tcPr>
          <w:p>
            <w:pPr>
              <w:pStyle w:val="92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  <w:p>
            <w:pPr>
              <w:pStyle w:val="92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Исполнитель, соисполнитель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</w:tr>
      <w:tr>
        <w:tblPrEx/>
        <w:trPr>
          <w:trHeight w:val="281"/>
        </w:trPr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pStyle w:val="92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3969" w:type="dxa"/>
            <w:vMerge w:val="continue"/>
            <w:textDirection w:val="lrTb"/>
            <w:noWrap w:val="false"/>
          </w:tcPr>
          <w:p>
            <w:pPr>
              <w:pStyle w:val="92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1275" w:type="dxa"/>
            <w:vMerge w:val="continue"/>
            <w:textDirection w:val="lrTb"/>
            <w:noWrap w:val="false"/>
          </w:tcPr>
          <w:p>
            <w:pPr>
              <w:pStyle w:val="92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544" w:type="dxa"/>
            <w:vMerge w:val="continue"/>
            <w:textDirection w:val="lrTb"/>
            <w:noWrap w:val="false"/>
          </w:tcPr>
          <w:p>
            <w:pPr>
              <w:pStyle w:val="92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pStyle w:val="92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pStyle w:val="92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202</w:t>
            </w:r>
            <w:r>
              <w:rPr>
                <w:rFonts w:ascii="Times New Roman" w:hAnsi="Times New Roman" w:cs="Times New Roman"/>
                <w:b w:val="0"/>
              </w:rPr>
              <w:t xml:space="preserve">5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pStyle w:val="92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202</w:t>
            </w:r>
            <w:r>
              <w:rPr>
                <w:rFonts w:ascii="Times New Roman" w:hAnsi="Times New Roman" w:cs="Times New Roman"/>
                <w:b w:val="0"/>
              </w:rPr>
              <w:t xml:space="preserve">6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pStyle w:val="926"/>
              <w:jc w:val="center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202</w:t>
            </w:r>
            <w:r>
              <w:rPr>
                <w:rFonts w:ascii="Times New Roman" w:hAnsi="Times New Roman" w:cs="Times New Roman"/>
                <w:b w:val="0"/>
              </w:rPr>
              <w:t xml:space="preserve">7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gridSpan w:val="2"/>
            <w:shd w:val="clear" w:color="auto" w:fill="auto"/>
            <w:tcW w:w="1985" w:type="dxa"/>
            <w:vMerge w:val="continue"/>
            <w:textDirection w:val="lrTb"/>
            <w:noWrap w:val="false"/>
          </w:tcPr>
          <w:p>
            <w:pPr>
              <w:pStyle w:val="92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pStyle w:val="92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1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shd w:val="clear" w:color="auto" w:fill="auto"/>
            <w:tcW w:w="3969" w:type="dxa"/>
            <w:textDirection w:val="lrTb"/>
            <w:noWrap w:val="false"/>
          </w:tcPr>
          <w:p>
            <w:pPr>
              <w:pStyle w:val="92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2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1275" w:type="dxa"/>
            <w:textDirection w:val="lrTb"/>
            <w:noWrap w:val="false"/>
          </w:tcPr>
          <w:p>
            <w:pPr>
              <w:pStyle w:val="92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3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3544" w:type="dxa"/>
            <w:textDirection w:val="lrTb"/>
            <w:noWrap w:val="false"/>
          </w:tcPr>
          <w:p>
            <w:pPr>
              <w:pStyle w:val="92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pStyle w:val="92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pStyle w:val="92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pStyle w:val="92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pStyle w:val="92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8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  <w:tc>
          <w:tcPr>
            <w:gridSpan w:val="2"/>
            <w:shd w:val="clear" w:color="auto" w:fill="auto"/>
            <w:tcW w:w="1985" w:type="dxa"/>
            <w:textDirection w:val="lrTb"/>
            <w:noWrap w:val="false"/>
          </w:tcPr>
          <w:p>
            <w:pPr>
              <w:pStyle w:val="926"/>
              <w:jc w:val="center"/>
              <w:widowControl/>
              <w:rPr>
                <w:rFonts w:ascii="Times New Roman" w:hAnsi="Times New Roman" w:cs="Times New Roman"/>
                <w:b w:val="0"/>
                <w:sz w:val="20"/>
                <w:szCs w:val="20"/>
              </w:rPr>
              <w:outlineLvl w:val="2"/>
            </w:pP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  <w:t xml:space="preserve">9</w:t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 w:val="0"/>
                <w:sz w:val="20"/>
                <w:szCs w:val="20"/>
              </w:rPr>
            </w:r>
          </w:p>
        </w:tc>
      </w:tr>
      <w:tr>
        <w:tblPrEx/>
        <w:trPr>
          <w:trHeight w:val="319"/>
        </w:trPr>
        <w:tc>
          <w:tcPr>
            <w:gridSpan w:val="16"/>
            <w:shd w:val="clear" w:color="auto" w:fill="auto"/>
            <w:tcW w:w="155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  <w:t xml:space="preserve">Цель. Обеспечение рационального и экономного использования энергетических ресурсов за счет реализации энергосберегающих мероприятий</w:t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/>
                <w:bCs/>
                <w:sz w:val="23"/>
                <w:szCs w:val="23"/>
              </w:rPr>
            </w:r>
          </w:p>
        </w:tc>
      </w:tr>
      <w:tr>
        <w:tblPrEx/>
        <w:trPr>
          <w:trHeight w:val="319"/>
        </w:trPr>
        <w:tc>
          <w:tcPr>
            <w:gridSpan w:val="16"/>
            <w:shd w:val="clear" w:color="auto" w:fill="auto"/>
            <w:tcW w:w="1559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sz w:val="23"/>
                <w:szCs w:val="23"/>
              </w:rPr>
            </w:pPr>
            <w:r>
              <w:rPr>
                <w:rFonts w:ascii="Times New Roman" w:hAnsi="Times New Roman" w:cs="Times New Roman"/>
                <w:b/>
                <w:sz w:val="23"/>
                <w:szCs w:val="23"/>
              </w:rPr>
              <w:t xml:space="preserve">Мероприятие 1. Обеспечение устойчивого процесса повышения эффективности энергопотребления</w:t>
            </w:r>
            <w:r>
              <w:rPr>
                <w:rFonts w:ascii="Times New Roman" w:hAnsi="Times New Roman" w:cs="Times New Roman"/>
                <w:b/>
                <w:sz w:val="23"/>
                <w:szCs w:val="23"/>
              </w:rPr>
            </w:r>
            <w:r>
              <w:rPr>
                <w:rFonts w:ascii="Times New Roman" w:hAnsi="Times New Roman" w:cs="Times New Roman"/>
                <w:b/>
                <w:sz w:val="23"/>
                <w:szCs w:val="23"/>
              </w:rPr>
            </w:r>
          </w:p>
        </w:tc>
      </w:tr>
      <w:tr>
        <w:tblPrEx/>
        <w:trPr>
          <w:trHeight w:val="778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1.1.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Установление лимитов потребления энергоресурсов муниципальными учреждениями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202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5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-202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544" w:type="dxa"/>
            <w:textDirection w:val="lrTb"/>
            <w:noWrap w:val="false"/>
          </w:tcPr>
          <w:p>
            <w:pPr>
              <w:pStyle w:val="926"/>
              <w:jc w:val="both"/>
              <w:widowControl/>
              <w:rPr>
                <w:rFonts w:ascii="Times New Roman" w:hAnsi="Times New Roman" w:cs="Times New Roman"/>
                <w:b w:val="0"/>
              </w:rPr>
              <w:outlineLvl w:val="2"/>
            </w:pPr>
            <w:r>
              <w:rPr>
                <w:rFonts w:ascii="Times New Roman" w:hAnsi="Times New Roman" w:cs="Times New Roman"/>
                <w:b w:val="0"/>
              </w:rPr>
              <w:t xml:space="preserve">Наличие утвержденных лимитов потребления энергоресурсов муниципальными учреждениями</w:t>
            </w:r>
            <w:r>
              <w:rPr>
                <w:rFonts w:ascii="Times New Roman" w:hAnsi="Times New Roman" w:cs="Times New Roman"/>
                <w:b w:val="0"/>
              </w:rPr>
            </w:r>
            <w:r>
              <w:rPr>
                <w:rFonts w:ascii="Times New Roman" w:hAnsi="Times New Roman" w:cs="Times New Roman"/>
                <w:b w:val="0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%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ОЭР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1.2.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Мониторинг соблюдения установленных лимитов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202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5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-202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Проведение мониторинга по соблюдению установленных лимитов</w:t>
            </w:r>
            <w:r>
              <w:rPr>
                <w:rFonts w:ascii="Times New Roman" w:hAnsi="Times New Roman" w:cs="Times New Roman"/>
              </w:rPr>
              <w:t xml:space="preserve"> муниципальными учреждениями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Шт.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ОЭР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1.3.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Контроль и мониторинг за реализацией энергосберегающих мероприятий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202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5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-202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Проведение мониторинга по реализации энергосберегающих мероприятий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Да/нет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униципальные учреждения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689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1.4.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Мероприятия по обучению основам энергосбережения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202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5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-202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Проведение разъяснительной работы, обучение основам энергосбережения сотрудников муниципальных учреждений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Да/нет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униципальные учреждения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/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1.5.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Мониторинг наличия и функционирования приборов учета потребления энергоресурсов в муниципальных учреждениях и сроков их поверки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202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5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-202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Наличие и функционирование приборов учета потребления энергоресурсов в муниципальных учреждениях и сроков их поверки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Да/нет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МБУ «РЭС»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31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1.6.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Предоставление энергетических деклараций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202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5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-202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Предоставление энергетических деклараций через модуль ГИС «</w:t>
            </w:r>
            <w:r>
              <w:rPr>
                <w:rFonts w:ascii="Times New Roman" w:hAnsi="Times New Roman" w:cs="Times New Roman"/>
              </w:rPr>
              <w:t xml:space="preserve">Энергоэффективность</w:t>
            </w:r>
            <w:r>
              <w:rPr>
                <w:rFonts w:ascii="Times New Roman" w:hAnsi="Times New Roman" w:cs="Times New Roman"/>
              </w:rPr>
              <w:t xml:space="preserve">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Да/нет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М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униципальные учреждения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74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1.7.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Возмещение затрат гражданам, проживающим в муниципальных жилых помещениях, на устан</w:t>
            </w:r>
            <w:r>
              <w:rPr>
                <w:rFonts w:ascii="Times New Roman" w:hAnsi="Times New Roman" w:cs="Times New Roman"/>
              </w:rPr>
              <w:t xml:space="preserve">овку </w:t>
            </w:r>
            <w:r>
              <w:rPr>
                <w:rFonts w:ascii="Times New Roman" w:hAnsi="Times New Roman" w:cs="Times New Roman"/>
              </w:rPr>
              <w:t xml:space="preserve">индивидуальных приборов учё</w:t>
            </w:r>
            <w:r>
              <w:rPr>
                <w:rFonts w:ascii="Times New Roman" w:hAnsi="Times New Roman" w:cs="Times New Roman"/>
              </w:rPr>
              <w:t xml:space="preserve">та энергетических ресурсов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202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5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-202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>
              <w:rPr>
                <w:rFonts w:ascii="Times New Roman" w:hAnsi="Times New Roman" w:cs="Times New Roman"/>
              </w:rPr>
              <w:t xml:space="preserve">муниципальных </w:t>
            </w:r>
            <w:r>
              <w:rPr>
                <w:rFonts w:ascii="Times New Roman" w:hAnsi="Times New Roman" w:cs="Times New Roman"/>
              </w:rPr>
              <w:t xml:space="preserve">жилых помещений, в которых установлены приборы учёта </w:t>
            </w:r>
            <w:r>
              <w:rPr>
                <w:rFonts w:ascii="Times New Roman" w:hAnsi="Times New Roman" w:cs="Times New Roman"/>
              </w:rPr>
              <w:t xml:space="preserve">энергетических ресурсов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Шт.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менее 22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менее 22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менее 22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 и Ж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КХ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74"/>
        </w:trPr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1.8.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411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Установка индивидуальных приборов учёта энергетических ресурсов в незаселенные муниципальные жилые помещения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pacing w:val="1"/>
              </w:rPr>
            </w:pPr>
            <w:r>
              <w:rPr>
                <w:rFonts w:ascii="Times New Roman" w:hAnsi="Times New Roman" w:cs="Times New Roman"/>
                <w:color w:val="000000"/>
                <w:spacing w:val="1"/>
              </w:rPr>
              <w:t xml:space="preserve">2025-2027</w:t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  <w:r>
              <w:rPr>
                <w:rFonts w:ascii="Times New Roman" w:hAnsi="Times New Roman" w:cs="Times New Roman"/>
                <w:color w:val="000000"/>
                <w:spacing w:val="1"/>
              </w:rPr>
            </w:r>
          </w:p>
        </w:tc>
        <w:tc>
          <w:tcPr>
            <w:gridSpan w:val="2"/>
            <w:shd w:val="clear" w:color="auto" w:fill="auto"/>
            <w:tcW w:w="354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Количество </w:t>
            </w:r>
            <w:r>
              <w:rPr>
                <w:rFonts w:ascii="Times New Roman" w:hAnsi="Times New Roman" w:cs="Times New Roman"/>
              </w:rPr>
              <w:t xml:space="preserve">незаселенных 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муниципальных </w:t>
            </w:r>
            <w:r>
              <w:rPr>
                <w:rFonts w:ascii="Times New Roman" w:hAnsi="Times New Roman" w:cs="Times New Roman"/>
              </w:rPr>
              <w:t xml:space="preserve">жилых </w:t>
            </w:r>
            <w:r>
              <w:rPr>
                <w:rFonts w:ascii="Times New Roman" w:hAnsi="Times New Roman" w:cs="Times New Roman"/>
              </w:rPr>
              <w:t xml:space="preserve">помещений, в которых установлены приборы учёта энергетических ресурсов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Шт.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менее 30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9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менее 30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 менее 30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shd w:val="clear" w:color="auto" w:fill="auto"/>
            <w:tcW w:w="184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ОС и ЖКХ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</w:tbl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0"/>
          <w:szCs w:val="20"/>
        </w:rPr>
        <w:sectPr>
          <w:footerReference w:type="default" r:id="rId10"/>
          <w:footnotePr/>
          <w:endnotePr/>
          <w:type w:val="nextPage"/>
          <w:pgSz w:w="16838" w:h="11905" w:orient="landscape"/>
          <w:pgMar w:top="851" w:right="567" w:bottom="568" w:left="85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r/>
    </w:p>
    <w:sectPr>
      <w:footnotePr/>
      <w:endnotePr/>
      <w:type w:val="nextPage"/>
      <w:pgSz w:w="11905" w:h="16838" w:orient="portrait"/>
      <w:pgMar w:top="993" w:right="565" w:bottom="567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 CYR">
    <w:panose1 w:val="02020603050405020304"/>
  </w:font>
  <w:font w:name="Wingdings">
    <w:panose1 w:val="05000000000000000000"/>
  </w:font>
  <w:font w:name="Symbol">
    <w:panose1 w:val="05050102010706020507"/>
  </w:font>
  <w:font w:name="Lucida Sans Unicode">
    <w:panose1 w:val="020B0602030504020204"/>
  </w:font>
  <w:font w:name="Verdana">
    <w:panose1 w:val="020B0604030504040204"/>
  </w:font>
  <w:font w:name="Constantia">
    <w:panose1 w:val="02030602050306030303"/>
  </w:font>
  <w:font w:name="Tahoma">
    <w:panose1 w:val="020B0604030504040204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1"/>
      <w:ind w:right="360"/>
      <w:rPr>
        <w:rFonts w:cs="Times New Roman"/>
      </w:rPr>
    </w:pPr>
    <w:r>
      <w:rPr>
        <w:rFonts w:cs="Times New Roman"/>
      </w:rPr>
    </w:r>
    <w:r>
      <w:rPr>
        <w:rFonts w:cs="Times New Roman"/>
      </w:rPr>
    </w:r>
    <w:r>
      <w:rPr>
        <w:rFonts w:cs="Times New Roman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31"/>
      <w:ind w:right="360"/>
      <w:rPr>
        <w:rFonts w:cs="Times New Roman"/>
      </w:rPr>
    </w:pPr>
    <w:r>
      <w:rPr>
        <w:rFonts w:cs="Times New Roman"/>
      </w:rPr>
    </w:r>
    <w:r>
      <w:rPr>
        <w:rFonts w:cs="Times New Roman"/>
      </w:rPr>
    </w:r>
    <w:r>
      <w:rPr>
        <w:rFonts w:cs="Times New Roman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  <w:tabs>
          <w:tab w:val="num" w:pos="720" w:leader="none"/>
        </w:tabs>
      </w:pPr>
      <w:rPr>
        <w:rFonts w:ascii="Symbol" w:hAnsi="Symbol" w:cs="Symbol"/>
      </w:rPr>
    </w:lvl>
    <w:lvl w:ilvl="1">
      <w:start w:val="1"/>
      <w:numFmt w:val="bullet"/>
      <w:isLgl w:val="false"/>
      <w:suff w:val="tab"/>
      <w:lvlText w:val=""/>
      <w:lvlJc w:val="left"/>
      <w:pPr>
        <w:ind w:left="1080" w:hanging="360"/>
        <w:tabs>
          <w:tab w:val="num" w:pos="1080" w:leader="none"/>
        </w:tabs>
      </w:pPr>
      <w:rPr>
        <w:rFonts w:ascii="Symbol" w:hAnsi="Symbol" w:cs="Symbol"/>
      </w:rPr>
    </w:lvl>
    <w:lvl w:ilvl="2">
      <w:start w:val="1"/>
      <w:numFmt w:val="bullet"/>
      <w:isLgl w:val="false"/>
      <w:suff w:val="tab"/>
      <w:lvlText w:val=""/>
      <w:lvlJc w:val="left"/>
      <w:pPr>
        <w:ind w:left="1440" w:hanging="360"/>
        <w:tabs>
          <w:tab w:val="num" w:pos="1440" w:leader="none"/>
        </w:tabs>
      </w:pPr>
      <w:rPr>
        <w:rFonts w:ascii="Symbol" w:hAnsi="Symbol" w:cs="Symbol"/>
      </w:rPr>
    </w:lvl>
    <w:lvl w:ilvl="3">
      <w:start w:val="1"/>
      <w:numFmt w:val="bullet"/>
      <w:isLgl w:val="false"/>
      <w:suff w:val="tab"/>
      <w:lvlText w:val=""/>
      <w:lvlJc w:val="left"/>
      <w:pPr>
        <w:ind w:left="1800" w:hanging="360"/>
        <w:tabs>
          <w:tab w:val="num" w:pos="1800" w:leader="none"/>
        </w:tabs>
      </w:pPr>
      <w:rPr>
        <w:rFonts w:ascii="Symbol" w:hAnsi="Symbol" w:cs="Symbol"/>
      </w:rPr>
    </w:lvl>
    <w:lvl w:ilvl="4">
      <w:start w:val="1"/>
      <w:numFmt w:val="bullet"/>
      <w:isLgl w:val="false"/>
      <w:suff w:val="tab"/>
      <w:lvlText w:val=""/>
      <w:lvlJc w:val="left"/>
      <w:pPr>
        <w:ind w:left="2160" w:hanging="360"/>
        <w:tabs>
          <w:tab w:val="num" w:pos="2160" w:leader="none"/>
        </w:tabs>
      </w:pPr>
      <w:rPr>
        <w:rFonts w:ascii="Symbol" w:hAnsi="Symbol" w:cs="Symbol"/>
      </w:rPr>
    </w:lvl>
    <w:lvl w:ilvl="5">
      <w:start w:val="1"/>
      <w:numFmt w:val="bullet"/>
      <w:isLgl w:val="false"/>
      <w:suff w:val="tab"/>
      <w:lvlText w:val=""/>
      <w:lvlJc w:val="left"/>
      <w:pPr>
        <w:ind w:left="2520" w:hanging="360"/>
        <w:tabs>
          <w:tab w:val="num" w:pos="2520" w:leader="none"/>
        </w:tabs>
      </w:pPr>
      <w:rPr>
        <w:rFonts w:ascii="Symbol" w:hAnsi="Symbol" w:cs="Symbol"/>
      </w:rPr>
    </w:lvl>
    <w:lvl w:ilvl="6">
      <w:start w:val="1"/>
      <w:numFmt w:val="bullet"/>
      <w:isLgl w:val="false"/>
      <w:suff w:val="tab"/>
      <w:lvlText w:val=""/>
      <w:lvlJc w:val="left"/>
      <w:pPr>
        <w:ind w:left="2880" w:hanging="360"/>
        <w:tabs>
          <w:tab w:val="num" w:pos="2880" w:leader="none"/>
        </w:tabs>
      </w:pPr>
      <w:rPr>
        <w:rFonts w:ascii="Symbol" w:hAnsi="Symbol" w:cs="Symbol"/>
      </w:rPr>
    </w:lvl>
    <w:lvl w:ilvl="7">
      <w:start w:val="1"/>
      <w:numFmt w:val="bullet"/>
      <w:isLgl w:val="false"/>
      <w:suff w:val="tab"/>
      <w:lvlText w:val=""/>
      <w:lvlJc w:val="left"/>
      <w:pPr>
        <w:ind w:left="3240" w:hanging="360"/>
        <w:tabs>
          <w:tab w:val="num" w:pos="3240" w:leader="none"/>
        </w:tabs>
      </w:pPr>
      <w:rPr>
        <w:rFonts w:ascii="Symbol" w:hAnsi="Symbol" w:cs="Symbol"/>
      </w:rPr>
    </w:lvl>
    <w:lvl w:ilvl="8">
      <w:start w:val="1"/>
      <w:numFmt w:val="bullet"/>
      <w:isLgl w:val="false"/>
      <w:suff w:val="tab"/>
      <w:lvlText w:val=""/>
      <w:lvlJc w:val="left"/>
      <w:pPr>
        <w:ind w:left="3600" w:hanging="360"/>
        <w:tabs>
          <w:tab w:val="num" w:pos="3600" w:leader="none"/>
        </w:tabs>
      </w:pPr>
      <w:rPr>
        <w:rFonts w:ascii="Symbol" w:hAnsi="Symbol" w:cs="Symbol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  <w:tabs>
          <w:tab w:val="num" w:pos="720" w:leader="none"/>
        </w:tabs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  <w:tabs>
          <w:tab w:val="num" w:pos="6480" w:leader="none"/>
        </w:tabs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1353" w:hanging="360"/>
        <w:tabs>
          <w:tab w:val="num" w:pos="1353" w:leader="none"/>
        </w:tabs>
      </w:pPr>
      <w:rPr>
        <w:rFonts w:hint="default" w:ascii="Constantia" w:hAnsi="Constantia" w:cs="Constantia"/>
      </w:rPr>
    </w:lvl>
    <w:lvl w:ilvl="1">
      <w:start w:val="1"/>
      <w:numFmt w:val="bullet"/>
      <w:isLgl w:val="false"/>
      <w:suff w:val="tab"/>
      <w:lvlText w:val="o"/>
      <w:lvlJc w:val="left"/>
      <w:pPr>
        <w:ind w:left="1980" w:hanging="360"/>
        <w:tabs>
          <w:tab w:val="num" w:pos="198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700" w:hanging="360"/>
        <w:tabs>
          <w:tab w:val="num" w:pos="2700" w:leader="none"/>
        </w:tabs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420" w:hanging="360"/>
        <w:tabs>
          <w:tab w:val="num" w:pos="3420" w:leader="none"/>
        </w:tabs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140" w:hanging="360"/>
        <w:tabs>
          <w:tab w:val="num" w:pos="414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860" w:hanging="360"/>
        <w:tabs>
          <w:tab w:val="num" w:pos="4860" w:leader="none"/>
        </w:tabs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580" w:hanging="360"/>
        <w:tabs>
          <w:tab w:val="num" w:pos="5580" w:leader="none"/>
        </w:tabs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300" w:hanging="360"/>
        <w:tabs>
          <w:tab w:val="num" w:pos="630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020" w:hanging="360"/>
        <w:tabs>
          <w:tab w:val="num" w:pos="7020" w:leader="none"/>
        </w:tabs>
      </w:pPr>
      <w:rPr>
        <w:rFonts w:hint="default" w:ascii="Wingdings" w:hAnsi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2"/>
      <w:numFmt w:val="decimal"/>
      <w:isLgl/>
      <w:suff w:val="tab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2"/>
      <w:numFmt w:val="decimal"/>
      <w:isLgl/>
      <w:suff w:val="tab"/>
      <w:lvlText w:val="%1.%2."/>
      <w:lvlJc w:val="left"/>
      <w:pPr>
        <w:ind w:left="900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260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62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62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98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98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340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60" w:hanging="360"/>
      </w:pPr>
      <w:rPr>
        <w:rFonts w:ascii="Times New Roman" w:hAnsi="Times New Roman" w:eastAsia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10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2.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062" w:hanging="360"/>
      </w:pPr>
      <w:rPr>
        <w:rFonts w:hint="default"/>
        <w:b w:val="0"/>
        <w:bCs w:val="0"/>
        <w:i w:val="0"/>
        <w:iCs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277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49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21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93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65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37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09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815" w:hanging="180"/>
      </w:pPr>
    </w:lvl>
  </w:abstractNum>
  <w:abstractNum w:abstractNumId="1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1">
    <w:multiLevelType w:val="hybridMultilevel"/>
    <w:lvl w:ilvl="0">
      <w:start w:val="4"/>
      <w:numFmt w:val="decimal"/>
      <w:isLgl w:val="false"/>
      <w:suff w:val="tab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 w:val="false"/>
      <w:suff w:val="tab"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"/>
      <w:lvlJc w:val="left"/>
      <w:pPr>
        <w:ind w:left="9000" w:hanging="1800"/>
      </w:pPr>
      <w:rPr>
        <w:rFonts w:hint="default"/>
      </w:rPr>
    </w:lvl>
  </w:abstractNum>
  <w:abstractNum w:abstractNumId="2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7" w:hanging="360"/>
      </w:pPr>
      <w:rPr>
        <w:rFonts w:hint="default" w:eastAsia="Times New Roman"/>
        <w:sz w:val="16"/>
        <w:szCs w:val="16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7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7">
    <w:multiLevelType w:val="hybridMultilevel"/>
    <w:lvl w:ilvl="0">
      <w:start w:val="3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 w:ascii="Times New Roman CYR" w:hAnsi="Times New Roman CYR" w:eastAsia="Times New Roman" w:cs="Times New Roman CYR"/>
        <w:b/>
        <w:color w:val="000000"/>
        <w:sz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8" w:hanging="180"/>
      </w:p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80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3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97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66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74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81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88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95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102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110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11730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num w:numId="1">
    <w:abstractNumId w:val="19"/>
  </w:num>
  <w:num w:numId="2">
    <w:abstractNumId w:val="5"/>
  </w:num>
  <w:num w:numId="3">
    <w:abstractNumId w:val="4"/>
  </w:num>
  <w:num w:numId="4">
    <w:abstractNumId w:val="0"/>
  </w:num>
  <w:num w:numId="5">
    <w:abstractNumId w:val="9"/>
  </w:num>
  <w:num w:numId="6">
    <w:abstractNumId w:val="11"/>
  </w:num>
  <w:num w:numId="7">
    <w:abstractNumId w:val="20"/>
  </w:num>
  <w:num w:numId="8">
    <w:abstractNumId w:val="34"/>
  </w:num>
  <w:num w:numId="9">
    <w:abstractNumId w:val="15"/>
  </w:num>
  <w:num w:numId="10">
    <w:abstractNumId w:val="3"/>
  </w:num>
  <w:num w:numId="11">
    <w:abstractNumId w:val="2"/>
  </w:num>
  <w:num w:numId="12">
    <w:abstractNumId w:val="25"/>
  </w:num>
  <w:num w:numId="13">
    <w:abstractNumId w:val="8"/>
  </w:num>
  <w:num w:numId="14">
    <w:abstractNumId w:val="21"/>
  </w:num>
  <w:num w:numId="15">
    <w:abstractNumId w:val="6"/>
  </w:num>
  <w:num w:numId="16">
    <w:abstractNumId w:val="13"/>
  </w:num>
  <w:num w:numId="17">
    <w:abstractNumId w:val="27"/>
  </w:num>
  <w:num w:numId="18">
    <w:abstractNumId w:val="10"/>
  </w:num>
  <w:num w:numId="19">
    <w:abstractNumId w:val="16"/>
  </w:num>
  <w:num w:numId="20">
    <w:abstractNumId w:val="30"/>
  </w:num>
  <w:num w:numId="21">
    <w:abstractNumId w:val="23"/>
  </w:num>
  <w:num w:numId="22">
    <w:abstractNumId w:val="18"/>
  </w:num>
  <w:num w:numId="23">
    <w:abstractNumId w:val="32"/>
  </w:num>
  <w:num w:numId="24">
    <w:abstractNumId w:val="1"/>
  </w:num>
  <w:num w:numId="25">
    <w:abstractNumId w:val="7"/>
  </w:num>
  <w:num w:numId="26">
    <w:abstractNumId w:val="29"/>
  </w:num>
  <w:num w:numId="27">
    <w:abstractNumId w:val="1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1"/>
  </w:num>
  <w:num w:numId="29">
    <w:abstractNumId w:val="22"/>
  </w:num>
  <w:num w:numId="30">
    <w:abstractNumId w:val="33"/>
  </w:num>
  <w:num w:numId="31">
    <w:abstractNumId w:val="28"/>
  </w:num>
  <w:num w:numId="32">
    <w:abstractNumId w:val="12"/>
  </w:num>
  <w:num w:numId="33">
    <w:abstractNumId w:val="24"/>
  </w:num>
  <w:num w:numId="3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</w:num>
  <w:num w:numId="36">
    <w:abstractNumId w:val="14"/>
  </w:num>
  <w:num w:numId="37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48">
    <w:name w:val="Heading 1"/>
    <w:basedOn w:val="919"/>
    <w:next w:val="919"/>
    <w:link w:val="74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49">
    <w:name w:val="Heading 1 Char"/>
    <w:basedOn w:val="921"/>
    <w:link w:val="748"/>
    <w:uiPriority w:val="9"/>
    <w:rPr>
      <w:rFonts w:ascii="Arial" w:hAnsi="Arial" w:eastAsia="Arial" w:cs="Arial"/>
      <w:sz w:val="40"/>
      <w:szCs w:val="40"/>
    </w:rPr>
  </w:style>
  <w:style w:type="paragraph" w:styleId="750">
    <w:name w:val="Heading 2"/>
    <w:basedOn w:val="919"/>
    <w:next w:val="919"/>
    <w:link w:val="75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51">
    <w:name w:val="Heading 2 Char"/>
    <w:basedOn w:val="921"/>
    <w:link w:val="750"/>
    <w:uiPriority w:val="9"/>
    <w:rPr>
      <w:rFonts w:ascii="Arial" w:hAnsi="Arial" w:eastAsia="Arial" w:cs="Arial"/>
      <w:sz w:val="34"/>
    </w:rPr>
  </w:style>
  <w:style w:type="character" w:styleId="752">
    <w:name w:val="Heading 3 Char"/>
    <w:basedOn w:val="921"/>
    <w:link w:val="920"/>
    <w:uiPriority w:val="9"/>
    <w:rPr>
      <w:rFonts w:ascii="Arial" w:hAnsi="Arial" w:eastAsia="Arial" w:cs="Arial"/>
      <w:sz w:val="30"/>
      <w:szCs w:val="30"/>
    </w:rPr>
  </w:style>
  <w:style w:type="paragraph" w:styleId="753">
    <w:name w:val="Heading 4"/>
    <w:basedOn w:val="919"/>
    <w:next w:val="919"/>
    <w:link w:val="754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54">
    <w:name w:val="Heading 4 Char"/>
    <w:basedOn w:val="921"/>
    <w:link w:val="753"/>
    <w:uiPriority w:val="9"/>
    <w:rPr>
      <w:rFonts w:ascii="Arial" w:hAnsi="Arial" w:eastAsia="Arial" w:cs="Arial"/>
      <w:b/>
      <w:bCs/>
      <w:sz w:val="26"/>
      <w:szCs w:val="26"/>
    </w:rPr>
  </w:style>
  <w:style w:type="paragraph" w:styleId="755">
    <w:name w:val="Heading 5"/>
    <w:basedOn w:val="919"/>
    <w:next w:val="919"/>
    <w:link w:val="756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56">
    <w:name w:val="Heading 5 Char"/>
    <w:basedOn w:val="921"/>
    <w:link w:val="755"/>
    <w:uiPriority w:val="9"/>
    <w:rPr>
      <w:rFonts w:ascii="Arial" w:hAnsi="Arial" w:eastAsia="Arial" w:cs="Arial"/>
      <w:b/>
      <w:bCs/>
      <w:sz w:val="24"/>
      <w:szCs w:val="24"/>
    </w:rPr>
  </w:style>
  <w:style w:type="paragraph" w:styleId="757">
    <w:name w:val="Heading 6"/>
    <w:basedOn w:val="919"/>
    <w:next w:val="919"/>
    <w:link w:val="75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58">
    <w:name w:val="Heading 6 Char"/>
    <w:basedOn w:val="921"/>
    <w:link w:val="757"/>
    <w:uiPriority w:val="9"/>
    <w:rPr>
      <w:rFonts w:ascii="Arial" w:hAnsi="Arial" w:eastAsia="Arial" w:cs="Arial"/>
      <w:b/>
      <w:bCs/>
      <w:sz w:val="22"/>
      <w:szCs w:val="22"/>
    </w:rPr>
  </w:style>
  <w:style w:type="paragraph" w:styleId="759">
    <w:name w:val="Heading 7"/>
    <w:basedOn w:val="919"/>
    <w:next w:val="919"/>
    <w:link w:val="760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60">
    <w:name w:val="Heading 7 Char"/>
    <w:basedOn w:val="921"/>
    <w:link w:val="75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61">
    <w:name w:val="Heading 8"/>
    <w:basedOn w:val="919"/>
    <w:next w:val="919"/>
    <w:link w:val="762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62">
    <w:name w:val="Heading 8 Char"/>
    <w:basedOn w:val="921"/>
    <w:link w:val="761"/>
    <w:uiPriority w:val="9"/>
    <w:rPr>
      <w:rFonts w:ascii="Arial" w:hAnsi="Arial" w:eastAsia="Arial" w:cs="Arial"/>
      <w:i/>
      <w:iCs/>
      <w:sz w:val="22"/>
      <w:szCs w:val="22"/>
    </w:rPr>
  </w:style>
  <w:style w:type="paragraph" w:styleId="763">
    <w:name w:val="Heading 9"/>
    <w:basedOn w:val="919"/>
    <w:next w:val="919"/>
    <w:link w:val="76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4">
    <w:name w:val="Heading 9 Char"/>
    <w:basedOn w:val="921"/>
    <w:link w:val="763"/>
    <w:uiPriority w:val="9"/>
    <w:rPr>
      <w:rFonts w:ascii="Arial" w:hAnsi="Arial" w:eastAsia="Arial" w:cs="Arial"/>
      <w:i/>
      <w:iCs/>
      <w:sz w:val="21"/>
      <w:szCs w:val="21"/>
    </w:rPr>
  </w:style>
  <w:style w:type="paragraph" w:styleId="765">
    <w:name w:val="Title"/>
    <w:basedOn w:val="919"/>
    <w:next w:val="919"/>
    <w:link w:val="76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66">
    <w:name w:val="Title Char"/>
    <w:basedOn w:val="921"/>
    <w:link w:val="765"/>
    <w:uiPriority w:val="10"/>
    <w:rPr>
      <w:sz w:val="48"/>
      <w:szCs w:val="48"/>
    </w:rPr>
  </w:style>
  <w:style w:type="paragraph" w:styleId="767">
    <w:name w:val="Subtitle"/>
    <w:basedOn w:val="919"/>
    <w:next w:val="919"/>
    <w:link w:val="768"/>
    <w:uiPriority w:val="11"/>
    <w:qFormat/>
    <w:pPr>
      <w:spacing w:before="200" w:after="200"/>
    </w:pPr>
    <w:rPr>
      <w:sz w:val="24"/>
      <w:szCs w:val="24"/>
    </w:rPr>
  </w:style>
  <w:style w:type="character" w:styleId="768">
    <w:name w:val="Subtitle Char"/>
    <w:basedOn w:val="921"/>
    <w:link w:val="767"/>
    <w:uiPriority w:val="11"/>
    <w:rPr>
      <w:sz w:val="24"/>
      <w:szCs w:val="24"/>
    </w:rPr>
  </w:style>
  <w:style w:type="paragraph" w:styleId="769">
    <w:name w:val="Quote"/>
    <w:basedOn w:val="919"/>
    <w:next w:val="919"/>
    <w:link w:val="770"/>
    <w:uiPriority w:val="29"/>
    <w:qFormat/>
    <w:pPr>
      <w:ind w:left="720" w:right="720"/>
    </w:pPr>
    <w:rPr>
      <w:i/>
    </w:rPr>
  </w:style>
  <w:style w:type="character" w:styleId="770">
    <w:name w:val="Quote Char"/>
    <w:link w:val="769"/>
    <w:uiPriority w:val="29"/>
    <w:rPr>
      <w:i/>
    </w:rPr>
  </w:style>
  <w:style w:type="paragraph" w:styleId="771">
    <w:name w:val="Intense Quote"/>
    <w:basedOn w:val="919"/>
    <w:next w:val="919"/>
    <w:link w:val="77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2">
    <w:name w:val="Intense Quote Char"/>
    <w:link w:val="771"/>
    <w:uiPriority w:val="30"/>
    <w:rPr>
      <w:i/>
    </w:rPr>
  </w:style>
  <w:style w:type="character" w:styleId="773">
    <w:name w:val="Header Char"/>
    <w:basedOn w:val="921"/>
    <w:link w:val="936"/>
    <w:uiPriority w:val="99"/>
  </w:style>
  <w:style w:type="character" w:styleId="774">
    <w:name w:val="Footer Char"/>
    <w:basedOn w:val="921"/>
    <w:link w:val="931"/>
    <w:uiPriority w:val="99"/>
  </w:style>
  <w:style w:type="paragraph" w:styleId="775">
    <w:name w:val="Caption"/>
    <w:basedOn w:val="919"/>
    <w:next w:val="91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76">
    <w:name w:val="Caption Char"/>
    <w:basedOn w:val="775"/>
    <w:link w:val="931"/>
    <w:uiPriority w:val="99"/>
  </w:style>
  <w:style w:type="table" w:styleId="777">
    <w:name w:val="Table Grid Light"/>
    <w:basedOn w:val="9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78">
    <w:name w:val="Plain Table 1"/>
    <w:basedOn w:val="922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9">
    <w:name w:val="Plain Table 2"/>
    <w:basedOn w:val="92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0">
    <w:name w:val="Plain Table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1">
    <w:name w:val="Plain Table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Plain Table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3">
    <w:name w:val="Grid Table 1 Light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Grid Table 1 Light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Grid Table 1 Light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Grid Table 1 Light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Grid Table 1 Light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Grid Table 1 Light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Grid Table 1 Light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Grid Table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>
    <w:name w:val="Grid Table 2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2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>
    <w:name w:val="Grid Table 2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>
    <w:name w:val="Grid Table 2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>
    <w:name w:val="Grid Table 2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>
    <w:name w:val="Grid Table 2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>
    <w:name w:val="Grid Table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>
    <w:name w:val="Grid Table 3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3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>
    <w:name w:val="Grid Table 3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>
    <w:name w:val="Grid Table 3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>
    <w:name w:val="Grid Table 3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>
    <w:name w:val="Grid Table 3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>
    <w:name w:val="Grid Table 4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5">
    <w:name w:val="Grid Table 4 - Accent 1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06">
    <w:name w:val="Grid Table 4 - Accent 2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07">
    <w:name w:val="Grid Table 4 - Accent 3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08">
    <w:name w:val="Grid Table 4 - Accent 4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9">
    <w:name w:val="Grid Table 4 - Accent 5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0">
    <w:name w:val="Grid Table 4 - Accent 6"/>
    <w:basedOn w:val="92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1">
    <w:name w:val="Grid Table 5 Dark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12">
    <w:name w:val="Grid Table 5 Dark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13">
    <w:name w:val="Grid Table 5 Dark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14">
    <w:name w:val="Grid Table 5 Dark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15">
    <w:name w:val="Grid Table 5 Dark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16">
    <w:name w:val="Grid Table 5 Dark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17">
    <w:name w:val="Grid Table 5 Dark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18">
    <w:name w:val="Grid Table 6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19">
    <w:name w:val="Grid Table 6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20">
    <w:name w:val="Grid Table 6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21">
    <w:name w:val="Grid Table 6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22">
    <w:name w:val="Grid Table 6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23">
    <w:name w:val="Grid Table 6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4">
    <w:name w:val="Grid Table 6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25">
    <w:name w:val="Grid Table 7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>
    <w:name w:val="Grid Table 7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Grid Table 7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>
    <w:name w:val="Grid Table 7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>
    <w:name w:val="Grid Table 7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>
    <w:name w:val="Grid Table 7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>
    <w:name w:val="Grid Table 7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>
    <w:name w:val="List Table 1 Light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>
    <w:name w:val="List Table 1 Light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List Table 1 Light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>
    <w:name w:val="List Table 1 Light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>
    <w:name w:val="List Table 1 Light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>
    <w:name w:val="List Table 1 Light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>
    <w:name w:val="List Table 1 Light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>
    <w:name w:val="List Table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40">
    <w:name w:val="List Table 2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41">
    <w:name w:val="List Table 2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42">
    <w:name w:val="List Table 2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43">
    <w:name w:val="List Table 2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44">
    <w:name w:val="List Table 2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45">
    <w:name w:val="List Table 2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46">
    <w:name w:val="List Table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>
    <w:name w:val="List Table 3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3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>
    <w:name w:val="List Table 3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>
    <w:name w:val="List Table 3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>
    <w:name w:val="List Table 3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>
    <w:name w:val="List Table 3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>
    <w:name w:val="List Table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4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4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>
    <w:name w:val="List Table 4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>
    <w:name w:val="List Table 4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>
    <w:name w:val="List Table 4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>
    <w:name w:val="List Table 4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>
    <w:name w:val="List Table 5 Dark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1">
    <w:name w:val="List Table 5 Dark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2">
    <w:name w:val="List Table 5 Dark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3">
    <w:name w:val="List Table 5 Dark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4">
    <w:name w:val="List Table 5 Dark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5">
    <w:name w:val="List Table 5 Dark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6">
    <w:name w:val="List Table 5 Dark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67">
    <w:name w:val="List Table 6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68">
    <w:name w:val="List Table 6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69">
    <w:name w:val="List Table 6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70">
    <w:name w:val="List Table 6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71">
    <w:name w:val="List Table 6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72">
    <w:name w:val="List Table 6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73">
    <w:name w:val="List Table 6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74">
    <w:name w:val="List Table 7 Colorful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75">
    <w:name w:val="List Table 7 Colorful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76">
    <w:name w:val="List Table 7 Colorful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77">
    <w:name w:val="List Table 7 Colorful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78">
    <w:name w:val="List Table 7 Colorful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79">
    <w:name w:val="List Table 7 Colorful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80">
    <w:name w:val="List Table 7 Colorful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81">
    <w:name w:val="Lined - Accent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2">
    <w:name w:val="Lined - Accent 1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83">
    <w:name w:val="Lined - Accent 2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84">
    <w:name w:val="Lined - Accent 3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85">
    <w:name w:val="Lined - Accent 4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86">
    <w:name w:val="Lined - Accent 5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87">
    <w:name w:val="Lined - Accent 6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88">
    <w:name w:val="Bordered &amp; Lined - Accent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89">
    <w:name w:val="Bordered &amp; Lined - Accent 1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0">
    <w:name w:val="Bordered &amp; Lined - Accent 2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1">
    <w:name w:val="Bordered &amp; Lined - Accent 3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92">
    <w:name w:val="Bordered &amp; Lined - Accent 4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93">
    <w:name w:val="Bordered &amp; Lined - Accent 5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94">
    <w:name w:val="Bordered &amp; Lined - Accent 6"/>
    <w:basedOn w:val="92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95">
    <w:name w:val="Bordered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96">
    <w:name w:val="Bordered - Accent 1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97">
    <w:name w:val="Bordered - Accent 2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98">
    <w:name w:val="Bordered - Accent 3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99">
    <w:name w:val="Bordered - Accent 4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00">
    <w:name w:val="Bordered - Accent 5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01">
    <w:name w:val="Bordered - Accent 6"/>
    <w:basedOn w:val="92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02">
    <w:name w:val="footnote text"/>
    <w:basedOn w:val="919"/>
    <w:link w:val="903"/>
    <w:uiPriority w:val="99"/>
    <w:semiHidden/>
    <w:unhideWhenUsed/>
    <w:pPr>
      <w:spacing w:after="40" w:line="240" w:lineRule="auto"/>
    </w:pPr>
    <w:rPr>
      <w:sz w:val="18"/>
    </w:rPr>
  </w:style>
  <w:style w:type="character" w:styleId="903">
    <w:name w:val="Footnote Text Char"/>
    <w:link w:val="902"/>
    <w:uiPriority w:val="99"/>
    <w:rPr>
      <w:sz w:val="18"/>
    </w:rPr>
  </w:style>
  <w:style w:type="character" w:styleId="904">
    <w:name w:val="footnote reference"/>
    <w:basedOn w:val="921"/>
    <w:uiPriority w:val="99"/>
    <w:unhideWhenUsed/>
    <w:rPr>
      <w:vertAlign w:val="superscript"/>
    </w:rPr>
  </w:style>
  <w:style w:type="paragraph" w:styleId="905">
    <w:name w:val="endnote text"/>
    <w:basedOn w:val="919"/>
    <w:link w:val="906"/>
    <w:uiPriority w:val="99"/>
    <w:semiHidden/>
    <w:unhideWhenUsed/>
    <w:pPr>
      <w:spacing w:after="0" w:line="240" w:lineRule="auto"/>
    </w:pPr>
    <w:rPr>
      <w:sz w:val="20"/>
    </w:rPr>
  </w:style>
  <w:style w:type="character" w:styleId="906">
    <w:name w:val="Endnote Text Char"/>
    <w:link w:val="905"/>
    <w:uiPriority w:val="99"/>
    <w:rPr>
      <w:sz w:val="20"/>
    </w:rPr>
  </w:style>
  <w:style w:type="character" w:styleId="907">
    <w:name w:val="endnote reference"/>
    <w:basedOn w:val="921"/>
    <w:uiPriority w:val="99"/>
    <w:semiHidden/>
    <w:unhideWhenUsed/>
    <w:rPr>
      <w:vertAlign w:val="superscript"/>
    </w:rPr>
  </w:style>
  <w:style w:type="paragraph" w:styleId="908">
    <w:name w:val="toc 1"/>
    <w:basedOn w:val="919"/>
    <w:next w:val="919"/>
    <w:uiPriority w:val="39"/>
    <w:unhideWhenUsed/>
    <w:pPr>
      <w:ind w:left="0" w:right="0" w:firstLine="0"/>
      <w:spacing w:after="57"/>
    </w:pPr>
  </w:style>
  <w:style w:type="paragraph" w:styleId="909">
    <w:name w:val="toc 2"/>
    <w:basedOn w:val="919"/>
    <w:next w:val="919"/>
    <w:uiPriority w:val="39"/>
    <w:unhideWhenUsed/>
    <w:pPr>
      <w:ind w:left="283" w:right="0" w:firstLine="0"/>
      <w:spacing w:after="57"/>
    </w:pPr>
  </w:style>
  <w:style w:type="paragraph" w:styleId="910">
    <w:name w:val="toc 3"/>
    <w:basedOn w:val="919"/>
    <w:next w:val="919"/>
    <w:uiPriority w:val="39"/>
    <w:unhideWhenUsed/>
    <w:pPr>
      <w:ind w:left="567" w:right="0" w:firstLine="0"/>
      <w:spacing w:after="57"/>
    </w:pPr>
  </w:style>
  <w:style w:type="paragraph" w:styleId="911">
    <w:name w:val="toc 4"/>
    <w:basedOn w:val="919"/>
    <w:next w:val="919"/>
    <w:uiPriority w:val="39"/>
    <w:unhideWhenUsed/>
    <w:pPr>
      <w:ind w:left="850" w:right="0" w:firstLine="0"/>
      <w:spacing w:after="57"/>
    </w:pPr>
  </w:style>
  <w:style w:type="paragraph" w:styleId="912">
    <w:name w:val="toc 5"/>
    <w:basedOn w:val="919"/>
    <w:next w:val="919"/>
    <w:uiPriority w:val="39"/>
    <w:unhideWhenUsed/>
    <w:pPr>
      <w:ind w:left="1134" w:right="0" w:firstLine="0"/>
      <w:spacing w:after="57"/>
    </w:pPr>
  </w:style>
  <w:style w:type="paragraph" w:styleId="913">
    <w:name w:val="toc 6"/>
    <w:basedOn w:val="919"/>
    <w:next w:val="919"/>
    <w:uiPriority w:val="39"/>
    <w:unhideWhenUsed/>
    <w:pPr>
      <w:ind w:left="1417" w:right="0" w:firstLine="0"/>
      <w:spacing w:after="57"/>
    </w:pPr>
  </w:style>
  <w:style w:type="paragraph" w:styleId="914">
    <w:name w:val="toc 7"/>
    <w:basedOn w:val="919"/>
    <w:next w:val="919"/>
    <w:uiPriority w:val="39"/>
    <w:unhideWhenUsed/>
    <w:pPr>
      <w:ind w:left="1701" w:right="0" w:firstLine="0"/>
      <w:spacing w:after="57"/>
    </w:pPr>
  </w:style>
  <w:style w:type="paragraph" w:styleId="915">
    <w:name w:val="toc 8"/>
    <w:basedOn w:val="919"/>
    <w:next w:val="919"/>
    <w:uiPriority w:val="39"/>
    <w:unhideWhenUsed/>
    <w:pPr>
      <w:ind w:left="1984" w:right="0" w:firstLine="0"/>
      <w:spacing w:after="57"/>
    </w:pPr>
  </w:style>
  <w:style w:type="paragraph" w:styleId="916">
    <w:name w:val="toc 9"/>
    <w:basedOn w:val="919"/>
    <w:next w:val="919"/>
    <w:uiPriority w:val="39"/>
    <w:unhideWhenUsed/>
    <w:pPr>
      <w:ind w:left="2268" w:right="0" w:firstLine="0"/>
      <w:spacing w:after="57"/>
    </w:pPr>
  </w:style>
  <w:style w:type="paragraph" w:styleId="917">
    <w:name w:val="TOC Heading"/>
    <w:uiPriority w:val="39"/>
    <w:unhideWhenUsed/>
  </w:style>
  <w:style w:type="paragraph" w:styleId="918">
    <w:name w:val="table of figures"/>
    <w:basedOn w:val="919"/>
    <w:next w:val="919"/>
    <w:uiPriority w:val="99"/>
    <w:unhideWhenUsed/>
    <w:pPr>
      <w:spacing w:after="0" w:afterAutospacing="0"/>
    </w:pPr>
  </w:style>
  <w:style w:type="paragraph" w:styleId="919" w:default="1">
    <w:name w:val="Normal"/>
    <w:qFormat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920">
    <w:name w:val="Heading 3"/>
    <w:basedOn w:val="919"/>
    <w:link w:val="954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  <w:lang w:eastAsia="ru-RU"/>
    </w:rPr>
  </w:style>
  <w:style w:type="character" w:styleId="921" w:default="1">
    <w:name w:val="Default Paragraph Font"/>
    <w:uiPriority w:val="1"/>
    <w:semiHidden/>
    <w:unhideWhenUsed/>
  </w:style>
  <w:style w:type="table" w:styleId="922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23" w:default="1">
    <w:name w:val="No List"/>
    <w:uiPriority w:val="99"/>
    <w:semiHidden/>
    <w:unhideWhenUsed/>
  </w:style>
  <w:style w:type="paragraph" w:styleId="924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925" w:customStyle="1">
    <w:name w:val="ConsPlusNonformat"/>
    <w:pPr>
      <w:widowControl w:val="off"/>
    </w:pPr>
    <w:rPr>
      <w:rFonts w:ascii="Courier New" w:hAnsi="Courier New" w:eastAsia="Times New Roman" w:cs="Courier New"/>
    </w:rPr>
  </w:style>
  <w:style w:type="paragraph" w:styleId="926" w:customStyle="1">
    <w:name w:val="ConsPlusTitle"/>
    <w:uiPriority w:val="99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927" w:customStyle="1">
    <w:name w:val="ConsPlusCell"/>
    <w:pPr>
      <w:widowControl w:val="off"/>
    </w:pPr>
    <w:rPr>
      <w:rFonts w:eastAsia="Times New Roman" w:cs="Calibri"/>
      <w:sz w:val="22"/>
      <w:szCs w:val="22"/>
    </w:rPr>
  </w:style>
  <w:style w:type="paragraph" w:styleId="928" w:customStyle="1">
    <w:name w:val="Абзац списка1"/>
    <w:basedOn w:val="919"/>
    <w:pPr>
      <w:ind w:left="720"/>
    </w:pPr>
  </w:style>
  <w:style w:type="paragraph" w:styleId="929" w:customStyle="1">
    <w:name w:val="Содержимое таблицы"/>
    <w:basedOn w:val="919"/>
    <w:pPr>
      <w:spacing w:after="0" w:line="240" w:lineRule="auto"/>
      <w:widowControl w:val="off"/>
      <w:suppressLineNumbers/>
    </w:pPr>
    <w:rPr>
      <w:rFonts w:ascii="Times New Roman" w:hAnsi="Times New Roman" w:eastAsia="Times New Roman" w:cs="Times New Roman"/>
      <w:sz w:val="24"/>
      <w:szCs w:val="24"/>
      <w:lang w:eastAsia="hi-IN" w:bidi="hi-IN"/>
    </w:rPr>
  </w:style>
  <w:style w:type="paragraph" w:styleId="930">
    <w:name w:val="Normal (Web)"/>
    <w:basedOn w:val="91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1">
    <w:name w:val="Footer"/>
    <w:basedOn w:val="919"/>
    <w:link w:val="932"/>
    <w:pPr>
      <w:ind w:firstLine="720"/>
      <w:jc w:val="both"/>
      <w:spacing w:after="0" w:line="240" w:lineRule="auto"/>
      <w:widowControl w:val="off"/>
      <w:tabs>
        <w:tab w:val="center" w:pos="4677" w:leader="none"/>
        <w:tab w:val="right" w:pos="9355" w:leader="none"/>
      </w:tabs>
    </w:pPr>
    <w:rPr>
      <w:rFonts w:ascii="Arial" w:hAnsi="Arial" w:eastAsia="Times New Roman" w:cs="Arial"/>
      <w:sz w:val="20"/>
      <w:szCs w:val="20"/>
      <w:lang w:eastAsia="ru-RU"/>
    </w:rPr>
  </w:style>
  <w:style w:type="character" w:styleId="932" w:customStyle="1">
    <w:name w:val="Нижний колонтитул Знак"/>
    <w:link w:val="931"/>
    <w:rPr>
      <w:rFonts w:ascii="Arial" w:hAnsi="Arial" w:cs="Arial"/>
      <w:sz w:val="20"/>
      <w:szCs w:val="20"/>
      <w:lang w:eastAsia="ru-RU"/>
    </w:rPr>
  </w:style>
  <w:style w:type="character" w:styleId="933">
    <w:name w:val="page number"/>
    <w:basedOn w:val="921"/>
  </w:style>
  <w:style w:type="paragraph" w:styleId="934" w:customStyle="1">
    <w:name w:val="Абзац списка1"/>
    <w:basedOn w:val="919"/>
    <w:pPr>
      <w:ind w:left="720"/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935">
    <w:name w:val="Table Grid"/>
    <w:basedOn w:val="922"/>
    <w:uiPriority w:val="59"/>
    <w:rPr>
      <w:rFonts w:cs="Calibri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36">
    <w:name w:val="Header"/>
    <w:basedOn w:val="919"/>
    <w:link w:val="937"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937" w:customStyle="1">
    <w:name w:val="Верхний колонтитул Знак"/>
    <w:basedOn w:val="921"/>
    <w:link w:val="936"/>
  </w:style>
  <w:style w:type="paragraph" w:styleId="938">
    <w:name w:val="Balloon Text"/>
    <w:basedOn w:val="919"/>
    <w:link w:val="93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939" w:customStyle="1">
    <w:name w:val="Текст выноски Знак"/>
    <w:link w:val="938"/>
    <w:semiHidden/>
    <w:rPr>
      <w:rFonts w:ascii="Tahoma" w:hAnsi="Tahoma" w:cs="Tahoma"/>
      <w:sz w:val="16"/>
      <w:szCs w:val="16"/>
    </w:rPr>
  </w:style>
  <w:style w:type="character" w:styleId="940" w:customStyle="1">
    <w:name w:val="МОН Знак"/>
    <w:link w:val="941"/>
    <w:rPr>
      <w:sz w:val="24"/>
      <w:szCs w:val="24"/>
    </w:rPr>
  </w:style>
  <w:style w:type="paragraph" w:styleId="941" w:customStyle="1">
    <w:name w:val="МОН"/>
    <w:basedOn w:val="919"/>
    <w:link w:val="940"/>
    <w:pPr>
      <w:ind w:firstLine="709"/>
      <w:jc w:val="both"/>
      <w:spacing w:after="0" w:line="360" w:lineRule="auto"/>
    </w:pPr>
    <w:rPr>
      <w:sz w:val="24"/>
      <w:szCs w:val="24"/>
      <w:lang w:eastAsia="ru-RU"/>
    </w:rPr>
  </w:style>
  <w:style w:type="character" w:styleId="942">
    <w:name w:val="Strong"/>
    <w:qFormat/>
    <w:rPr>
      <w:b/>
      <w:bCs/>
    </w:rPr>
  </w:style>
  <w:style w:type="character" w:styleId="943">
    <w:name w:val="Hyperlink"/>
    <w:semiHidden/>
    <w:rPr>
      <w:color w:val="0000ff"/>
      <w:u w:val="single"/>
    </w:rPr>
  </w:style>
  <w:style w:type="paragraph" w:styleId="944">
    <w:name w:val="Body Text Indent"/>
    <w:basedOn w:val="919"/>
    <w:link w:val="945"/>
    <w:pPr>
      <w:ind w:left="283"/>
      <w:spacing w:after="12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45" w:customStyle="1">
    <w:name w:val="Основной текст с отступом Знак"/>
    <w:link w:val="944"/>
    <w:rPr>
      <w:rFonts w:ascii="Times New Roman" w:hAnsi="Times New Roman" w:eastAsia="Times New Roman"/>
      <w:sz w:val="24"/>
      <w:szCs w:val="24"/>
    </w:rPr>
  </w:style>
  <w:style w:type="paragraph" w:styleId="946" w:customStyle="1">
    <w:name w:val="Знак Знак Знак Знак"/>
    <w:basedOn w:val="919"/>
    <w:pPr>
      <w:spacing w:after="160" w:line="240" w:lineRule="exact"/>
    </w:pPr>
    <w:rPr>
      <w:rFonts w:ascii="Arial" w:hAnsi="Arial" w:eastAsia="Times New Roman" w:cs="Arial"/>
      <w:sz w:val="20"/>
      <w:szCs w:val="20"/>
      <w:lang w:val="en-US"/>
    </w:rPr>
  </w:style>
  <w:style w:type="paragraph" w:styleId="947">
    <w:name w:val="Body Text Indent 2"/>
    <w:basedOn w:val="919"/>
    <w:link w:val="948"/>
    <w:pPr>
      <w:ind w:left="283"/>
      <w:spacing w:after="120" w:line="480" w:lineRule="auto"/>
    </w:pPr>
  </w:style>
  <w:style w:type="character" w:styleId="948" w:customStyle="1">
    <w:name w:val="Основной текст с отступом 2 Знак"/>
    <w:link w:val="947"/>
    <w:rPr>
      <w:rFonts w:cs="Calibri"/>
      <w:sz w:val="22"/>
      <w:szCs w:val="22"/>
      <w:lang w:eastAsia="en-US"/>
    </w:rPr>
  </w:style>
  <w:style w:type="paragraph" w:styleId="949">
    <w:name w:val="List Paragraph"/>
    <w:basedOn w:val="919"/>
    <w:link w:val="953"/>
    <w:uiPriority w:val="99"/>
    <w:qFormat/>
    <w:pPr>
      <w:contextualSpacing/>
      <w:ind w:left="720"/>
    </w:pPr>
    <w:rPr>
      <w:rFonts w:cs="Times New Roman"/>
    </w:rPr>
  </w:style>
  <w:style w:type="paragraph" w:styleId="950">
    <w:name w:val="Body Text 2"/>
    <w:basedOn w:val="919"/>
    <w:link w:val="951"/>
    <w:uiPriority w:val="99"/>
    <w:unhideWhenUsed/>
    <w:pPr>
      <w:spacing w:after="120" w:line="480" w:lineRule="auto"/>
    </w:pPr>
    <w:rPr>
      <w:rFonts w:cs="Times New Roman"/>
    </w:rPr>
  </w:style>
  <w:style w:type="character" w:styleId="951" w:customStyle="1">
    <w:name w:val="Основной текст 2 Знак"/>
    <w:link w:val="950"/>
    <w:uiPriority w:val="99"/>
    <w:rPr>
      <w:sz w:val="22"/>
      <w:szCs w:val="22"/>
      <w:lang w:eastAsia="en-US"/>
    </w:rPr>
  </w:style>
  <w:style w:type="paragraph" w:styleId="952" w:customStyle="1">
    <w:name w:val="Знак Знак2"/>
    <w:basedOn w:val="91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53" w:customStyle="1">
    <w:name w:val="Абзац списка Знак"/>
    <w:link w:val="949"/>
    <w:uiPriority w:val="99"/>
    <w:rPr>
      <w:sz w:val="22"/>
      <w:szCs w:val="22"/>
      <w:lang w:eastAsia="en-US"/>
    </w:rPr>
  </w:style>
  <w:style w:type="character" w:styleId="954" w:customStyle="1">
    <w:name w:val="Заголовок 3 Знак"/>
    <w:link w:val="920"/>
    <w:uiPriority w:val="9"/>
    <w:rPr>
      <w:rFonts w:ascii="Times New Roman" w:hAnsi="Times New Roman" w:eastAsia="Times New Roman"/>
      <w:b/>
      <w:bCs/>
      <w:sz w:val="27"/>
      <w:szCs w:val="27"/>
    </w:rPr>
  </w:style>
  <w:style w:type="paragraph" w:styleId="955">
    <w:name w:val="No Spacing"/>
    <w:uiPriority w:val="1"/>
    <w:qFormat/>
    <w:rPr>
      <w:rFonts w:cs="Calibri"/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Relationship Id="rId10" Type="http://schemas.openxmlformats.org/officeDocument/2006/relationships/footer" Target="footer2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Relationship Id="rId13" Type="http://schemas.openxmlformats.org/officeDocument/2006/relationships/hyperlink" Target="http://docs.cntd.ru/document/902186281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60D129-1757-4936-85AE-130356F04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5</cp:revision>
  <dcterms:created xsi:type="dcterms:W3CDTF">2024-10-31T08:00:00Z</dcterms:created>
  <dcterms:modified xsi:type="dcterms:W3CDTF">2024-11-08T08:11:08Z</dcterms:modified>
</cp:coreProperties>
</file>