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416" w:firstLine="708"/>
        <w:jc w:val="right"/>
        <w:widowControl w:val="off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01.11.2024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</w:t>
      </w:r>
      <w:r>
        <w:rPr>
          <w:b/>
          <w:sz w:val="24"/>
        </w:rPr>
        <w:t xml:space="preserve">1720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Об утверждении муниципальной программы Печенгского муниципального округа</w:t>
        <w:br/>
        <w:t xml:space="preserve"> «Укрепление общественного здоровья в Печенгском муниципальном округе» на 2025-2027 годы</w:t>
      </w:r>
      <w:r>
        <w:rPr>
          <w:b/>
          <w:bCs/>
        </w:rPr>
      </w:r>
      <w:r>
        <w:rPr>
          <w:b/>
          <w:bCs/>
        </w:rPr>
      </w:r>
    </w:p>
    <w:p>
      <w:pPr>
        <w:ind w:firstLine="720"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20"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8"/>
        <w:jc w:val="both"/>
        <w:tabs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Руководствуясь Федеральным зак</w:t>
      </w:r>
      <w:r>
        <w:rPr>
          <w:bCs/>
          <w:sz w:val="24"/>
          <w:szCs w:val="24"/>
        </w:rPr>
        <w:t xml:space="preserve">оном от 06.10.2003 № 131-ФЗ «Об общих принципах организации местного самоуправления в Российской Федерации», Федеральным законом от 21.11.2011 № 323-ФЗ «Об основах охраны здоровья граждан в Российской Федерации», Уставом Печенгского муниципального округа, </w:t>
      </w:r>
      <w:r>
        <w:rPr>
          <w:rFonts w:cs="Calibri"/>
          <w:sz w:val="24"/>
          <w:szCs w:val="24"/>
        </w:rPr>
        <w:t xml:space="preserve">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</w:t>
      </w:r>
      <w:r>
        <w:rPr>
          <w:bCs/>
          <w:sz w:val="24"/>
          <w:szCs w:val="24"/>
        </w:rPr>
        <w:t xml:space="preserve">в целях реализации национального проекта «Демография»,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numPr>
          <w:ilvl w:val="0"/>
          <w:numId w:val="30"/>
        </w:numPr>
        <w:contextualSpacing/>
        <w:ind w:left="0" w:firstLine="709"/>
        <w:jc w:val="both"/>
        <w:tabs>
          <w:tab w:val="left" w:pos="993" w:leader="none"/>
        </w:tabs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 Утвердить муниципальную программу Печенгского муниципального округа «Укрепление общественного здоровья в Печенгском муниципальном округе» на 2025-2027 годы согласно приложению.</w:t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numPr>
          <w:ilvl w:val="0"/>
          <w:numId w:val="30"/>
        </w:numPr>
        <w:contextualSpacing/>
        <w:ind w:left="0" w:firstLine="709"/>
        <w:jc w:val="both"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Настоящее постановление вступает в силу с 01 января 2025 года.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Настоящее постановление опубликовать в официальном издании газета «Печенга» и разместить на официальном сайте Печенгского муниципального округа в сети Интернет.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30"/>
        </w:numPr>
        <w:contextualSpacing/>
        <w:ind w:left="0" w:firstLine="709"/>
        <w:jc w:val="both"/>
        <w:tabs>
          <w:tab w:val="left" w:pos="993" w:leader="none"/>
        </w:tabs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 Контроль за</w:t>
      </w:r>
      <w:r>
        <w:rPr>
          <w:rFonts w:eastAsia="Calibri"/>
          <w:bCs/>
          <w:sz w:val="24"/>
          <w:szCs w:val="24"/>
        </w:rPr>
        <w:t xml:space="preserve"> исполнением настоящего постановления оставляю за собой.</w:t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>
        <w:t xml:space="preserve">Рыжкова А.А., 2-51-51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01.11.2024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1720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372"/>
        <w:rPr>
          <w:color w:val="0000ff"/>
          <w:sz w:val="24"/>
          <w:szCs w:val="24"/>
        </w:rPr>
      </w:pPr>
      <w:r>
        <w:rPr>
          <w:color w:val="0000ff"/>
          <w:sz w:val="24"/>
          <w:szCs w:val="24"/>
        </w:rPr>
      </w:r>
      <w:r>
        <w:rPr>
          <w:color w:val="0000ff"/>
          <w:sz w:val="24"/>
          <w:szCs w:val="24"/>
        </w:rPr>
      </w:r>
      <w:r>
        <w:rPr>
          <w:color w:val="0000ff"/>
          <w:sz w:val="24"/>
          <w:szCs w:val="24"/>
        </w:rPr>
      </w:r>
    </w:p>
    <w:p>
      <w:pPr>
        <w:ind w:left="6372"/>
        <w:rPr>
          <w:color w:val="0000ff"/>
          <w:sz w:val="24"/>
          <w:szCs w:val="24"/>
        </w:rPr>
      </w:pPr>
      <w:r>
        <w:rPr>
          <w:color w:val="0000ff"/>
          <w:sz w:val="24"/>
          <w:szCs w:val="24"/>
        </w:rPr>
      </w:r>
      <w:r>
        <w:rPr>
          <w:color w:val="0000ff"/>
          <w:sz w:val="24"/>
          <w:szCs w:val="24"/>
        </w:rPr>
      </w:r>
      <w:r>
        <w:rPr>
          <w:color w:val="0000ff"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МУНИЦИПАЛЬНАЯ ПРОГРАММА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«</w:t>
      </w:r>
      <w:r>
        <w:rPr>
          <w:b/>
          <w:bCs/>
          <w:sz w:val="24"/>
          <w:szCs w:val="24"/>
        </w:rPr>
        <w:t xml:space="preserve">Укрепление общественного здоровья в Печенгском муниципальном округе»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bCs/>
          <w:sz w:val="24"/>
          <w:szCs w:val="24"/>
        </w:rPr>
        <w:t xml:space="preserve">на 2025-2027 годы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ПАСПОРТ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«Укрепление общественного здоровья в Печенгском муниципальном округе»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на 2025-2027 годы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985"/>
        <w:gridCol w:w="7513"/>
      </w:tblGrid>
      <w:tr>
        <w:tblPrEx/>
        <w:trPr/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Улучшение здоровья жителей Печенгского муниципального округа, повышение качества жизни населения, формирование культуры общественного здоровья, ответственного отношения к здоровью.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Задачи программы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формирование здорового образа жизни через развитие системы медицинской профилактики;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мотивирование граждан к ведению здорового образа жизни посредством проведения информационно-коммуникационной кампании;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осуществление мероприятий, направленных на увеличение физической активности жителей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создание благоприятных условий в целях привлечения медицинских работников для работы в медицинских организациях.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widowControl w:val="off"/>
              <w:tabs>
                <w:tab w:val="left" w:pos="70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1. </w:t>
            </w:r>
            <w:r>
              <w:rPr>
                <w:rFonts w:eastAsia="Calibri"/>
                <w:bCs/>
                <w:sz w:val="24"/>
                <w:szCs w:val="24"/>
              </w:rPr>
              <w:t xml:space="preserve">Количество заседаний антинаркотической комиссии.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0" w:leader="none"/>
              </w:tabs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2. </w:t>
            </w:r>
            <w:r>
              <w:rPr>
                <w:rFonts w:eastAsia="Calibri"/>
                <w:bCs/>
                <w:sz w:val="24"/>
                <w:szCs w:val="24"/>
              </w:rPr>
              <w:t xml:space="preserve">Участие волонтеров и СО НКО в мероприятиях по укреплению общественного здоровья.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jc w:val="both"/>
              <w:tabs>
                <w:tab w:val="left" w:pos="34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3. </w:t>
            </w:r>
            <w:r>
              <w:rPr>
                <w:rFonts w:eastAsia="Calibri"/>
                <w:bCs/>
                <w:sz w:val="24"/>
                <w:szCs w:val="24"/>
              </w:rPr>
              <w:t xml:space="preserve">Увеличение доли граждан старше 12 лет, охваченных информационно-коммуникационной кампанией.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4.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доступности информационно-образовательных мероприятий по пропаганде здорового образа жизни среди населения.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5.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информированности населения о вреде употребления </w:t>
            </w:r>
            <w:r>
              <w:rPr>
                <w:rFonts w:eastAsia="Calibri"/>
                <w:bCs/>
                <w:sz w:val="24"/>
                <w:szCs w:val="24"/>
              </w:rPr>
              <w:t xml:space="preserve">никотинсодержащих</w:t>
            </w:r>
            <w:r>
              <w:rPr>
                <w:rFonts w:eastAsia="Calibri"/>
                <w:bCs/>
                <w:sz w:val="24"/>
                <w:szCs w:val="24"/>
              </w:rPr>
              <w:t xml:space="preserve"> изделий, по предупреждению последствий употребления алкоголя, наркотиков, летучих органических соединений, курительных смесей и их компонентов.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6.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доступности информации по профилактике заболеваний и факторов риска их развития.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7.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информированности населения по вопросам ведения здорового образа жизни.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8.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доступности информации по профилактике ХНИЗ и факторов риска их развития.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9. </w:t>
            </w:r>
            <w:r>
              <w:rPr>
                <w:rFonts w:eastAsia="Calibri"/>
                <w:bCs/>
                <w:sz w:val="24"/>
                <w:szCs w:val="24"/>
              </w:rPr>
              <w:t xml:space="preserve">Охват обучением в школе здоровья пациентов с артериальной гипертонией.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10. </w:t>
            </w:r>
            <w:r>
              <w:rPr>
                <w:rFonts w:eastAsia="Calibri"/>
                <w:bCs/>
                <w:sz w:val="24"/>
                <w:szCs w:val="24"/>
              </w:rPr>
              <w:t xml:space="preserve">Охват диспансерным наблюдением пациентов с артериальной гипертонией в Печенгском муниципальном округе.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11.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доступности информации по профилактике артериальной гипертонии.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12. </w:t>
            </w:r>
            <w:r>
              <w:rPr>
                <w:rFonts w:eastAsia="Calibri"/>
                <w:bCs/>
                <w:sz w:val="24"/>
                <w:szCs w:val="24"/>
              </w:rPr>
              <w:t xml:space="preserve">Доля граждан, охваченных профилактическими мероприятиями.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13.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информированности населения по оказанию медицинской и консультативной помощи желающим отказаться от </w:t>
            </w:r>
            <w:r>
              <w:rPr>
                <w:rFonts w:eastAsia="Calibri"/>
                <w:bCs/>
                <w:sz w:val="24"/>
                <w:szCs w:val="24"/>
              </w:rPr>
              <w:t xml:space="preserve">табакокурения</w:t>
            </w:r>
            <w:r>
              <w:rPr>
                <w:rFonts w:eastAsia="Calibri"/>
                <w:bCs/>
                <w:sz w:val="24"/>
                <w:szCs w:val="24"/>
              </w:rPr>
              <w:t xml:space="preserve"> с применением современных методик.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14. </w:t>
            </w:r>
            <w:r>
              <w:rPr>
                <w:rFonts w:eastAsia="Calibri"/>
                <w:bCs/>
                <w:sz w:val="24"/>
                <w:szCs w:val="24"/>
              </w:rPr>
              <w:t xml:space="preserve">Количество предприятий, организаций и учреждений, внедривших корпоративные программы по укреплению общественного здоровья.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15. </w:t>
            </w:r>
            <w:r>
              <w:rPr>
                <w:rFonts w:eastAsia="Calibri"/>
                <w:bCs/>
                <w:sz w:val="24"/>
                <w:szCs w:val="24"/>
              </w:rPr>
              <w:t xml:space="preserve">Проведение анкетирования среди населения Печенгского округа.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16. </w:t>
            </w:r>
            <w:r>
              <w:rPr>
                <w:rFonts w:eastAsia="Calibri"/>
                <w:bCs/>
                <w:sz w:val="24"/>
                <w:szCs w:val="24"/>
              </w:rPr>
              <w:t xml:space="preserve">Формирование в детской и юношеской среде потребности к систематическим занятиям физической культурой. Формирование системы семейных физкультурных ценностей. Повышение двигательной активности детей и молодёжи.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17. </w:t>
            </w:r>
            <w:r>
              <w:rPr>
                <w:rFonts w:eastAsia="Calibri"/>
                <w:bCs/>
                <w:sz w:val="24"/>
                <w:szCs w:val="24"/>
              </w:rPr>
              <w:t xml:space="preserve">Доля населения, систематически занимающегося физической культурой и спортом, от общей численности населения в возрасте от 3 до 70 лет.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18.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информированности населения об особенностях воздействия факторов окружающей среды на здоровье.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19.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доступности информации по популяции здорового питания.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20.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доступности информации по профилактике заболеваний репродуктивной сферы у мужчин, в том числе инфекций, передаваемых половым путем.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21.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информированности подростков по вопросам ответственного отношения к репродуктивному здоровью.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  <w:outlineLvl w:val="2"/>
            </w:pPr>
            <w:r>
              <w:rPr>
                <w:rFonts w:eastAsia="Calibri"/>
                <w:bCs/>
                <w:sz w:val="24"/>
                <w:szCs w:val="24"/>
              </w:rPr>
              <w:t xml:space="preserve">22.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стоматологической грамотности детского населения.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widowControl w:val="off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23. </w:t>
            </w:r>
            <w:r>
              <w:rPr>
                <w:rFonts w:eastAsia="Calibri"/>
                <w:bCs/>
                <w:sz w:val="24"/>
                <w:szCs w:val="24"/>
              </w:rPr>
              <w:t xml:space="preserve">Повышение стоматологической грамотности и снижение факторов риска стоматологических заболеваний среди населения.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widowControl w:val="off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24. </w:t>
            </w:r>
            <w:r>
              <w:rPr>
                <w:rFonts w:eastAsia="Calibri"/>
                <w:bCs/>
                <w:sz w:val="24"/>
                <w:szCs w:val="24"/>
              </w:rPr>
              <w:t xml:space="preserve">Предостав</w:t>
            </w:r>
            <w:r>
              <w:rPr>
                <w:rFonts w:eastAsia="Calibri"/>
                <w:bCs/>
                <w:sz w:val="24"/>
                <w:szCs w:val="24"/>
              </w:rPr>
              <w:t xml:space="preserve">ление жилых помещений (квартир)</w:t>
            </w:r>
            <w:r>
              <w:rPr>
                <w:rFonts w:eastAsia="Calibri"/>
                <w:bCs/>
                <w:sz w:val="24"/>
                <w:szCs w:val="24"/>
              </w:rPr>
              <w:t xml:space="preserve"> прибывшим медицинским работникам.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  <w:p>
            <w:pPr>
              <w:contextualSpacing/>
              <w:ind w:left="34"/>
              <w:jc w:val="both"/>
              <w:widowControl w:val="off"/>
              <w:tabs>
                <w:tab w:val="left" w:pos="533" w:leader="none"/>
              </w:tabs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25. </w:t>
            </w:r>
            <w:r>
              <w:rPr>
                <w:rFonts w:eastAsia="Calibri"/>
                <w:bCs/>
                <w:sz w:val="24"/>
                <w:szCs w:val="24"/>
              </w:rPr>
              <w:t xml:space="preserve">Количество отремонтированных жилых помещений (квартир) для проживания прибывших медицинских работников.</w:t>
            </w:r>
            <w:r>
              <w:rPr>
                <w:rFonts w:eastAsia="Calibri"/>
                <w:bCs/>
                <w:sz w:val="24"/>
                <w:szCs w:val="24"/>
              </w:rPr>
            </w:r>
            <w:r>
              <w:rPr>
                <w:rFonts w:eastAsia="Calibri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</w:t>
            </w:r>
            <w:r>
              <w:rPr>
                <w:rFonts w:ascii="Symbol" w:hAnsi="Symbol" w:eastAsia="Symbol" w:cs="Symbol"/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2027 годы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b/>
                <w:sz w:val="24"/>
                <w:szCs w:val="24"/>
              </w:rPr>
              <w:t xml:space="preserve">22 000,0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тыс. рублей,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0,0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 0,0 тыс. рублей.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0,0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0,0 тыс. рублей, из них: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22000,0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22000,0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00,0 тыс.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00,0 тыс.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Справочно</w:t>
            </w:r>
            <w:r>
              <w:rPr>
                <w:bCs/>
                <w:sz w:val="24"/>
                <w:szCs w:val="24"/>
              </w:rPr>
              <w:t xml:space="preserve">: объем налоговых </w:t>
            </w:r>
            <w:r>
              <w:rPr>
                <w:bCs/>
                <w:sz w:val="24"/>
                <w:szCs w:val="24"/>
              </w:rPr>
              <w:t xml:space="preserve">расходов муниципального образования в рамках реализации программы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Всего 0,0 тыс. рублей,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том числе: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</w:t>
            </w:r>
            <w:r>
              <w:rPr>
                <w:bCs/>
                <w:sz w:val="24"/>
                <w:szCs w:val="24"/>
              </w:rPr>
              <w:t xml:space="preserve">5</w:t>
            </w:r>
            <w:r>
              <w:rPr>
                <w:bCs/>
                <w:sz w:val="24"/>
                <w:szCs w:val="24"/>
              </w:rPr>
              <w:t xml:space="preserve"> год: 0,0 тыс. рублей;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</w:t>
            </w:r>
            <w:r>
              <w:rPr>
                <w:bCs/>
                <w:sz w:val="24"/>
                <w:szCs w:val="24"/>
              </w:rPr>
              <w:t xml:space="preserve">6</w:t>
            </w:r>
            <w:r>
              <w:rPr>
                <w:bCs/>
                <w:sz w:val="24"/>
                <w:szCs w:val="24"/>
              </w:rPr>
              <w:t xml:space="preserve"> год: 0,0 тыс. рублей;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</w:t>
            </w:r>
            <w:r>
              <w:rPr>
                <w:bCs/>
                <w:sz w:val="24"/>
                <w:szCs w:val="24"/>
              </w:rPr>
              <w:t xml:space="preserve">7</w:t>
            </w:r>
            <w:r>
              <w:rPr>
                <w:bCs/>
                <w:sz w:val="24"/>
                <w:szCs w:val="24"/>
              </w:rPr>
              <w:t xml:space="preserve"> год: 0,0 тыс. рублей.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Ожидаемые конечные результаты реализации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18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доли граждан, охваченных профилактическими мероприятиями, в 2027 году до 60%.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доли граждан старше 12 лет, охваченных информационно-коммуникационной кампанией, в 2027 году до 75%.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доли населения, систематически занимающегося физической культурой и спортом, от общей численности населения в возрасте о</w:t>
            </w:r>
            <w:r>
              <w:rPr>
                <w:sz w:val="24"/>
                <w:szCs w:val="24"/>
              </w:rPr>
              <w:t xml:space="preserve">т 3 до 70 лет, в 2027 году до 71,6</w:t>
            </w:r>
            <w:r>
              <w:rPr>
                <w:sz w:val="24"/>
                <w:szCs w:val="24"/>
              </w:rPr>
              <w:t xml:space="preserve"> %.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 доли замещенных штатных единиц врачебного состава ГОБУЗ «Печенгская ЦРБ»,  в 2025 году до 80%, в 2026 году до 90%, в 2027 году </w:t>
            </w:r>
            <w:r>
              <w:rPr>
                <w:sz w:val="24"/>
                <w:szCs w:val="24"/>
              </w:rPr>
              <w:t xml:space="preserve">до</w:t>
            </w:r>
            <w:r>
              <w:rPr>
                <w:sz w:val="24"/>
                <w:szCs w:val="24"/>
              </w:rPr>
              <w:t xml:space="preserve"> 100 %.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Печенгского муниципального округа (Управляющий делами администрации Печенгского муниципального округа (далее - Управляющий делами)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Администрация Печенгского муниципального округа (Отдел строительства и ЖКХ администрации Печ</w:t>
            </w:r>
            <w:r>
              <w:rPr>
                <w:sz w:val="24"/>
                <w:szCs w:val="24"/>
                <w:lang w:eastAsia="en-US"/>
              </w:rPr>
              <w:t xml:space="preserve">енгского муниципального округа) (далее - ОС и ЖКХ); Отдел образования администрации Печенгского муниципального округа) (далее – Отдел образования); Отдел культуры, спорта и молодежной политики администрации Печенгского муниципального округа (далее – отдел </w:t>
            </w:r>
            <w:r>
              <w:rPr>
                <w:sz w:val="24"/>
                <w:szCs w:val="24"/>
                <w:lang w:eastAsia="en-US"/>
              </w:rPr>
              <w:t xml:space="preserve">КСиМП</w:t>
            </w:r>
            <w:r>
              <w:rPr>
                <w:sz w:val="24"/>
                <w:szCs w:val="24"/>
                <w:lang w:eastAsia="en-US"/>
              </w:rPr>
              <w:t xml:space="preserve">)); муниципальное бюджетное учреждение дополнительного образования «Детско-юношеская спортивная школа» (далее - МБУ ДО ДЮСШ);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муниципальное бюджетное учреждение «Спортивный комплекс «Металлу</w:t>
            </w:r>
            <w:r>
              <w:rPr>
                <w:sz w:val="24"/>
                <w:szCs w:val="24"/>
                <w:lang w:eastAsia="en-US"/>
              </w:rPr>
              <w:t xml:space="preserve">рг» (далее – МБУ «СК «Металлург»); муниципальное бюджетное учреждение «Спортивный комплекс «Дельфин» (далее – МБУ «СК «Дельфин»); муниципальное автономное учреждение «Информационный центр» Печенгского муниципального округа Мурманской области (далее – МАУ «</w:t>
            </w:r>
            <w:r>
              <w:rPr>
                <w:sz w:val="24"/>
                <w:szCs w:val="24"/>
                <w:lang w:eastAsia="en-US"/>
              </w:rPr>
              <w:t xml:space="preserve">Информцентр</w:t>
            </w:r>
            <w:r>
              <w:rPr>
                <w:sz w:val="24"/>
                <w:szCs w:val="24"/>
                <w:lang w:eastAsia="en-US"/>
              </w:rPr>
              <w:t xml:space="preserve">»)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Государственное областное бюджетное учреждение здравоохранения «Печенгская центральная районная больница» (далее – ГОБУЗ «Печенгская ЦРБ»)</w:t>
            </w:r>
            <w:r>
              <w:rPr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</w:rPr>
              <w:t xml:space="preserve">местная общественная организация содействия развитию гражданского общества Печенгского района «СОТРУДНИЧЕСТВО» (далее – МОО «СОТРУДНИЧЕСТВО»)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32"/>
        </w:numPr>
        <w:contextualSpacing/>
        <w:ind w:left="0" w:firstLine="0"/>
        <w:jc w:val="center"/>
        <w:tabs>
          <w:tab w:val="left" w:pos="426" w:leader="none"/>
          <w:tab w:val="left" w:pos="1134" w:leader="none"/>
          <w:tab w:val="left" w:pos="1276" w:leader="none"/>
        </w:tabs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Характеристика проблемы, на решение которой направлена программа</w:t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contextualSpacing/>
        <w:jc w:val="center"/>
        <w:tabs>
          <w:tab w:val="left" w:pos="0" w:leader="none"/>
          <w:tab w:val="left" w:pos="1134" w:leader="none"/>
          <w:tab w:val="left" w:pos="1276" w:leader="none"/>
        </w:tabs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numPr>
          <w:ilvl w:val="1"/>
          <w:numId w:val="32"/>
        </w:numPr>
        <w:contextualSpacing/>
        <w:ind w:left="0" w:firstLine="0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Географические характеристики</w:t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contextualSpacing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Печенгский район - административно-территориальная единица в Мурманской области РФ. В границах района образован одноимённый муниципальный округ.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Территория Печенгского муниципального округа составляет 8662 км², это 6% территории Мурманской области. Плотность населения 3,7 чел./</w:t>
      </w:r>
      <w:r>
        <w:rPr>
          <w:sz w:val="24"/>
          <w:szCs w:val="24"/>
        </w:rPr>
        <w:t xml:space="preserve">км</w:t>
      </w:r>
      <w:r>
        <w:rPr>
          <w:sz w:val="24"/>
          <w:szCs w:val="24"/>
        </w:rPr>
        <w:t xml:space="preserve">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состав Печенгского муниципального округа входят: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поселок городского типа Никель (административный центр муниципального округа);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город Заполярный;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поселок городского типа Печенга;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Борисоглебский;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Вайда-Губа;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</w:t>
      </w:r>
      <w:r>
        <w:rPr>
          <w:sz w:val="24"/>
          <w:szCs w:val="24"/>
        </w:rPr>
        <w:t xml:space="preserve">Лиинахамари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Приречный;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Путевая усадьба 9 км железной дороги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-Никель;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</w:t>
      </w:r>
      <w:r>
        <w:rPr>
          <w:sz w:val="24"/>
          <w:szCs w:val="24"/>
        </w:rPr>
        <w:t xml:space="preserve">Сальмиярви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Спутник;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населенный пункт </w:t>
      </w:r>
      <w:r>
        <w:rPr>
          <w:sz w:val="24"/>
          <w:szCs w:val="24"/>
        </w:rPr>
        <w:t xml:space="preserve">Цыпнаволок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железнодорожная станция Печенга;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железнодорожная станция Титовка;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железнодорожная станция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Вдоль Печенгского муниципального округа проходит автодорога федерального значения Р-21 («Кола») «Санкт-Петербург – Мурманск – МАПП «Борисоглебск».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Печенгский муниципальный округ расположен в самой северной европейской части территории России, в Северо-Западной части Кольского полуострова. С севера омывается Баренцевы</w:t>
      </w:r>
      <w:r>
        <w:rPr>
          <w:sz w:val="24"/>
          <w:szCs w:val="24"/>
        </w:rPr>
        <w:t xml:space="preserve">м морем, на западе территория района примыкает к норвежской границе, по южной и юго-западной границе района проходит российско-финская граница. Территория Печенгского муниципального округа расположена за полярным кругом, относится к району Крайнего Севера.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Климат умеренно-арктический, морской, в целом подвержен влиянию теплого Северо-Атлантического течения (Гольфстрим), а также характеризуется сильной изменчивостью, достаточно суровый, что определяется комплексным вли</w:t>
      </w:r>
      <w:r>
        <w:rPr>
          <w:sz w:val="24"/>
          <w:szCs w:val="24"/>
        </w:rPr>
        <w:t xml:space="preserve">янием на человека температуры и влажности воздуха, скорости ветра, количества осадков, переноса снега, давления воздуха, солнечной радиации и других неблагоприятных погодных условий. Наиболее тяжелым по условиям погоды является период с декабря по февраль.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3"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Температура воз</w:t>
      </w:r>
      <w:r>
        <w:rPr>
          <w:sz w:val="24"/>
          <w:szCs w:val="24"/>
        </w:rPr>
        <w:t xml:space="preserve">духа на рассматриваемой территории отличается большой неустойчивостью и испытывает резкие колебания. Среднегодовая температура воздуха составляет Вайда-Губа - +1,2˚С, Никель - +0,8˚С. Средняя температура самого холодного месяца - января равняется –минус 11</w:t>
      </w:r>
      <w:r>
        <w:rPr>
          <w:sz w:val="24"/>
          <w:szCs w:val="24"/>
        </w:rPr>
        <w:t xml:space="preserve">˚С</w:t>
      </w:r>
      <w:r>
        <w:rPr>
          <w:sz w:val="24"/>
          <w:szCs w:val="24"/>
        </w:rPr>
        <w:t xml:space="preserve">, средняя те</w:t>
      </w:r>
      <w:r>
        <w:rPr>
          <w:sz w:val="24"/>
          <w:szCs w:val="24"/>
        </w:rPr>
        <w:t xml:space="preserve">мпература самого теплого месяца – июль +11,5˚С. Абсолютный зарегистрированный минимум составляет -34,5 ˚С, абсолютный максимум – +30,7˚С. Особенностями климата являются длительная снежная зима (7 месяцев); короткое (2,5 месяца) прохладное и дождливое лето.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3"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Переход среднесуточной температуры воздуха через 0</w:t>
      </w:r>
      <w:r>
        <w:rPr>
          <w:sz w:val="24"/>
          <w:szCs w:val="24"/>
        </w:rPr>
        <w:t xml:space="preserve">˚ С</w:t>
      </w:r>
      <w:r>
        <w:rPr>
          <w:sz w:val="24"/>
          <w:szCs w:val="24"/>
        </w:rPr>
        <w:t xml:space="preserve"> осуществляется в конце апреля – начале мая и в начале октября, число дней с температурой выше 0˚С в среднем составляет 95 дней. Средняя продолжительность теплого периода 165 дней, морозного периода – 200 дней.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</w:t>
      </w:r>
      <w:r>
        <w:rPr>
          <w:sz w:val="24"/>
          <w:szCs w:val="24"/>
        </w:rPr>
        <w:t xml:space="preserve">реднем за год выпадает 475 мм осадков. Большая часть осадков выпадает в теплый период (с мая по октябрь) – 326 мм, наименьшее количество осадков приходится на зимний период (с ноября по апрель) - 154 мм. Число дней с дождем в среднем в год составляет 102.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преобладающим перемещением в горизонтальном направлении теплых и влажных воздушных масс морского пр</w:t>
      </w:r>
      <w:r>
        <w:rPr>
          <w:sz w:val="24"/>
          <w:szCs w:val="24"/>
        </w:rPr>
        <w:t xml:space="preserve">оисхождения, относительная влажность воздуха высока в течение всего года. Среднегодовая относительная влажность воздуха составляет 75%. В среднем за год наблюдается 30-35 дней с туманами. В основном они наблюдаются в зимний период времени в утренние часы.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Первый снег появляется в октябре. Устойчивый снежный покров устанавливается</w:t>
      </w:r>
      <w:r>
        <w:rPr>
          <w:sz w:val="24"/>
          <w:szCs w:val="24"/>
        </w:rPr>
        <w:t xml:space="preserve"> в конце октября - начале ноября и разрушается в начале мая. Мощность снежного покрова достигает в среднем 40 см, максимальная высота снежного покрова – 80 см. Число дней в году со снегом – 200 дней. Максимальная глубина промерзания почвы достигает 2,0 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неблагоприятных явлений погоды следует отметить метели, которые наблюдаются в холодный период года с октября по май, среднее число дней с метелью – 40. </w:t>
      </w:r>
      <w:r>
        <w:rPr>
          <w:sz w:val="24"/>
          <w:szCs w:val="24"/>
        </w:rPr>
        <w:t xml:space="preserve">Величина </w:t>
      </w:r>
      <w:r>
        <w:rPr>
          <w:sz w:val="24"/>
          <w:szCs w:val="24"/>
        </w:rPr>
        <w:t xml:space="preserve">снегопереноса</w:t>
      </w:r>
      <w:r>
        <w:rPr>
          <w:sz w:val="24"/>
          <w:szCs w:val="24"/>
        </w:rPr>
        <w:t xml:space="preserve"> составляет 1000 м3 на погонный метр. Метели чаще всего наблюдаются при южных, юго-западных (46%) и северо-западных, северных (34%) ветрах. В зимний период характерны частые метели со скоростью ветра до 15 м/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 и более. Наибольшее их количество приходится с января по март месяц. Средняя повторяемость туманов 20 дней в году. Среднее число дней с грозой за год 3-6.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 xml:space="preserve">Ветровой режим территории имеет выраженный годовой ход. </w:t>
      </w:r>
      <w:r>
        <w:rPr>
          <w:sz w:val="24"/>
          <w:szCs w:val="24"/>
        </w:rPr>
        <w:t xml:space="preserve">В зимнее время преобладают ветры южных и юго-западных направлений (до 70%), в летнее – северных и северо-восточных (до 46%).</w:t>
      </w:r>
      <w:r>
        <w:rPr>
          <w:sz w:val="24"/>
          <w:szCs w:val="24"/>
        </w:rPr>
        <w:t xml:space="preserve"> Средняя годовая</w:t>
      </w:r>
      <w:r>
        <w:rPr>
          <w:sz w:val="24"/>
          <w:szCs w:val="24"/>
        </w:rPr>
        <w:t xml:space="preserve"> скорость ветра составляет 4,5-7,8 м/сек, максимальная –40 м/сек. Наибольшие скорости ветра отмечаются осенью и зимой и связаны с ветрами преобладающих направлений. Направление и скорость ветра определяют режим температуры, влажности и характер осадков про</w:t>
      </w:r>
      <w:r>
        <w:rPr>
          <w:sz w:val="24"/>
          <w:szCs w:val="24"/>
        </w:rPr>
        <w:t xml:space="preserve">ектируемой территории. В холодный период года наиболее сильные похолодания связаны с ветрами юго-восточного направления, потепления – западного, северо-западного. Смена зимнего режима ветра на летний происходит в апреле-мае, обратный переход осуществляется</w:t>
      </w:r>
      <w:r>
        <w:rPr>
          <w:color w:val="000000"/>
          <w:spacing w:val="-2"/>
          <w:sz w:val="24"/>
          <w:szCs w:val="24"/>
        </w:rPr>
        <w:t xml:space="preserve"> в сентябре-октябре.</w:t>
      </w:r>
      <w:r>
        <w:rPr>
          <w:color w:val="000000"/>
          <w:spacing w:val="-2"/>
          <w:sz w:val="24"/>
          <w:szCs w:val="24"/>
        </w:rPr>
      </w:r>
      <w:r>
        <w:rPr>
          <w:color w:val="000000"/>
          <w:spacing w:val="-2"/>
          <w:sz w:val="24"/>
          <w:szCs w:val="24"/>
        </w:rPr>
      </w:r>
    </w:p>
    <w:p>
      <w:pPr>
        <w:contextualSpacing/>
        <w:jc w:val="center"/>
        <w:tabs>
          <w:tab w:val="left" w:pos="284" w:leader="none"/>
        </w:tabs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contextualSpacing/>
        <w:jc w:val="center"/>
        <w:tabs>
          <w:tab w:val="left" w:pos="284" w:leader="none"/>
        </w:tabs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1.2. Демографические характеристики</w:t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contextualSpacing/>
        <w:jc w:val="center"/>
        <w:tabs>
          <w:tab w:val="left" w:pos="284" w:leader="none"/>
        </w:tabs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ind w:firstLine="851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Демографическая ситуация в Печенгском муниципальном округе в 2023 году характеризовалась естественной и миграционной убылью населения.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851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По данным Росстата в 2023 году родилось 262 ребенка, что на 13,5 % (41 ребенка) меньше, чем в 2022 году. </w:t>
      </w:r>
      <w:r>
        <w:rPr>
          <w:rFonts w:eastAsia="Calibri"/>
          <w:sz w:val="24"/>
          <w:szCs w:val="24"/>
          <w:lang w:eastAsia="en-US"/>
        </w:rPr>
        <w:t xml:space="preserve">Численность новорожденных в городских населенных пунктах округа в 2023 году составила 250 человек, в сельских – 12 (в 2022 году – 281 и 22 человека соответственно).</w:t>
      </w:r>
      <w:r>
        <w:rPr>
          <w:rFonts w:eastAsia="Calibri"/>
          <w:sz w:val="24"/>
          <w:szCs w:val="24"/>
          <w:lang w:eastAsia="en-US"/>
        </w:rPr>
        <w:t xml:space="preserve"> Показатель рождаемости составил 8,7 </w:t>
      </w:r>
      <w:r>
        <w:rPr>
          <w:rFonts w:eastAsia="Calibri"/>
          <w:sz w:val="24"/>
          <w:szCs w:val="24"/>
          <w:lang w:eastAsia="en-US"/>
        </w:rPr>
        <w:t xml:space="preserve">родившихся</w:t>
      </w:r>
      <w:r>
        <w:rPr>
          <w:rFonts w:eastAsia="Calibri"/>
          <w:sz w:val="24"/>
          <w:szCs w:val="24"/>
          <w:lang w:eastAsia="en-US"/>
        </w:rPr>
        <w:t xml:space="preserve"> в расчёте на 1 000 населения (аналогичный показатель 2022 года – 9,7 родившихся в расчёте на 1000 населения), и, как и в 2022 году, остается выше уровня </w:t>
      </w:r>
      <w:r>
        <w:rPr>
          <w:rFonts w:eastAsia="Calibri"/>
          <w:sz w:val="24"/>
          <w:szCs w:val="24"/>
          <w:lang w:eastAsia="en-US"/>
        </w:rPr>
        <w:t xml:space="preserve">среднеобластного</w:t>
      </w:r>
      <w:r>
        <w:rPr>
          <w:rFonts w:eastAsia="Calibri"/>
          <w:sz w:val="24"/>
          <w:szCs w:val="24"/>
          <w:lang w:eastAsia="en-US"/>
        </w:rPr>
        <w:t xml:space="preserve"> значения (8,3). 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851"/>
        <w:jc w:val="both"/>
        <w:rPr>
          <w:rFonts w:eastAsia="Calibri"/>
          <w:color w:val="ff0000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Средний возраст матери при рождении ребенка в 2023 году в Печенгском муниципальном округе составил 28 лет, суммарный коэффициент рождаемости</w:t>
      </w:r>
      <w:r>
        <w:rPr>
          <w:rFonts w:eastAsia="Calibri"/>
          <w:color w:val="1a1a1a"/>
          <w:spacing w:val="-6"/>
          <w:sz w:val="29"/>
          <w:szCs w:val="29"/>
          <w:shd w:val="clear" w:color="auto" w:fill="ffffff"/>
          <w:lang w:eastAsia="en-US"/>
        </w:rPr>
        <w:t xml:space="preserve"> </w:t>
      </w:r>
      <w:r>
        <w:rPr>
          <w:rFonts w:eastAsia="Calibri"/>
          <w:color w:val="1a1a1a"/>
          <w:spacing w:val="-6"/>
          <w:sz w:val="24"/>
          <w:szCs w:val="24"/>
          <w:shd w:val="clear" w:color="auto" w:fill="ffffff"/>
          <w:lang w:eastAsia="en-US"/>
        </w:rPr>
        <w:t xml:space="preserve">(число детей, рожденных в среднем одной женщиной за всю жизнь)</w:t>
      </w:r>
      <w:r>
        <w:rPr>
          <w:rFonts w:eastAsia="Calibri"/>
          <w:sz w:val="24"/>
          <w:szCs w:val="24"/>
          <w:lang w:eastAsia="en-US"/>
        </w:rPr>
        <w:t xml:space="preserve"> превысил областной (1,45) и составил 1,53.</w:t>
      </w:r>
      <w:r>
        <w:rPr>
          <w:rFonts w:eastAsia="Calibri"/>
          <w:color w:val="ff0000"/>
          <w:sz w:val="24"/>
          <w:szCs w:val="24"/>
          <w:lang w:eastAsia="en-US"/>
        </w:rPr>
      </w:r>
      <w:r>
        <w:rPr>
          <w:rFonts w:eastAsia="Calibri"/>
          <w:color w:val="ff0000"/>
          <w:sz w:val="24"/>
          <w:szCs w:val="24"/>
          <w:lang w:eastAsia="en-US"/>
        </w:rPr>
      </w:r>
    </w:p>
    <w:p>
      <w:pPr>
        <w:ind w:firstLine="851"/>
        <w:jc w:val="both"/>
        <w:rPr>
          <w:rFonts w:eastAsia="Calibri"/>
          <w:color w:val="ff0000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 2023 году умерло 374 человека, что выше уровня пре</w:t>
      </w:r>
      <w:r>
        <w:rPr>
          <w:rFonts w:eastAsia="Calibri"/>
          <w:sz w:val="24"/>
          <w:szCs w:val="24"/>
          <w:lang w:eastAsia="en-US"/>
        </w:rPr>
        <w:t xml:space="preserve">дыдущего года на 7,8 % (347 смертей в 2022 году). Смертность среди городского населения округа в 2023 году составила 359 человек, сельского – 15 человек (в 2022 году – 339 и 8 смертей соответственно). Общий коэффициент смертности в 2023 году составил 12,4 </w:t>
      </w:r>
      <w:r>
        <w:rPr>
          <w:rFonts w:eastAsia="Calibri"/>
          <w:sz w:val="24"/>
          <w:szCs w:val="24"/>
          <w:lang w:eastAsia="en-US"/>
        </w:rPr>
        <w:t xml:space="preserve">умерших</w:t>
      </w:r>
      <w:r>
        <w:rPr>
          <w:rFonts w:eastAsia="Calibri"/>
          <w:sz w:val="24"/>
          <w:szCs w:val="24"/>
          <w:lang w:eastAsia="en-US"/>
        </w:rPr>
        <w:t xml:space="preserve"> на 1 000 населения (в 2022 году – 11,1), что ниже уровня </w:t>
      </w:r>
      <w:r>
        <w:rPr>
          <w:rFonts w:eastAsia="Calibri"/>
          <w:sz w:val="24"/>
          <w:szCs w:val="24"/>
          <w:lang w:eastAsia="en-US"/>
        </w:rPr>
        <w:t xml:space="preserve">среднеобластного</w:t>
      </w:r>
      <w:r>
        <w:rPr>
          <w:rFonts w:eastAsia="Calibri"/>
          <w:sz w:val="24"/>
          <w:szCs w:val="24"/>
          <w:lang w:eastAsia="en-US"/>
        </w:rPr>
        <w:t xml:space="preserve"> значения (12,7). </w:t>
      </w:r>
      <w:r>
        <w:rPr>
          <w:rFonts w:eastAsia="Calibri"/>
          <w:color w:val="ff0000"/>
          <w:sz w:val="24"/>
          <w:szCs w:val="24"/>
          <w:lang w:eastAsia="en-US"/>
        </w:rPr>
      </w:r>
      <w:r>
        <w:rPr>
          <w:rFonts w:eastAsia="Calibri"/>
          <w:color w:val="ff0000"/>
          <w:sz w:val="24"/>
          <w:szCs w:val="24"/>
          <w:lang w:eastAsia="en-US"/>
        </w:rPr>
      </w:r>
    </w:p>
    <w:p>
      <w:pPr>
        <w:ind w:firstLine="851"/>
        <w:jc w:val="both"/>
        <w:rPr>
          <w:rFonts w:eastAsia="Calibri"/>
          <w:color w:val="ff0000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По итогам 2023 года на территории Печенгского муниципального округа четвертый год подряд после более чем десятилетнего периода естественного прироста, отмечается естественная убыль населения  – 112 человек (в 2022 году – -44 человека). При этом</w:t>
      </w:r>
      <w:r>
        <w:rPr>
          <w:rFonts w:eastAsia="Calibri"/>
          <w:sz w:val="24"/>
          <w:szCs w:val="24"/>
          <w:lang w:eastAsia="en-US"/>
        </w:rPr>
        <w:t xml:space="preserve">,</w:t>
      </w:r>
      <w:r>
        <w:rPr>
          <w:rFonts w:eastAsia="Calibri"/>
          <w:sz w:val="24"/>
          <w:szCs w:val="24"/>
          <w:lang w:eastAsia="en-US"/>
        </w:rPr>
        <w:t xml:space="preserve"> показатель естественной убыли городского населен</w:t>
      </w:r>
      <w:r>
        <w:rPr>
          <w:rFonts w:eastAsia="Calibri"/>
          <w:sz w:val="24"/>
          <w:szCs w:val="24"/>
          <w:lang w:eastAsia="en-US"/>
        </w:rPr>
        <w:t xml:space="preserve">ия – 109 человек, сельского – 3 человека. Коэффициент естественной убыли населения Печенгского муниципального округа за 2023 год составил 3,7 человека на 1 000 населения, против аналогичного показателя за 2022 год, равного 1,4 человека на 1 000 населения. </w:t>
      </w:r>
      <w:r>
        <w:rPr>
          <w:rFonts w:eastAsia="Calibri"/>
          <w:color w:val="ff0000"/>
          <w:sz w:val="24"/>
          <w:szCs w:val="24"/>
          <w:lang w:eastAsia="en-US"/>
        </w:rPr>
      </w:r>
      <w:r>
        <w:rPr>
          <w:rFonts w:eastAsia="Calibri"/>
          <w:color w:val="ff0000"/>
          <w:sz w:val="24"/>
          <w:szCs w:val="24"/>
          <w:lang w:eastAsia="en-US"/>
        </w:rPr>
      </w:r>
    </w:p>
    <w:p>
      <w:pPr>
        <w:ind w:firstLine="851"/>
        <w:jc w:val="both"/>
        <w:rPr>
          <w:rFonts w:eastAsia="Calibri"/>
          <w:color w:val="ff0000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 2023 году отмечено замедление миграционной убыли населения. В Печенгский м</w:t>
      </w:r>
      <w:r>
        <w:rPr>
          <w:rFonts w:eastAsia="Calibri"/>
          <w:sz w:val="24"/>
          <w:szCs w:val="24"/>
          <w:lang w:eastAsia="en-US"/>
        </w:rPr>
        <w:t xml:space="preserve">униципальный округ в 2023 году прибыло 868 человек ‒ на 7,4 % (69 человек) меньше, чем в 2022 году, убыло 1 715 человек ‒ на 15,8 % (323 человека) меньше, чем в 2022 году. Показатель миграционной убыли, как и в 2022 году, сложился в основном за счет населе</w:t>
      </w:r>
      <w:r>
        <w:rPr>
          <w:rFonts w:eastAsia="Calibri"/>
          <w:sz w:val="24"/>
          <w:szCs w:val="24"/>
          <w:lang w:eastAsia="en-US"/>
        </w:rPr>
        <w:t xml:space="preserve">ния в трудоспособном возрасте. </w:t>
      </w:r>
      <w:r>
        <w:rPr>
          <w:rFonts w:eastAsia="Calibri"/>
          <w:sz w:val="24"/>
          <w:szCs w:val="24"/>
          <w:lang w:eastAsia="en-US"/>
        </w:rPr>
        <w:t xml:space="preserve">Коэффициент миграционной убыли снизился с 35,3 в 2022 году до -28,1 человек на 1000 населения в 2023 году.</w:t>
      </w:r>
      <w:r>
        <w:rPr>
          <w:rFonts w:eastAsia="Calibri"/>
          <w:color w:val="ff0000"/>
          <w:sz w:val="24"/>
          <w:szCs w:val="24"/>
          <w:lang w:eastAsia="en-US"/>
        </w:rPr>
      </w:r>
      <w:r>
        <w:rPr>
          <w:rFonts w:eastAsia="Calibri"/>
          <w:color w:val="ff0000"/>
          <w:sz w:val="24"/>
          <w:szCs w:val="24"/>
          <w:lang w:eastAsia="en-US"/>
        </w:rPr>
      </w:r>
    </w:p>
    <w:p>
      <w:pPr>
        <w:ind w:firstLine="851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Миграционная и естественная убыли обусловили да</w:t>
      </w:r>
      <w:r>
        <w:rPr>
          <w:rFonts w:eastAsia="Calibri"/>
          <w:sz w:val="24"/>
          <w:szCs w:val="24"/>
          <w:lang w:eastAsia="en-US"/>
        </w:rPr>
        <w:t xml:space="preserve">льнейшее сокращение численности населения Печенгского муниципального округа. Среднегодовая численность населения Печенгского муниципального округа в 2023 году составила 30 112 человек, численность населения на 1 января 2024 года составила 29 632 человека.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851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По предварительным данным в 1 полугодии 2024 года родилось 123 ребенка (за аналогичный период 2023 года – 141 ребенок). Коэффициент рождаемости составил 8,3 </w:t>
      </w:r>
      <w:r>
        <w:rPr>
          <w:rFonts w:eastAsia="Calibri"/>
          <w:sz w:val="24"/>
          <w:szCs w:val="24"/>
          <w:lang w:eastAsia="en-US"/>
        </w:rPr>
        <w:t xml:space="preserve">родившихся</w:t>
      </w:r>
      <w:r>
        <w:rPr>
          <w:rFonts w:eastAsia="Calibri"/>
          <w:sz w:val="24"/>
          <w:szCs w:val="24"/>
          <w:lang w:eastAsia="en-US"/>
        </w:rPr>
        <w:t xml:space="preserve"> на 1000 населения (в январе – июне 2023 года – 9,3). В целом за год общее число рождений ожидается на уровне 248 человек, а коэффициент рождаемости составит 2024 году 8,5 родившихся на 1000 населения.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851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 связи со стабильн</w:t>
      </w:r>
      <w:r>
        <w:rPr>
          <w:rFonts w:eastAsia="Calibri"/>
          <w:sz w:val="24"/>
          <w:szCs w:val="24"/>
          <w:lang w:eastAsia="en-US"/>
        </w:rPr>
        <w:t xml:space="preserve">ой эпидемиологической ситуацией в Печенгском муниципальном округе наблюдается снижение смертности населения. Число умерших в 1 полугодии 2024 года составило 153 человека (в аналогичном периоде 2023 года – 205 человек). Коэффициент смертности составил 10,3 </w:t>
      </w:r>
      <w:r>
        <w:rPr>
          <w:rFonts w:eastAsia="Calibri"/>
          <w:sz w:val="24"/>
          <w:szCs w:val="24"/>
          <w:lang w:eastAsia="en-US"/>
        </w:rPr>
        <w:t xml:space="preserve">умерших</w:t>
      </w:r>
      <w:r>
        <w:rPr>
          <w:rFonts w:eastAsia="Calibri"/>
          <w:sz w:val="24"/>
          <w:szCs w:val="24"/>
          <w:lang w:eastAsia="en-US"/>
        </w:rPr>
        <w:t xml:space="preserve"> на 1000 населения против 13,5 в январе – июне 2023 года. В целом в 2024 году смертность ожидается на уровне 311 человек или 10,7 умерших на 1000 населения (в 2023 году – 12,4).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 Пе</w:t>
      </w:r>
      <w:r>
        <w:rPr>
          <w:rFonts w:eastAsia="Calibri"/>
          <w:sz w:val="24"/>
          <w:szCs w:val="24"/>
          <w:lang w:eastAsia="en-US"/>
        </w:rPr>
        <w:t xml:space="preserve">ченгском муниципальном округе отмечается снижение естественной убыли населения, которая по итогам 1 полугодия 2024 года составила 30 человек и сократилась в сравнении с аналогичным периода прошлого года на 34 человека (64 человека в 1 полугодии 2023 года).</w:t>
      </w:r>
      <w:r>
        <w:rPr>
          <w:rFonts w:eastAsia="Calibri"/>
          <w:sz w:val="24"/>
          <w:szCs w:val="24"/>
          <w:lang w:eastAsia="en-US"/>
        </w:rPr>
        <w:t xml:space="preserve"> Коэффициент естественной убыли составил -2,0 человека на 1000 населения (в 1 полугодии 2023 года – -4,2). </w:t>
      </w:r>
      <w:r>
        <w:rPr>
          <w:rFonts w:eastAsia="Calibri"/>
          <w:sz w:val="24"/>
          <w:szCs w:val="24"/>
          <w:lang w:eastAsia="en-US"/>
        </w:rPr>
        <w:t xml:space="preserve">На конец</w:t>
      </w:r>
      <w:r>
        <w:rPr>
          <w:rFonts w:eastAsia="Calibri"/>
          <w:sz w:val="24"/>
          <w:szCs w:val="24"/>
          <w:lang w:eastAsia="en-US"/>
        </w:rPr>
        <w:t xml:space="preserve"> 2024 года естественная убыль ожидается на уровне 63 человек. Коэффициент естественной убыли составит –2,2.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Миграционная убыль населения за 1 полугодие 2024 года </w:t>
      </w:r>
      <w:r>
        <w:rPr>
          <w:rFonts w:eastAsia="Calibri"/>
          <w:sz w:val="24"/>
          <w:szCs w:val="24"/>
          <w:lang w:eastAsia="en-US"/>
        </w:rPr>
        <w:t xml:space="preserve">по сравнению с аналогичным периодом 2023 года возросла на 12,9 %, и составила 376 человек (прибыло 395 человек, убыл 771 человек, против 429 и 762 человек соответственно в 1 полугодии 2023 года). По сравнению с аналогичным периодом 2023 года прибыло на 7,9</w:t>
      </w:r>
      <w:r>
        <w:rPr>
          <w:rFonts w:eastAsia="Calibri"/>
          <w:sz w:val="24"/>
          <w:szCs w:val="24"/>
          <w:lang w:eastAsia="en-US"/>
        </w:rPr>
        <w:t xml:space="preserve"> % меньше, а  уехало - на 1,2 % больше. В целом за 2024 год ожидается миграционная убыль на уровне -850 человек, из них в трудоспособном возрасте – 588 человек. Коэффициент миграционной убыли составит -29,1 человек на 1000 населения (-28,1 – в 2023 году).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 среднем за 2024 год ожидаемая численность населения Печенгского муниципального округа составит 29 176 человек, или 96,9 % к уровню 2023 года.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numPr>
          <w:ilvl w:val="1"/>
          <w:numId w:val="33"/>
        </w:numPr>
        <w:contextualSpacing/>
        <w:ind w:left="0" w:firstLine="0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Заболеваемость и смертность за 9 мес. 2024 года</w:t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contextualSpacing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Структура смертности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Структура общей смертности от всех причин </w:t>
      </w:r>
      <w:r>
        <w:rPr>
          <w:sz w:val="24"/>
          <w:szCs w:val="24"/>
        </w:rPr>
        <w:t xml:space="preserve">в 2024 году</w:t>
      </w:r>
      <w:r>
        <w:rPr>
          <w:sz w:val="24"/>
          <w:szCs w:val="24"/>
        </w:rPr>
        <w:t xml:space="preserve"> (9 </w:t>
      </w:r>
      <w:r>
        <w:rPr>
          <w:sz w:val="24"/>
          <w:szCs w:val="24"/>
        </w:rPr>
        <w:t xml:space="preserve">ме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яцев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распределена следующим образом: преобладают болезни системы кровообращения (45,4 %), </w:t>
      </w:r>
      <w:r>
        <w:rPr>
          <w:sz w:val="24"/>
          <w:szCs w:val="24"/>
        </w:rPr>
        <w:t xml:space="preserve">коронавирусная</w:t>
      </w:r>
      <w:r>
        <w:rPr>
          <w:sz w:val="24"/>
          <w:szCs w:val="24"/>
        </w:rPr>
        <w:t xml:space="preserve"> инфекция, вызванная COVID-19 (0,5%), новообразования (20,8 %), болезни органов пищеварения (6,3 %), далее следуют </w:t>
      </w:r>
      <w:r>
        <w:rPr>
          <w:spacing w:val="-4"/>
          <w:sz w:val="24"/>
          <w:szCs w:val="24"/>
        </w:rPr>
        <w:t xml:space="preserve">травмы, отравления и некоторые другие последствия внешних причин (3,4%), болезни нервной системы и неизвестные причины 2,4%, болезни эндокринной системы (8,2%).</w:t>
      </w:r>
      <w:r>
        <w:rPr>
          <w:sz w:val="24"/>
          <w:szCs w:val="24"/>
        </w:rPr>
        <w:t xml:space="preserve"> На долю указанных причин смерти в 2024 году </w:t>
      </w:r>
      <w:r>
        <w:rPr>
          <w:sz w:val="24"/>
          <w:szCs w:val="24"/>
        </w:rPr>
        <w:t xml:space="preserve">(9 </w:t>
      </w:r>
      <w:r>
        <w:rPr>
          <w:sz w:val="24"/>
          <w:szCs w:val="24"/>
        </w:rPr>
        <w:t xml:space="preserve">месяцев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пришлось 87,0% от всех смертельных исходов.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структуре общей смертности населения по причинам продолжает лидировать смертность от болезней системы кровообращения - первое место среди причин смертности населения Печенгского муниципального округа.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Доля этой причины смертности в 2024 году </w:t>
      </w:r>
      <w:r>
        <w:rPr>
          <w:sz w:val="24"/>
          <w:szCs w:val="24"/>
        </w:rPr>
        <w:t xml:space="preserve">(9 </w:t>
      </w:r>
      <w:r>
        <w:rPr>
          <w:sz w:val="24"/>
          <w:szCs w:val="24"/>
        </w:rPr>
        <w:t xml:space="preserve">месяцев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составила 45,4% (показатель ниже, чем в Мурманской области - 47,6 %, но выше показателя РФ - 42,0 % и СЗФО - 43,8 %).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hd w:val="clear" w:color="auto" w:fill="ffffff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</w:r>
      <w:r>
        <w:rPr>
          <w:b/>
          <w:iCs/>
          <w:sz w:val="24"/>
          <w:szCs w:val="24"/>
        </w:rPr>
      </w:r>
      <w:r>
        <w:rPr>
          <w:b/>
          <w:iCs/>
          <w:sz w:val="24"/>
          <w:szCs w:val="24"/>
        </w:rPr>
      </w:r>
    </w:p>
    <w:p>
      <w:pPr>
        <w:jc w:val="center"/>
        <w:shd w:val="clear" w:color="auto" w:fill="ffffff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Смертность от б</w:t>
      </w:r>
      <w:r>
        <w:rPr>
          <w:b/>
          <w:iCs/>
          <w:sz w:val="24"/>
          <w:szCs w:val="24"/>
        </w:rPr>
        <w:t xml:space="preserve">олезней системы кровообращения </w:t>
      </w:r>
      <w:r>
        <w:rPr>
          <w:b/>
          <w:iCs/>
          <w:sz w:val="24"/>
          <w:szCs w:val="24"/>
        </w:rPr>
        <w:t xml:space="preserve">(на 100 тыс. населения)</w:t>
      </w:r>
      <w:r>
        <w:rPr>
          <w:b/>
          <w:iCs/>
          <w:sz w:val="24"/>
          <w:szCs w:val="24"/>
        </w:rPr>
      </w:r>
      <w:r>
        <w:rPr>
          <w:b/>
          <w:i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2024 году</w:t>
      </w:r>
      <w:r>
        <w:rPr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(9 </w:t>
      </w:r>
      <w:r>
        <w:rPr>
          <w:sz w:val="24"/>
          <w:szCs w:val="24"/>
        </w:rPr>
        <w:t xml:space="preserve">месяцев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относительный показатель смертности от болезней системы кровообращения в Печенгском муниципальном округе составил 324,6</w:t>
      </w:r>
      <w:r>
        <w:rPr>
          <w:sz w:val="24"/>
          <w:szCs w:val="24"/>
        </w:rPr>
        <w:t xml:space="preserve"> на 100 тыс. населения</w:t>
      </w:r>
      <w:r>
        <w:rPr>
          <w:iCs/>
          <w:sz w:val="24"/>
          <w:szCs w:val="24"/>
        </w:rPr>
        <w:t xml:space="preserve">, на 32,1% ниже показателя 2023 года (439,6 на 100 тыс. населения), а также ниже данного показателя по Мурманской области (553,5</w:t>
      </w:r>
      <w:r>
        <w:rPr>
          <w:sz w:val="24"/>
          <w:szCs w:val="24"/>
        </w:rPr>
        <w:t xml:space="preserve"> на 100 тыс. населения), среднего показателя по Российской Федерации (</w:t>
      </w:r>
      <w:r>
        <w:rPr>
          <w:iCs/>
          <w:sz w:val="24"/>
          <w:szCs w:val="24"/>
        </w:rPr>
        <w:t xml:space="preserve">409,1</w:t>
      </w:r>
      <w:r>
        <w:rPr>
          <w:sz w:val="24"/>
          <w:szCs w:val="24"/>
        </w:rPr>
        <w:t xml:space="preserve">) и на 77,2 % ниже показателя по Северо-Западному федеральному</w:t>
      </w:r>
      <w:r>
        <w:rPr>
          <w:sz w:val="24"/>
          <w:szCs w:val="24"/>
        </w:rPr>
        <w:t xml:space="preserve"> округу (421,4).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Целевой показатель на 2024 год, характеризующий достижение стратегической цели социально-экономического развития Мурманской области - 475,0 на 100 тыс. населения.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color w:val="000000"/>
          <w:sz w:val="24"/>
          <w:szCs w:val="24"/>
        </w:rPr>
      </w:pPr>
      <w:r>
        <w:rPr>
          <w:bCs/>
          <w:sz w:val="24"/>
          <w:szCs w:val="24"/>
        </w:rPr>
        <w:t xml:space="preserve">В структуре смертности от болезней системы кровообращения </w:t>
      </w:r>
      <w:r>
        <w:rPr>
          <w:bCs/>
          <w:color w:val="000000"/>
          <w:sz w:val="24"/>
          <w:szCs w:val="24"/>
        </w:rPr>
        <w:t xml:space="preserve">46,8 % (44 случаев) занимают цереброваскулярные заболевания, 41,5% ишемическая болезнь сердца (39 случаев).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За последний год смертность от ишемической болезни сердца снизилась на 54,2 % -  134,7 на 100 тыс. населения, в 2023 - 183,2 на 100 тыс. населения.</w:t>
      </w:r>
      <w:r>
        <w:rPr>
          <w:iCs/>
          <w:sz w:val="24"/>
          <w:szCs w:val="24"/>
        </w:rPr>
      </w:r>
      <w:r>
        <w:rPr>
          <w:iCs/>
          <w:sz w:val="24"/>
          <w:szCs w:val="24"/>
        </w:rPr>
      </w:r>
    </w:p>
    <w:p>
      <w:pPr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Среди всех умерших от ишемической болезни сердца 23,1 % составляют умершие от острого инфаркта миокарда – 9 случаев (2023 год - 8 случаев). </w:t>
      </w:r>
      <w:r>
        <w:rPr>
          <w:iCs/>
          <w:sz w:val="24"/>
          <w:szCs w:val="24"/>
        </w:rPr>
      </w:r>
      <w:r>
        <w:rPr>
          <w:iCs/>
          <w:sz w:val="24"/>
          <w:szCs w:val="24"/>
        </w:rPr>
      </w:r>
    </w:p>
    <w:p>
      <w:pPr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Смертность населения от цереброваскулярных болезней в 2024 году </w:t>
      </w:r>
      <w:r>
        <w:rPr>
          <w:sz w:val="24"/>
          <w:szCs w:val="24"/>
        </w:rPr>
        <w:t xml:space="preserve">(9 </w:t>
      </w:r>
      <w:r>
        <w:rPr>
          <w:sz w:val="24"/>
          <w:szCs w:val="24"/>
        </w:rPr>
        <w:t xml:space="preserve">месяцев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снизилась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на 75,9 % и составила </w:t>
      </w:r>
      <w:r>
        <w:rPr>
          <w:iCs/>
          <w:sz w:val="24"/>
          <w:szCs w:val="24"/>
        </w:rPr>
        <w:t xml:space="preserve">в 2024 году </w:t>
      </w:r>
      <w:r>
        <w:rPr>
          <w:sz w:val="24"/>
          <w:szCs w:val="24"/>
        </w:rPr>
        <w:t xml:space="preserve">(9 </w:t>
      </w:r>
      <w:r>
        <w:rPr>
          <w:sz w:val="24"/>
          <w:szCs w:val="24"/>
        </w:rPr>
        <w:t xml:space="preserve">месяцев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44 человек или 151,9 на 100 тыс. населения (2023 г. - 193,2 на 100 тыс. населения), что значительно ниже среднего уровня смертности по Мурманской области - 225,1 на 100 тыс. населения.</w:t>
      </w:r>
      <w:r>
        <w:rPr>
          <w:iCs/>
          <w:sz w:val="24"/>
          <w:szCs w:val="24"/>
        </w:rPr>
      </w:r>
      <w:r>
        <w:rPr>
          <w:i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iCs/>
          <w:sz w:val="24"/>
          <w:szCs w:val="24"/>
        </w:rPr>
        <w:t xml:space="preserve">Среди всех умерших от цереброваскулярных болезней 18,2 % приходится на смертельные исходы от острых нарушений мозгового кровообращения (8 случаев)</w:t>
      </w:r>
      <w:r>
        <w:rPr>
          <w:sz w:val="24"/>
          <w:szCs w:val="24"/>
        </w:rPr>
        <w:t xml:space="preserve">. Смертность от инсультов </w:t>
      </w:r>
      <w:r>
        <w:rPr>
          <w:sz w:val="24"/>
          <w:szCs w:val="24"/>
        </w:rPr>
        <w:t xml:space="preserve">в 2024 году </w:t>
      </w:r>
      <w:r>
        <w:rPr>
          <w:sz w:val="24"/>
          <w:szCs w:val="24"/>
        </w:rPr>
        <w:t xml:space="preserve">(9 </w:t>
      </w:r>
      <w:r>
        <w:rPr>
          <w:sz w:val="24"/>
          <w:szCs w:val="24"/>
        </w:rPr>
        <w:t xml:space="preserve">месяцев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составила 27,6 на 100 тыс. населения, что ниже уровня 2023 года  на 53,3% (50,0 на 100 тыс. населения) и ниже уровня по Мурманской области -78,4 на 100 тыс. населения.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Смертность от </w:t>
      </w:r>
      <w:r>
        <w:rPr>
          <w:iCs/>
          <w:sz w:val="24"/>
          <w:szCs w:val="24"/>
        </w:rPr>
        <w:t xml:space="preserve">коронавирусной</w:t>
      </w:r>
      <w:r>
        <w:rPr>
          <w:iCs/>
          <w:sz w:val="24"/>
          <w:szCs w:val="24"/>
        </w:rPr>
        <w:t xml:space="preserve"> инфекции, вызванной COVID-19, в </w:t>
      </w:r>
      <w:r>
        <w:rPr>
          <w:iCs/>
          <w:sz w:val="24"/>
          <w:szCs w:val="24"/>
        </w:rPr>
        <w:t xml:space="preserve">2024 г</w:t>
      </w:r>
      <w:r>
        <w:rPr>
          <w:iCs/>
          <w:sz w:val="24"/>
          <w:szCs w:val="24"/>
        </w:rPr>
        <w:t xml:space="preserve">оду </w:t>
      </w:r>
      <w:r>
        <w:rPr>
          <w:sz w:val="24"/>
          <w:szCs w:val="24"/>
        </w:rPr>
        <w:t xml:space="preserve">(9 </w:t>
      </w:r>
      <w:r>
        <w:rPr>
          <w:sz w:val="24"/>
          <w:szCs w:val="24"/>
        </w:rPr>
        <w:t xml:space="preserve">месяцев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заняла шестое место после болезней системы кровообращения и составила 3,4 на 100 тыс. населения (в 2023 г. - 3,3 на 100 тыс. населения (Мурманская область - 8,5 случаев на 100 тыс. населения).</w:t>
      </w:r>
      <w:r>
        <w:rPr>
          <w:iCs/>
          <w:sz w:val="24"/>
          <w:szCs w:val="24"/>
        </w:rPr>
      </w:r>
      <w:r>
        <w:rPr>
          <w:i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Показатель смертности за период январь-сентябрь 2024 года по Печенгскому муниципальному округу ниже показателя по Мурманской области на 19,1%.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структуре общей смертности населения по причинам продолжает лидировать смертность от болезней системы кровообращения. При этом отмечается превышение областного показателя смертности от внешних причин на 21,4%.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Смертность населения по основным классам причин смерти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на 100 000 человек населения </w:t>
      </w:r>
      <w:r>
        <w:rPr>
          <w:sz w:val="24"/>
          <w:szCs w:val="24"/>
        </w:rPr>
        <w:t xml:space="preserve">(% от общей смертности)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8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1843"/>
        <w:gridCol w:w="1984"/>
        <w:gridCol w:w="1985"/>
      </w:tblGrid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Январь – сентябрь 2023 Печенгский муниципальный округ</w:t>
            </w:r>
            <w:r>
              <w:rPr>
                <w:rFonts w:ascii="Times New Roman" w:hAnsi="Times New Roman"/>
                <w:b/>
                <w:sz w:val="22"/>
                <w:szCs w:val="22"/>
              </w:rPr>
            </w:r>
            <w:r>
              <w:rPr>
                <w:rFonts w:ascii="Times New Roman" w:hAnsi="Times New Roman"/>
                <w:b/>
                <w:sz w:val="22"/>
                <w:szCs w:val="22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Январь – сентябрь 2024 Печенгский муниципальный округ</w:t>
            </w:r>
            <w:r>
              <w:rPr>
                <w:rFonts w:ascii="Times New Roman" w:hAnsi="Times New Roman"/>
                <w:b/>
                <w:sz w:val="22"/>
                <w:szCs w:val="22"/>
              </w:rPr>
            </w:r>
            <w:r>
              <w:rPr>
                <w:rFonts w:ascii="Times New Roman" w:hAnsi="Times New Roman"/>
                <w:b/>
                <w:sz w:val="22"/>
                <w:szCs w:val="22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Январь – сентябрь 2024 Мурманская область</w:t>
            </w:r>
            <w:r>
              <w:rPr>
                <w:rFonts w:ascii="Times New Roman" w:hAnsi="Times New Roman"/>
                <w:b/>
                <w:sz w:val="22"/>
                <w:szCs w:val="22"/>
              </w:rPr>
            </w:r>
            <w:r>
              <w:rPr>
                <w:rFonts w:ascii="Times New Roman" w:hAnsi="Times New Roman"/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Всего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умерших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892,6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714,8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1164,3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в том числе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от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Болезней системы кровообращения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439,6(45,1%)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324,6 (45,4%)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553,5 (50,0%)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ишемической болезни сердца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183,2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134,7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303,1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инфаркт миокарда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26,6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31,1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45,6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цереброваскулярных болезней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193,2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151,9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225,1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острого нарушения мозгового 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кровообращения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50,0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27,6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78,4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Новообразований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199,8 (20,1%)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151,9 (21,3%)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216,6 (17,0%)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злокачественных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196,5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148,5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216,6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Внешних причин смерти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43,3 (4,4%)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24,2 (3,4%)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113,8 (8,9%)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всех видов транспортных несчастных случаев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3,3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11,1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дорожно-транспортных происшествий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3,3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10,3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случайных отравлений алкоголем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0,6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прочих случайных отравлений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1,0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самоубийств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6,7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5,0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убийств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4,6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Болезней органов пищеварения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86,6 (8,9%)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44,9 (6,3%)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87,0 (6,8%)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Болезней органов дыхания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30,3 (3,4%)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20,8 (2,9%)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39,1 (3,1%)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пневмонии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13,3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13,8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28,9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vAlign w:val="center"/>
            <w:textDirection w:val="lrTb"/>
            <w:noWrap w:val="false"/>
          </w:tcPr>
          <w:p>
            <w:pPr>
              <w:ind w:right="-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Некоторых инфекционных и паразитарных болезней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ind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16,6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ind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13,1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686" w:type="dxa"/>
            <w:vAlign w:val="center"/>
            <w:textDirection w:val="lrTb"/>
            <w:noWrap w:val="false"/>
          </w:tcPr>
          <w:p>
            <w:pPr>
              <w:ind w:right="-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туберкулёза (всех форм)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ind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ind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1,8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Общая характеристика системы здравоохранения</w:t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contextualSpacing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в Печенгском муниципальном округе</w:t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contextualSpacing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ind w:right="-1" w:firstLine="707"/>
        <w:jc w:val="both"/>
        <w:widowControl w:val="off"/>
        <w:tabs>
          <w:tab w:val="left" w:pos="1260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pacing w:val="1"/>
          <w:sz w:val="24"/>
          <w:szCs w:val="24"/>
          <w:lang w:eastAsia="en-US"/>
        </w:rPr>
        <w:t xml:space="preserve">В </w:t>
      </w:r>
      <w:r>
        <w:rPr>
          <w:rFonts w:eastAsia="Calibri"/>
          <w:sz w:val="24"/>
          <w:szCs w:val="24"/>
          <w:lang w:eastAsia="en-US"/>
        </w:rPr>
        <w:t xml:space="preserve">структуре </w:t>
      </w:r>
      <w:r>
        <w:rPr>
          <w:rFonts w:eastAsia="Calibri"/>
          <w:sz w:val="24"/>
          <w:szCs w:val="24"/>
          <w:lang w:eastAsia="en-US"/>
        </w:rPr>
        <w:t xml:space="preserve">ГОБУЗ «</w:t>
      </w:r>
      <w:r>
        <w:rPr>
          <w:rFonts w:eastAsia="Calibri"/>
          <w:sz w:val="24"/>
          <w:szCs w:val="24"/>
          <w:lang w:eastAsia="en-US"/>
        </w:rPr>
        <w:t xml:space="preserve">Печенгск</w:t>
      </w:r>
      <w:r>
        <w:rPr>
          <w:rFonts w:eastAsia="Calibri"/>
          <w:sz w:val="24"/>
          <w:szCs w:val="24"/>
          <w:lang w:eastAsia="en-US"/>
        </w:rPr>
        <w:t xml:space="preserve">ая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ЦРБ</w:t>
      </w:r>
      <w:r>
        <w:rPr>
          <w:rFonts w:eastAsia="Calibri"/>
          <w:sz w:val="24"/>
          <w:szCs w:val="24"/>
          <w:lang w:eastAsia="en-US"/>
        </w:rPr>
        <w:t xml:space="preserve">»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два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основных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подразделения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(г. Заполярный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и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пгт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Никель),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которые частично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дублируют</w:t>
      </w:r>
      <w:r>
        <w:rPr>
          <w:rFonts w:eastAsia="Calibri"/>
          <w:spacing w:val="1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деятельность</w:t>
      </w:r>
      <w:r>
        <w:rPr>
          <w:rFonts w:eastAsia="Calibri"/>
          <w:spacing w:val="-5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друг друга.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1" w:firstLine="707"/>
        <w:jc w:val="center"/>
        <w:widowControl w:val="off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right="-1"/>
        <w:jc w:val="center"/>
        <w:widowControl w:val="off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Амбулаторно-поликлиническая помощь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tbl>
      <w:tblPr>
        <w:tblW w:w="9614" w:type="dxa"/>
        <w:jc w:val="center"/>
        <w:tblInd w:w="1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2435"/>
        <w:gridCol w:w="2759"/>
        <w:gridCol w:w="2340"/>
        <w:gridCol w:w="2080"/>
      </w:tblGrid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Подразделение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Населенный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пункт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34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посещений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 смену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прикрепленного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населения, 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(на 01.01.2022г., по базе ТФОМС МО)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Взрослая поликлиника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Заполярный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(11413 чел.)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(стоматология - 30)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11 413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Детская поликлиника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3 441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Женская консультация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7 996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Взрослая поликлиника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 Никель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(11500 чел.)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(стоматология - 30)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8 142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Детская поликлиника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2 004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Женская консультация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5 417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Амбулатория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 Печенга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1 629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нп</w:t>
            </w:r>
            <w:r>
              <w:rPr>
                <w:sz w:val="22"/>
                <w:szCs w:val="22"/>
              </w:rPr>
              <w:t xml:space="preserve">. Спутник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(в составе амбулатории 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Печенга)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нп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Лиинахамари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(в составе амбулатории 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Печенга)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нп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Корзуново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нп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Раякоски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243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759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28958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(Население всего)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</w:tbl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Стационарная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медицинская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помощь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оказывается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86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койках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круглосуточного стационара (56 -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Никель, 30 - г. Заполярный), в том числе 16 коек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дневного пребывания (10 -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Никель, 6 - г. Заполярный).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Стационарная </w:t>
      </w:r>
      <w:r>
        <w:rPr>
          <w:sz w:val="24"/>
          <w:szCs w:val="24"/>
        </w:rPr>
        <w:t xml:space="preserve">помощь</w:t>
      </w:r>
      <w:r>
        <w:rPr>
          <w:sz w:val="24"/>
          <w:szCs w:val="24"/>
        </w:rPr>
        <w:t xml:space="preserve"> оказывается по 10 профилям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(терапевтический,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неврологический,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наркологический,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травматологический,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 xml:space="preserve">хирургический,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педиатрический,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гинекологический,</w:t>
      </w:r>
      <w:r>
        <w:rPr>
          <w:spacing w:val="70"/>
          <w:sz w:val="24"/>
          <w:szCs w:val="24"/>
        </w:rPr>
        <w:t xml:space="preserve"> </w:t>
      </w:r>
      <w:r>
        <w:rPr>
          <w:sz w:val="24"/>
          <w:szCs w:val="24"/>
        </w:rPr>
        <w:t xml:space="preserve">патология</w:t>
      </w:r>
      <w:r>
        <w:rPr>
          <w:spacing w:val="70"/>
          <w:sz w:val="24"/>
          <w:szCs w:val="24"/>
        </w:rPr>
        <w:t xml:space="preserve"> </w:t>
      </w:r>
      <w:r>
        <w:rPr>
          <w:sz w:val="24"/>
          <w:szCs w:val="24"/>
        </w:rPr>
        <w:t xml:space="preserve">беременных для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беременных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рожениц,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паллиативный).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Кроме того, в структуру ГОБУЗ «Печенгская ЦРБ» входит дневной стационар при АПУ в г. Заполярный по профилям терапевтический и нев</w:t>
      </w:r>
      <w:r>
        <w:rPr>
          <w:sz w:val="24"/>
          <w:szCs w:val="24"/>
        </w:rPr>
        <w:t xml:space="preserve">рологический на 13 коек/26 мест</w:t>
      </w:r>
      <w:r>
        <w:rPr>
          <w:sz w:val="24"/>
          <w:szCs w:val="24"/>
        </w:rPr>
        <w:t xml:space="preserve">: 7-терапевтических 14 мест, 6-неврологических 12 мест.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Заболеваемость населения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Общая заболеваемость всего населения </w:t>
      </w:r>
      <w:r>
        <w:rPr>
          <w:sz w:val="24"/>
          <w:szCs w:val="24"/>
        </w:rPr>
        <w:t xml:space="preserve">в 2024 году </w:t>
      </w:r>
      <w:r>
        <w:rPr>
          <w:sz w:val="24"/>
          <w:szCs w:val="24"/>
        </w:rPr>
        <w:t xml:space="preserve">(9 месяцев)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составила 1372,8 на 1000 человек населения и, в сравнении с предыдущим периодом, повысилась на 5,8% (2023 – 1250,1); в том числе первичная заболеваемость составила 682,5 на 1000 человек населения и в сравнении с 2023 годо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стал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ниже </w:t>
      </w:r>
      <w:r>
        <w:rPr>
          <w:sz w:val="24"/>
          <w:szCs w:val="24"/>
        </w:rPr>
        <w:t xml:space="preserve">на</w:t>
      </w:r>
      <w:r>
        <w:rPr>
          <w:sz w:val="24"/>
          <w:szCs w:val="24"/>
        </w:rPr>
        <w:t xml:space="preserve"> 1,5% (2023 –661,3).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первом месте по заболеваемости - болезни органов дыхания (20,9 %), на втором болезни костно-мышечной системы (13,0%), на третьем месте болезни эндокринной </w:t>
      </w:r>
      <w:r>
        <w:rPr>
          <w:sz w:val="24"/>
          <w:szCs w:val="24"/>
        </w:rPr>
        <w:t xml:space="preserve">системы – 10,3% , на четвёртом месте болезни системы кровообращен</w:t>
      </w:r>
      <w:r>
        <w:rPr>
          <w:sz w:val="24"/>
          <w:szCs w:val="24"/>
        </w:rPr>
        <w:t xml:space="preserve">ия (10,2%), на пятом - болезни </w:t>
      </w:r>
      <w:r>
        <w:rPr>
          <w:sz w:val="24"/>
          <w:szCs w:val="24"/>
        </w:rPr>
        <w:t xml:space="preserve">глаза и его придаточного аппарата (7,6 %), далее идут болезни мочеполовой системы (7,2 %), болезни органов пищеварения (5,1 %), новообразования (4,6 %), болезни крови и кроветворн</w:t>
      </w:r>
      <w:r>
        <w:rPr>
          <w:sz w:val="24"/>
          <w:szCs w:val="24"/>
        </w:rPr>
        <w:t xml:space="preserve">ых органов (3,4%), </w:t>
      </w:r>
      <w:r>
        <w:rPr>
          <w:sz w:val="24"/>
          <w:szCs w:val="24"/>
        </w:rPr>
        <w:t xml:space="preserve">травмы и отравления (2,7</w:t>
      </w:r>
      <w:r>
        <w:rPr>
          <w:sz w:val="24"/>
          <w:szCs w:val="24"/>
        </w:rPr>
        <w:t xml:space="preserve"> %), симптомы, признаки и отклонения от нормы  (2,7 %), болезни кожи и подкожной клетчатки (2,7 %), болезни уха и </w:t>
      </w:r>
      <w:r>
        <w:rPr>
          <w:sz w:val="24"/>
          <w:szCs w:val="24"/>
        </w:rPr>
        <w:t xml:space="preserve">сосцевидного отростка (2,5 %), </w:t>
      </w:r>
      <w:r>
        <w:rPr>
          <w:sz w:val="24"/>
          <w:szCs w:val="24"/>
        </w:rPr>
        <w:t xml:space="preserve">некоторые инфекционные и паразитарные болезни (2,5%).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Заболеваемость детского населения 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Общая заболеваемость детского населения </w:t>
      </w:r>
      <w:r>
        <w:rPr>
          <w:sz w:val="24"/>
          <w:szCs w:val="24"/>
        </w:rPr>
        <w:t xml:space="preserve">в 2024 году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(9 месяцев)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возрасте от 0 до 14 лет составила 1762,4 на 1000 человек соответствующего возраста, что на 1,2% больше, чем в 2023 году (1621,0); в том числе первичная заболеваемость 1391,0 на 1000 человек населения соответствующего возраста - </w:t>
      </w:r>
      <w:r>
        <w:rPr>
          <w:sz w:val="24"/>
          <w:szCs w:val="24"/>
        </w:rPr>
        <w:t xml:space="preserve">на</w:t>
      </w:r>
      <w:r>
        <w:rPr>
          <w:sz w:val="24"/>
          <w:szCs w:val="24"/>
        </w:rPr>
        <w:t xml:space="preserve"> 4,5%  меньше по сравнению с 2023 годом (1335,4).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возрасте от 15 до 17 лет в </w:t>
      </w:r>
      <w:r>
        <w:rPr>
          <w:sz w:val="24"/>
          <w:szCs w:val="24"/>
        </w:rPr>
        <w:t xml:space="preserve">2024 </w:t>
      </w:r>
      <w:r>
        <w:rPr>
          <w:sz w:val="24"/>
          <w:szCs w:val="24"/>
        </w:rPr>
        <w:t xml:space="preserve">году </w:t>
      </w:r>
      <w:r>
        <w:rPr>
          <w:sz w:val="24"/>
          <w:szCs w:val="24"/>
        </w:rPr>
        <w:t xml:space="preserve">(9 месяцев)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составила 1732,0 на 1000 человек соответствующего возраста, что выше на 8,2% чем в 2023 году (1657,2)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Общая заболеваемость детского </w:t>
      </w:r>
      <w:r>
        <w:rPr>
          <w:sz w:val="24"/>
          <w:szCs w:val="24"/>
        </w:rPr>
        <w:t xml:space="preserve">населения в 2024 году (9 месяцев):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возрасте от 0 до 14 лет составила 1621 на 1000 детского населения;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возрасте от 15 до 17 лет составила 1732 на 1000 населения соответствующего возраста.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В структуре заболеваемости на первом месте у детей до 14 лет - заболевания органов дыхания, на втором - болезни системы пищеварения, на третьем – некоторые инфекционные и паразитарные болезни, на четвертом - </w:t>
      </w:r>
      <w:r>
        <w:rPr>
          <w:sz w:val="24"/>
          <w:szCs w:val="24"/>
        </w:rPr>
        <w:t xml:space="preserve">травмы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отравления и некоторые другие последствия воздействия внешних причин</w:t>
      </w:r>
      <w:r>
        <w:rPr>
          <w:color w:val="000000"/>
          <w:sz w:val="24"/>
          <w:szCs w:val="24"/>
        </w:rPr>
        <w:t xml:space="preserve">, на пятом - болезни глаза и его придаточного аппарата.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У </w:t>
      </w:r>
      <w:r>
        <w:rPr>
          <w:sz w:val="24"/>
          <w:szCs w:val="24"/>
        </w:rPr>
        <w:t xml:space="preserve">подростков (15-17 лет) на первом месте также - болезни органов дыхания, на второ</w:t>
      </w:r>
      <w:r>
        <w:rPr>
          <w:sz w:val="24"/>
          <w:szCs w:val="24"/>
        </w:rPr>
        <w:t xml:space="preserve">м - болезни глаза и его придаточного аппарата, на третьем болезни эндокринной системы, расстройства питания и нарушения обмена веществ, на четвертом - болезни костно-мышечной системы, на пятом - травмы, отравления и некоторые другие последствия воздействия</w:t>
      </w:r>
      <w:r>
        <w:rPr>
          <w:color w:val="000000"/>
          <w:sz w:val="24"/>
          <w:szCs w:val="24"/>
        </w:rPr>
        <w:t xml:space="preserve"> внешних причин.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Заболеваемость взрослого населения 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Показатель общей заболеваемости взрослого населения, зарегистрированной по обращаемости, в </w:t>
      </w:r>
      <w:r>
        <w:rPr>
          <w:sz w:val="24"/>
          <w:szCs w:val="24"/>
        </w:rPr>
        <w:t xml:space="preserve">2024 </w:t>
      </w:r>
      <w:r>
        <w:rPr>
          <w:sz w:val="24"/>
          <w:szCs w:val="24"/>
        </w:rPr>
        <w:t xml:space="preserve">году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(9 месяцев)</w:t>
      </w:r>
      <w:r>
        <w:rPr>
          <w:sz w:val="24"/>
          <w:szCs w:val="24"/>
        </w:rPr>
        <w:t xml:space="preserve"> составил 1235,5 на 1000 человек взрослого населения, что на 6,2% выше, чем в 2023 году (1131,3), в том числе первичная заболеваемость составила 468,5 на 1000 человек населения - </w:t>
      </w:r>
      <w:r>
        <w:rPr>
          <w:sz w:val="24"/>
          <w:szCs w:val="24"/>
        </w:rPr>
        <w:t xml:space="preserve">на</w:t>
      </w:r>
      <w:r>
        <w:rPr>
          <w:sz w:val="24"/>
          <w:szCs w:val="24"/>
        </w:rPr>
        <w:t xml:space="preserve"> 1,7% ниже, по сравнению с 2023 годом (456,5).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структуре первичной заболеваемос</w:t>
      </w:r>
      <w:r>
        <w:rPr>
          <w:sz w:val="24"/>
          <w:szCs w:val="24"/>
        </w:rPr>
        <w:t xml:space="preserve">ти взрослого населения Печенгского муниципального округа наибольшая доля приходится на болезни органов дыхания - 23,7% на втором месте - болезни органов пищеварения 14,5% , травмы и отравления - 12,8%, на третьем месте - болезни мочеполовой системы 10,3%.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Обеспеченность кадрами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Острой проблемой в сфере здравоохранения на нашей территории остается нехватка медицинских работников врачебного состава.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Штатная числен</w:t>
      </w:r>
      <w:r>
        <w:rPr>
          <w:sz w:val="24"/>
          <w:szCs w:val="24"/>
        </w:rPr>
        <w:t xml:space="preserve">ность ГОБУЗ «Печенгская ЦРБ» врачебного состава на 01.10.2024 составляет 109,75 единиц, по факту работает 64 физических лица (10 врачей находятся в отпуске по уходу за ребенком в возрасте до трех лет). Потребность во врачебном составе составляет 10 единиц.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Администрация Печенгск</w:t>
      </w:r>
      <w:r>
        <w:rPr>
          <w:sz w:val="24"/>
          <w:szCs w:val="24"/>
        </w:rPr>
        <w:t xml:space="preserve">ого муниципального округа оказывает содействие ГОБУЗ «Печенгская ЦРБ» в подборе и выделении жилых помещений (квартир) на территории Печенгского муниципального округа, за 2021-2024 годы для проживания приезжающих в округ медиков предоставлены в служебный на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м 20 квартир.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2. Основные цели и задачи программы с указанием сроков и этапов ее реализации, а также перечень основных мероприятий и показателей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Целью программы является улучшение здоровья жителей Печенгского муниципального округа, </w:t>
      </w:r>
      <w:r>
        <w:rPr>
          <w:sz w:val="24"/>
          <w:szCs w:val="24"/>
        </w:rPr>
        <w:t xml:space="preserve">повышение </w:t>
      </w:r>
      <w:r>
        <w:rPr>
          <w:sz w:val="24"/>
          <w:szCs w:val="24"/>
        </w:rPr>
        <w:t xml:space="preserve">качества жизни населения, формирование культуры общественного здоровья, ответственного отношения к здоровью.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указанной цели направлено решение следующих задач: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формирование здорового образа жизни через развитие системы медицинской профилактики;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мотивирование граждан к ведению здорового образа жизни посредством проведения информационно-коммуникационной кампании;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осуществление мероприятий, направленных на увеличение физической активности жителей Печенгского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color w:val="0070c0"/>
        </w:rPr>
      </w:pPr>
      <w:r>
        <w:rPr>
          <w:sz w:val="24"/>
          <w:szCs w:val="24"/>
        </w:rPr>
        <w:t xml:space="preserve">- создание благоприятных условий в целях привлечения медицинских работников для работы в медицинских организациях.</w:t>
      </w:r>
      <w:r>
        <w:rPr>
          <w:color w:val="0070c0"/>
        </w:rPr>
      </w:r>
      <w:r>
        <w:rPr>
          <w:color w:val="0070c0"/>
        </w:rPr>
      </w:r>
    </w:p>
    <w:p>
      <w:pPr>
        <w:jc w:val="center"/>
        <w:tabs>
          <w:tab w:val="left" w:pos="567" w:leader="none"/>
        </w:tabs>
        <w:rPr>
          <w:sz w:val="24"/>
          <w:szCs w:val="24"/>
          <w:u w:val="single"/>
        </w:rPr>
        <w:outlineLvl w:val="1"/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tabs>
          <w:tab w:val="left" w:pos="567" w:leader="none"/>
        </w:tabs>
        <w:rPr>
          <w:sz w:val="24"/>
          <w:szCs w:val="24"/>
          <w:u w:val="single"/>
        </w:rPr>
        <w:outlineLvl w:val="1"/>
      </w:pPr>
      <w:r>
        <w:rPr>
          <w:sz w:val="24"/>
          <w:szCs w:val="24"/>
          <w:u w:val="single"/>
        </w:rPr>
        <w:t xml:space="preserve">Основные показатели эффективности реализации программы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both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851"/>
        <w:gridCol w:w="850"/>
        <w:gridCol w:w="851"/>
        <w:gridCol w:w="850"/>
        <w:gridCol w:w="851"/>
        <w:gridCol w:w="850"/>
        <w:gridCol w:w="1560"/>
      </w:tblGrid>
      <w:tr>
        <w:tblPrEx/>
        <w:trPr/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№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п</w:t>
            </w:r>
            <w:r>
              <w:rPr>
                <w:bCs/>
              </w:rPr>
              <w:t xml:space="preserve">/п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Цели, </w:t>
            </w:r>
            <w:r>
              <w:rPr>
                <w:bCs/>
              </w:rPr>
              <w:t xml:space="preserve">мероприятия</w:t>
            </w:r>
            <w:r>
              <w:rPr>
                <w:bCs/>
              </w:rPr>
              <w:t xml:space="preserve">, показатели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Ед. изм.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5"/>
            <w:shd w:val="clear" w:color="auto" w:fill="auto"/>
            <w:tcW w:w="4252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Значение показателя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56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Источник данных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Отчет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Оценка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3"/>
            <w:shd w:val="clear" w:color="auto" w:fill="auto"/>
            <w:tcW w:w="25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outlineLvl w:val="1"/>
            </w:pPr>
            <w:r>
              <w:t xml:space="preserve">Годы</w:t>
            </w:r>
            <w:r>
              <w:t xml:space="preserve"> р</w:t>
            </w:r>
            <w:r>
              <w:t xml:space="preserve">еализации </w:t>
            </w:r>
            <w:r>
              <w:t xml:space="preserve">п</w:t>
            </w:r>
            <w:r>
              <w:t xml:space="preserve">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6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center" w:pos="716" w:leader="none"/>
                <w:tab w:val="left" w:pos="1361" w:leader="none"/>
              </w:tabs>
              <w:rPr>
                <w:bCs/>
              </w:rPr>
            </w:pPr>
            <w:r>
              <w:rPr>
                <w:bCs/>
              </w:rPr>
              <w:t xml:space="preserve">20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56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shd w:val="clear" w:color="auto" w:fill="auto"/>
            <w:tcW w:w="8789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Показатель цели муниципальной программы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outlineLvl w:val="1"/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8"/>
            <w:shd w:val="clear" w:color="auto" w:fill="auto"/>
            <w:tcW w:w="8789" w:type="dxa"/>
            <w:textDirection w:val="lrTb"/>
            <w:noWrap w:val="false"/>
          </w:tcPr>
          <w:p>
            <w:pPr>
              <w:rPr>
                <w:spacing w:val="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Улучшение здоровья жителей Печенгского муниципального округа, повышение качества жизни населения, формирование культуры общественного здоровья, ответственного отношения к здоровью.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2.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shd w:val="clear" w:color="auto" w:fill="auto"/>
            <w:tcW w:w="8789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Показатели </w:t>
            </w:r>
            <w:r>
              <w:rPr>
                <w:b/>
              </w:rPr>
              <w:t xml:space="preserve">мероприятий муниципальной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программы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заседаний антинаркотической комиссии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заседаний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исполнителя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2.2.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Участие волонтеров и СО НКО в мероприятиях по укреплению общественного здоровья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2.3.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bCs/>
              </w:rPr>
              <w:t xml:space="preserve">Увеличение доли граждан старше 12 лет, охваченных информационно-коммуникационной кампанией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%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70</w:t>
            </w:r>
            <w:r>
              <w:rPr>
                <w:rFonts w:eastAsia="Calibri"/>
                <w:highlight w:val="yellow"/>
                <w:lang w:eastAsia="en-US"/>
              </w:rPr>
            </w:r>
            <w:r>
              <w:rPr>
                <w:rFonts w:eastAsia="Calibri"/>
                <w:highlight w:val="yellow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70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75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75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исполнителя, соисполнителя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2.4.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доступности </w:t>
            </w:r>
            <w:r>
              <w:rPr>
                <w:rFonts w:eastAsia="Calibri" w:cs="Calibri"/>
                <w:lang w:eastAsia="en-US"/>
              </w:rPr>
              <w:t xml:space="preserve">информационно-образовательных мероприятий</w:t>
            </w:r>
            <w:r>
              <w:rPr>
                <w:bCs/>
              </w:rPr>
              <w:t xml:space="preserve"> по </w:t>
            </w:r>
            <w:r>
              <w:rPr>
                <w:rFonts w:eastAsia="Calibri" w:cs="Calibri"/>
                <w:lang w:eastAsia="en-US"/>
              </w:rPr>
              <w:t xml:space="preserve">пропаганде здорового образа жизни среди населения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исполнителей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2.5.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информированности населения </w:t>
            </w:r>
            <w:r>
              <w:rPr>
                <w:rFonts w:eastAsia="Calibri" w:cs="Calibri"/>
                <w:lang w:eastAsia="en-US"/>
              </w:rPr>
              <w:t xml:space="preserve">о вреде употребления </w:t>
            </w:r>
            <w:r>
              <w:rPr>
                <w:rFonts w:eastAsia="Calibri" w:cs="Calibri"/>
                <w:lang w:eastAsia="en-US"/>
              </w:rPr>
              <w:t xml:space="preserve">никотинсодержащих</w:t>
            </w:r>
            <w:r>
              <w:rPr>
                <w:rFonts w:eastAsia="Calibri" w:cs="Calibri"/>
                <w:lang w:eastAsia="en-US"/>
              </w:rPr>
              <w:t xml:space="preserve"> изделий, по предупреждению последствий </w:t>
            </w:r>
            <w:r>
              <w:rPr>
                <w:rFonts w:eastAsia="Calibri" w:cs="Calibri"/>
                <w:lang w:eastAsia="en-US"/>
              </w:rPr>
              <w:t xml:space="preserve">употребления алкоголя, наркотиков, летучих органических соединений, курительных смесей и их компонентов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исполнителей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2.6.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доступности </w:t>
            </w:r>
            <w:r>
              <w:rPr>
                <w:rFonts w:eastAsia="Calibri" w:cs="Calibri"/>
                <w:lang w:eastAsia="en-US"/>
              </w:rPr>
              <w:t xml:space="preserve">информации по профилактике заболеваний и факторов риска их развития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 xml:space="preserve">Да/</w:t>
            </w:r>
            <w:r>
              <w:rPr>
                <w:rFonts w:eastAsia="Calibri"/>
                <w:lang w:val="en-US" w:eastAsia="en-US"/>
              </w:rPr>
            </w:r>
            <w:r>
              <w:rPr>
                <w:rFonts w:eastAsia="Calibri"/>
                <w:lang w:val="en-US"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исполнителя,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соисполнителя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2.7.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информированности населения </w:t>
            </w:r>
            <w:r>
              <w:rPr>
                <w:rFonts w:eastAsia="Calibri" w:cs="Calibri"/>
                <w:lang w:eastAsia="en-US"/>
              </w:rPr>
              <w:t xml:space="preserve">по вопросам ведения здорового образа жизни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 xml:space="preserve">Да/</w:t>
            </w:r>
            <w:r>
              <w:rPr>
                <w:rFonts w:eastAsia="Calibri"/>
                <w:lang w:val="en-US" w:eastAsia="en-US"/>
              </w:rPr>
            </w:r>
            <w:r>
              <w:rPr>
                <w:rFonts w:eastAsia="Calibri"/>
                <w:lang w:val="en-US"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2.8.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доступности </w:t>
            </w:r>
            <w:r>
              <w:rPr>
                <w:rFonts w:eastAsia="Calibri" w:cs="Calibri"/>
                <w:lang w:eastAsia="en-US"/>
              </w:rPr>
              <w:t xml:space="preserve">информации по профилактике ХНИЗ и факторов риска их развития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 xml:space="preserve">Да/</w:t>
            </w:r>
            <w:r>
              <w:rPr>
                <w:rFonts w:eastAsia="Calibri"/>
                <w:lang w:val="en-US" w:eastAsia="en-US"/>
              </w:rPr>
            </w:r>
            <w:r>
              <w:rPr>
                <w:rFonts w:eastAsia="Calibri"/>
                <w:lang w:val="en-US"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2.9.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Охват обучением в школе здоровья пациентов с артериальной гипертонией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%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50</w:t>
            </w:r>
            <w:r>
              <w:rPr>
                <w:rFonts w:eastAsia="Calibri"/>
                <w:highlight w:val="yellow"/>
                <w:lang w:eastAsia="en-US"/>
              </w:rPr>
            </w:r>
            <w:r>
              <w:rPr>
                <w:rFonts w:eastAsia="Calibri"/>
                <w:highlight w:val="yellow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100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100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2.10.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Охват диспансерным наблюдением пациентов с артериальной гипертонией в Печенгском муниципальном округе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осмотров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2 раз в год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Не менее 2 раз в год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2 раз в год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2.11.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доступности </w:t>
            </w:r>
            <w:r>
              <w:rPr>
                <w:rFonts w:eastAsia="Calibri" w:cs="Calibri"/>
                <w:lang w:eastAsia="en-US"/>
              </w:rPr>
              <w:t xml:space="preserve">информации по профилактике артериальной гипертонии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2.12.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rFonts w:eastAsia="Calibri" w:cs="Calibri"/>
                <w:lang w:eastAsia="en-US"/>
              </w:rPr>
              <w:t xml:space="preserve">Доля граждан, охваченных профилактическими мероприятиями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%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 xml:space="preserve">45</w:t>
            </w:r>
            <w:r>
              <w:rPr>
                <w:rFonts w:eastAsia="Calibri"/>
                <w:lang w:val="en-US" w:eastAsia="en-US"/>
              </w:rPr>
            </w:r>
            <w:r>
              <w:rPr>
                <w:rFonts w:eastAsia="Calibri"/>
                <w:lang w:val="en-US"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46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47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2.13.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информированности населения по </w:t>
            </w:r>
            <w:r>
              <w:rPr>
                <w:rFonts w:eastAsia="Calibri" w:cs="Calibri"/>
                <w:lang w:eastAsia="en-US"/>
              </w:rPr>
              <w:t xml:space="preserve">оказанию медицинской и консультативной помощи желающим отказаться от </w:t>
            </w:r>
            <w:r>
              <w:rPr>
                <w:rFonts w:eastAsia="Calibri" w:cs="Calibri"/>
                <w:lang w:eastAsia="en-US"/>
              </w:rPr>
              <w:t xml:space="preserve">табакокурения</w:t>
            </w:r>
            <w:r>
              <w:rPr>
                <w:rFonts w:eastAsia="Calibri" w:cs="Calibri"/>
                <w:lang w:eastAsia="en-US"/>
              </w:rPr>
              <w:t xml:space="preserve"> с применением современных методик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Да/нет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Да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2.14.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Количество </w:t>
            </w:r>
            <w:r>
              <w:rPr>
                <w:rFonts w:cs="Calibri"/>
                <w:lang w:eastAsia="en-US"/>
              </w:rPr>
              <w:t xml:space="preserve">предприятий, организаций и учреждений, </w:t>
            </w:r>
            <w:r>
              <w:rPr>
                <w:rFonts w:cs="Calibri"/>
                <w:lang w:eastAsia="en-US"/>
              </w:rPr>
              <w:t xml:space="preserve">внедривших корпоративные программы по укреплению общественного здоровья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Ед.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6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исполнителей,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соисполнителя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>
          <w:trHeight w:val="1125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2.15.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lang w:eastAsia="en-US"/>
              </w:rPr>
              <w:outlineLvl w:val="2"/>
            </w:pPr>
            <w:r>
              <w:rPr>
                <w:rFonts w:eastAsia="Calibri" w:cs="Calibri"/>
                <w:lang w:eastAsia="en-US"/>
              </w:rPr>
              <w:t xml:space="preserve">Проведение анкетирования среди населения Печенгского округа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Количество анкет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223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200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менее 200 анкет в год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менее 200 анкет в год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менее 200 анкет в год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2.16.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Формирование в детской и юношеской среде потребности к систематическим занятиям физической культурой. Формирование системы семейных физкультурных ценностей. Повышение двигательной активности детей и молодёжи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Да/нет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исполнителей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2.17.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Доля населения, систематически занимающегося физической культурой и спортом, от общей численности населения в возрасте от 3 до 70 лет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65,6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67,1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6</w:t>
            </w:r>
            <w:r>
              <w:rPr>
                <w:bCs/>
              </w:rPr>
              <w:t xml:space="preserve">8,6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70</w:t>
            </w:r>
            <w:r>
              <w:t xml:space="preserve">,1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71</w:t>
            </w:r>
            <w:r>
              <w:rPr>
                <w:rFonts w:eastAsia="Calibri"/>
                <w:color w:val="000000"/>
                <w:lang w:eastAsia="en-US"/>
              </w:rPr>
              <w:t xml:space="preserve">,6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исполнителей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2.18.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информированности населения об </w:t>
            </w:r>
            <w:r>
              <w:rPr>
                <w:rFonts w:eastAsia="Calibri" w:cs="Calibri"/>
                <w:color w:val="000000"/>
                <w:spacing w:val="1"/>
                <w:lang w:eastAsia="en-US"/>
              </w:rPr>
              <w:t xml:space="preserve">особенностях воздействия факторов окружающей среды на здоровье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Да/нет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2.19.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доступности </w:t>
            </w:r>
            <w:r>
              <w:rPr>
                <w:rFonts w:eastAsia="Calibri" w:cs="Calibri"/>
                <w:lang w:eastAsia="en-US"/>
              </w:rPr>
              <w:t xml:space="preserve">информации по</w:t>
            </w:r>
            <w:r>
              <w:rPr>
                <w:rFonts w:eastAsia="Calibri" w:cs="Calibri"/>
                <w:color w:val="000000"/>
                <w:spacing w:val="1"/>
                <w:lang w:eastAsia="en-US"/>
              </w:rPr>
              <w:t xml:space="preserve"> популяции здорового питания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2.20.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доступности </w:t>
            </w:r>
            <w:r>
              <w:rPr>
                <w:rFonts w:eastAsia="Calibri" w:cs="Calibri"/>
                <w:lang w:eastAsia="en-US"/>
              </w:rPr>
              <w:t xml:space="preserve">информации по</w:t>
            </w:r>
            <w:r>
              <w:rPr>
                <w:rFonts w:eastAsia="Calibri" w:cs="Calibri"/>
                <w:color w:val="000000"/>
                <w:spacing w:val="1"/>
                <w:lang w:eastAsia="en-US"/>
              </w:rPr>
              <w:t xml:space="preserve"> профилактике заболеваний репродуктивной сферы у мужчин, в том числе инфекций, передаваемых половым путем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2.21.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информированности подростков по вопросам ответственного отношения к репродуктивному </w:t>
            </w:r>
            <w:r>
              <w:rPr>
                <w:bCs/>
              </w:rPr>
              <w:t xml:space="preserve">здоровью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2.22.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стоматологической грамотности детского населения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2.23.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Повышение стоматологической грамотности и снижение факторов риска стоматологических заболеваний среди населения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eastAsia="Calibri"/>
                <w:lang w:eastAsia="en-US"/>
              </w:rP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bCs/>
              </w:rPr>
              <w:t xml:space="preserve">Да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соисполнителя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108" w:right="-108"/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2.24.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33" w:leader="none"/>
              </w:tabs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Предоставление жилых помещений </w:t>
            </w:r>
            <w:r>
              <w:rPr>
                <w:rFonts w:eastAsia="Calibri"/>
                <w:bCs/>
                <w:lang w:eastAsia="en-US"/>
              </w:rPr>
              <w:t xml:space="preserve">(квартир)</w:t>
            </w:r>
            <w:r>
              <w:rPr>
                <w:rFonts w:eastAsia="Calibri"/>
                <w:bCs/>
                <w:lang w:eastAsia="en-US"/>
              </w:rPr>
              <w:t xml:space="preserve"> прибывшим медицинским работникам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Квартиры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12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Не менее 12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исполнителя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108" w:right="-108"/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2.25.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Cs/>
                <w:lang w:eastAsia="en-US"/>
              </w:rPr>
              <w:outlineLvl w:val="2"/>
            </w:pPr>
            <w:r>
              <w:rPr>
                <w:rFonts w:eastAsia="Calibri"/>
                <w:bCs/>
                <w:lang w:eastAsia="en-US"/>
              </w:rPr>
              <w:t xml:space="preserve">Количество отремонтиров</w:t>
            </w:r>
            <w:r>
              <w:rPr>
                <w:rFonts w:eastAsia="Calibri"/>
                <w:bCs/>
                <w:lang w:eastAsia="en-US"/>
              </w:rPr>
              <w:t xml:space="preserve">анных жилых помещений (квартир)</w:t>
            </w:r>
            <w:r>
              <w:rPr>
                <w:rFonts w:eastAsia="Calibri"/>
                <w:bCs/>
                <w:lang w:eastAsia="en-US"/>
              </w:rPr>
              <w:t xml:space="preserve"> для проживания прибывших медицинских работников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Квартиры 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12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Не менее 12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  <w:t xml:space="preserve">ы</w:t>
            </w:r>
            <w:r>
              <w:rPr>
                <w:rFonts w:eastAsia="Calibri"/>
                <w:lang w:eastAsia="en-US"/>
              </w:rPr>
              <w:t xml:space="preserve"> исполнителя </w:t>
            </w:r>
            <w:r>
              <w:rPr>
                <w:rFonts w:eastAsia="Calibri"/>
                <w:lang w:eastAsia="en-US"/>
              </w:rPr>
              <w:t xml:space="preserve">и соисполнителя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ind w:firstLine="709"/>
        <w:jc w:val="center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360"/>
        <w:jc w:val="center"/>
        <w:rPr>
          <w:rFonts w:eastAsia="Calibri"/>
          <w:sz w:val="24"/>
          <w:szCs w:val="24"/>
        </w:rPr>
      </w:pPr>
      <w:r/>
      <w:bookmarkStart w:id="0" w:name="_GoBack"/>
      <w:r/>
      <w:bookmarkEnd w:id="0"/>
      <w:r>
        <w:rPr>
          <w:rFonts w:eastAsia="Calibri"/>
          <w:b/>
          <w:sz w:val="24"/>
          <w:szCs w:val="24"/>
        </w:rPr>
        <w:t xml:space="preserve">3. Механизм реализации программы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7"/>
        <w:jc w:val="center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7"/>
        <w:jc w:val="both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Управление и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реализацией программы осуществляет ответственный исполнитель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7"/>
        <w:jc w:val="both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Внесение в программу изменений, оказывающих влияние на ее параметры, осуществляется по инициативе ответственного исполнителя.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Мониторинг реализации программы осуществляется на основе отчетов исполнителей программных мероприятий и данных статистической и ведомственной отчетности.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7"/>
        <w:jc w:val="both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Публичность (открытость) информации о ходе реализации программы обеспечивается размещением годовых отчетов на официальном сайте органов местного самоуправления Печенгского муниципального округа в информационно-телекоммуникационной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4. Оценка эффективности реализации программы и рисков ее реализации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7"/>
        <w:jc w:val="both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7"/>
        <w:jc w:val="both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Оценка эффективности реализации программы проводится в целом для обеспечения информацией о ходе и промежуточных результатах реализации программы ответственным исполнителем ежегодно, а также по итогам завершения реализации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7"/>
        <w:jc w:val="both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В течение года осуществляется мониторинг </w:t>
      </w:r>
      <w:r>
        <w:rPr>
          <w:sz w:val="24"/>
          <w:szCs w:val="24"/>
        </w:rPr>
        <w:t xml:space="preserve">показателей результативности выполнения мероприятий программы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7"/>
        <w:jc w:val="both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По результатам оценки эффективности реализации программы производится уточнение и корректировка задач программы, подпрограмм и основных мероприятий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7"/>
        <w:jc w:val="both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При проведении оценки эффективности реализации программы учитывается информация (сведения) отчетов исполнителей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7"/>
        <w:jc w:val="both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Для оценки эффективности реализации программы используются показатели результативности, которые отражают степень достижения целей и решения задач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7"/>
        <w:jc w:val="center"/>
        <w:widowControl w:val="off"/>
        <w:rPr>
          <w:sz w:val="24"/>
          <w:szCs w:val="24"/>
        </w:rPr>
        <w:sectPr>
          <w:headerReference w:type="default" r:id="rId9"/>
          <w:footnotePr/>
          <w:endnotePr/>
          <w:type w:val="nextPage"/>
          <w:pgSz w:w="11906" w:h="16838" w:orient="portrait"/>
          <w:pgMar w:top="1135" w:right="707" w:bottom="993" w:left="1701" w:header="567" w:footer="709" w:gutter="0"/>
          <w:pgNumType w:start="1"/>
          <w:cols w:num="1" w:sep="0" w:space="708" w:equalWidth="1"/>
          <w:docGrid w:linePitch="360"/>
          <w:titlePg/>
        </w:sect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8"/>
        <w:contextualSpacing/>
        <w:ind w:left="0"/>
        <w:spacing w:after="0" w:line="240" w:lineRule="auto"/>
        <w:tabs>
          <w:tab w:val="left" w:pos="284" w:leader="none"/>
          <w:tab w:val="left" w:pos="2268" w:leader="none"/>
        </w:tabs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ind w:left="12474" w:right="395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программе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ЕРЕЧЕНЬ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мероприятий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7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9"/>
        <w:gridCol w:w="4811"/>
        <w:gridCol w:w="1304"/>
        <w:gridCol w:w="1117"/>
        <w:gridCol w:w="319"/>
        <w:gridCol w:w="1074"/>
        <w:gridCol w:w="199"/>
        <w:gridCol w:w="1059"/>
        <w:gridCol w:w="206"/>
        <w:gridCol w:w="1046"/>
        <w:gridCol w:w="221"/>
        <w:gridCol w:w="1175"/>
        <w:gridCol w:w="120"/>
        <w:gridCol w:w="1832"/>
      </w:tblGrid>
      <w:tr>
        <w:tblPrEx/>
        <w:trPr>
          <w:trHeight w:val="780"/>
        </w:trPr>
        <w:tc>
          <w:tcPr>
            <w:shd w:val="clear" w:color="auto" w:fill="auto"/>
            <w:tcW w:w="28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№ </w:t>
            </w: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8"/>
            <w:shd w:val="clear" w:color="auto" w:fill="auto"/>
            <w:tcW w:w="166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Всего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</w:t>
            </w: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</w:t>
            </w: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</w:t>
            </w: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8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Цель: Улучшение здоровья жителей Печенгского муниципального округа, повышение качества жизни населения, формирование культуры общественного здоровья, ответственного отношения к здоровью.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ероприятие 1. Организационно-методическое обеспечение системы мероприятий, направленных на укрепление общественного здоровья на территории Печенгского муниципального округа.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Организация межведомственного взаимодействия по реализации мероприятий, направленных на формирование здорового образа жизни, включая снижение потребления алкоголя, табака, повышения физической активности, популяризации здорового питания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</w:t>
            </w:r>
            <w:r>
              <w:rPr>
                <w:rFonts w:eastAsia="Calibri" w:cs="Calibri"/>
                <w:lang w:eastAsia="en-US"/>
              </w:rPr>
              <w:t xml:space="preserve">КСиМП</w:t>
            </w:r>
            <w:r>
              <w:rPr>
                <w:rFonts w:eastAsia="Calibri" w:cs="Calibri"/>
                <w:lang w:eastAsia="en-US"/>
              </w:rPr>
              <w:t xml:space="preserve">.           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Привлечение волонтерского движения и СО НКО в мероприятия по укреплению общественного здоровья на территории Печенгского муниципального округа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</w:t>
            </w:r>
            <w:r>
              <w:rPr>
                <w:rFonts w:eastAsia="Calibri" w:cs="Calibri"/>
                <w:lang w:eastAsia="en-US"/>
              </w:rPr>
              <w:t xml:space="preserve">КСиМП</w:t>
            </w:r>
            <w:r>
              <w:rPr>
                <w:rFonts w:eastAsia="Calibri" w:cs="Calibri"/>
                <w:lang w:eastAsia="en-US"/>
              </w:rPr>
              <w:t xml:space="preserve">, 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1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bCs/>
                <w:sz w:val="22"/>
                <w:szCs w:val="22"/>
                <w:lang w:eastAsia="en-US"/>
              </w:rPr>
              <w:t xml:space="preserve">ероприятие 2. Проведение информационно-коммуникационной кампании по формированию и мотивированию к ведению здорового образа жизни среди населения Печенгского муниципального округа</w:t>
            </w:r>
            <w:r>
              <w:rPr>
                <w:rFonts w:eastAsia="Calibri" w:cs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Размещение информации по вопросам ведения здорового образа жизни в средствах массовой информации (официальное издание газета «Печенга),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сайт органов местного самоуправления Печенгского муниципального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округа,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официальные аккаунты Печенгского муниципального округа в сети Интернет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</w:t>
            </w:r>
            <w:r>
              <w:rPr>
                <w:rFonts w:eastAsia="Calibri" w:cs="Calibri"/>
                <w:lang w:eastAsia="en-US"/>
              </w:rPr>
              <w:t xml:space="preserve">КСиМП</w:t>
            </w:r>
            <w:r>
              <w:rPr>
                <w:rFonts w:eastAsia="Calibri" w:cs="Calibri"/>
                <w:lang w:eastAsia="en-US"/>
              </w:rPr>
              <w:t xml:space="preserve">, 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МАУ «</w:t>
            </w:r>
            <w:r>
              <w:rPr>
                <w:rFonts w:eastAsia="Calibri" w:cs="Calibri"/>
                <w:lang w:eastAsia="en-US"/>
              </w:rPr>
              <w:t xml:space="preserve">Информцентр</w:t>
            </w:r>
            <w:r>
              <w:rPr>
                <w:rFonts w:eastAsia="Calibri" w:cs="Calibri"/>
                <w:lang w:eastAsia="en-US"/>
              </w:rPr>
              <w:t xml:space="preserve">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Организация и проведение на постоянной основе информационно-образовательных мероприятий (массовые акции, тематические и лекционные занятия, тренинги) по пропаганде здорового образа жизни среди населения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Отдел </w:t>
            </w:r>
            <w:r>
              <w:rPr>
                <w:rFonts w:eastAsia="Calibri"/>
                <w:lang w:eastAsia="en-US"/>
              </w:rPr>
              <w:t xml:space="preserve">КСиМП</w:t>
            </w:r>
            <w:r>
              <w:rPr>
                <w:rFonts w:eastAsia="Calibri"/>
                <w:lang w:eastAsia="en-US"/>
              </w:rPr>
              <w:t xml:space="preserve">, отдел образования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2.3.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Информирование населения через средства массовой информации о вреде употребления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никотинсодержащих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изделий, по предупреждению последствий употребления алкоголя, наркотиков, летучих органических соединений, курительных смесей и их компонентов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Отдел </w:t>
            </w:r>
            <w:r>
              <w:rPr>
                <w:rFonts w:eastAsia="Calibri"/>
                <w:lang w:eastAsia="en-US"/>
              </w:rPr>
              <w:t xml:space="preserve">КСиМП</w:t>
            </w:r>
            <w:r>
              <w:rPr>
                <w:rFonts w:eastAsia="Calibri"/>
                <w:lang w:eastAsia="en-US"/>
              </w:rPr>
              <w:t xml:space="preserve">, отдел образования;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МАУ «</w:t>
            </w:r>
            <w:r>
              <w:rPr>
                <w:rFonts w:eastAsia="Calibri"/>
                <w:lang w:eastAsia="en-US"/>
              </w:rPr>
              <w:t xml:space="preserve">Информцентр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2.4.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Разработка и распространение среди обучающихся и воспитанников общеобразовательных организаций информационных материалов (памятки, листовки, плакаты) по профилактике заболеваний и факторов риска их развития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образования, 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 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2.5.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Целевое санитарно-гигиеническое воспитание (проведение бесед, лекций) по вопросам ведения здорового образа жизни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 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2.6.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Распространение среди населения Печенгского муниципального округа обновленной санитарно-просветительской литературы по профилактике ХНИЗ и факторов риска их развития, предоставленной ЦОЗМП (плакаты, буклеты, памятки, листовки)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 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2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ероприятие 3. Мероприятия, направленные на снижение факторов риска «артериальная гипертония»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Активация работы школы здоровья для пациентов с артериальной гипертонией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Ежегодный осмотр в рамках диспансерного наблюдения пациентов с артериальной гипертонией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3.3.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Распространение среди населения Печенгского муниципального округа санитарно-просветительной литературы по профилактике артериальной гипертонии, предоставленной ЦЩЗМП (плакаты, буклеты, памятки)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3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  <w:lang w:eastAsia="en-US"/>
              </w:rPr>
              <w:t xml:space="preserve">Основное мероприятие</w:t>
            </w:r>
            <w:r>
              <w:rPr>
                <w:rFonts w:cs="Calibri"/>
                <w:b/>
                <w:sz w:val="22"/>
                <w:szCs w:val="22"/>
                <w:lang w:eastAsia="en-US"/>
              </w:rPr>
              <w:t xml:space="preserve"> 4. Создание службы общественного здоровья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абот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а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отделения медицинской профилактики на базе ГОБУЗ «Печенгская ЦРБ» в соответствии с приказом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Министерства здравоохранения Российской Федерации от 29.10.2020 № 1177н «Об утверждении порядка организации и осуществления профилактики инфекционных заболеваний и проведения мероприятий по формированию здорового образа жизни в медицинских организациях»,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в том числе: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textDirection w:val="lrTb"/>
            <w:noWrap w:val="false"/>
          </w:tcPr>
          <w:p>
            <w:pPr>
              <w:jc w:val="center"/>
            </w:pPr>
            <w:r>
              <w:t xml:space="preserve">4.1.1.</w:t>
            </w:r>
            <w:r/>
          </w:p>
        </w:tc>
        <w:tc>
          <w:tcPr>
            <w:shd w:val="clear" w:color="auto" w:fill="auto"/>
            <w:tcW w:w="1568" w:type="pc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Работа школ здоровья на базе ГОБУЗ «Печенгская ЦРБ»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textDirection w:val="lrTb"/>
            <w:noWrap w:val="false"/>
          </w:tcPr>
          <w:p>
            <w:pPr>
              <w:jc w:val="center"/>
            </w:pPr>
            <w:r>
              <w:t xml:space="preserve">4.1.2.</w:t>
            </w:r>
            <w:r/>
          </w:p>
        </w:tc>
        <w:tc>
          <w:tcPr>
            <w:shd w:val="clear" w:color="auto" w:fill="auto"/>
            <w:tcW w:w="1568" w:type="pc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Организация и проведение выездных информационно-просветительных мероприятий специалистами ГОБУЗ «Печенгская ЦРБ» в организованных коллективах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textDirection w:val="lrTb"/>
            <w:noWrap w:val="false"/>
          </w:tcPr>
          <w:p>
            <w:pPr>
              <w:jc w:val="center"/>
            </w:pPr>
            <w:r>
              <w:t xml:space="preserve">4.1.3.</w:t>
            </w:r>
            <w:r/>
          </w:p>
        </w:tc>
        <w:tc>
          <w:tcPr>
            <w:shd w:val="clear" w:color="auto" w:fill="auto"/>
            <w:tcW w:w="1568" w:type="pc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Организация и проведение массовых акций, в том </w:t>
            </w:r>
            <w:r>
              <w:rPr>
                <w:rFonts w:eastAsia="Calibri" w:cs="Calibri"/>
                <w:lang w:eastAsia="en-US"/>
              </w:rPr>
              <w:t xml:space="preserve">числе приуроченных к Всемирным, Международным и Всероссийским дням здоровья, с проведением </w:t>
            </w:r>
            <w:r>
              <w:rPr>
                <w:rFonts w:eastAsia="Calibri" w:cs="Calibri"/>
                <w:lang w:eastAsia="en-US"/>
              </w:rPr>
              <w:t xml:space="preserve">скрининговых</w:t>
            </w:r>
            <w:r>
              <w:rPr>
                <w:rFonts w:eastAsia="Calibri" w:cs="Calibri"/>
                <w:lang w:eastAsia="en-US"/>
              </w:rPr>
              <w:t xml:space="preserve"> исследований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textDirection w:val="lrTb"/>
            <w:noWrap w:val="false"/>
          </w:tcPr>
          <w:p>
            <w:pPr>
              <w:jc w:val="center"/>
            </w:pPr>
            <w:r>
              <w:t xml:space="preserve">4.1.4.</w:t>
            </w:r>
            <w:r/>
          </w:p>
        </w:tc>
        <w:tc>
          <w:tcPr>
            <w:shd w:val="clear" w:color="auto" w:fill="auto"/>
            <w:tcW w:w="1568" w:type="pc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Проведение на базе ГОБУЗ «Печенгская ЦРБ» «постов здоровья», «дней открытых дверей» с привлечением «узких» специалистов, проведением индивидуальных консультаций и </w:t>
            </w:r>
            <w:r>
              <w:rPr>
                <w:rFonts w:eastAsia="Calibri" w:cs="Calibri"/>
                <w:lang w:eastAsia="en-US"/>
              </w:rPr>
              <w:t xml:space="preserve">скрининговых</w:t>
            </w:r>
            <w:r>
              <w:rPr>
                <w:rFonts w:eastAsia="Calibri" w:cs="Calibri"/>
                <w:lang w:eastAsia="en-US"/>
              </w:rPr>
              <w:t xml:space="preserve"> исследований, посвященных следующим значимым датам: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борьбы против рака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(4 февраля);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здоровья (7 апреля);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борьбы с артериальной гипертонией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(17 мая);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здорового пищеварения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 (29 мая);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без табака (31 мая);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Всероссийский день трезвости и борьбы с алкоголизмом (11 сентября);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сердца (29 сентября);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борьбы с инсультом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(29 октября);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борьбы с диабетом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(14 ноября);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Международный день отказа от курения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 (третий четверг ноября)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Работа кабинета/школы по отказу от курения с целью оказания медицинской и консультативной помощи желающим отказаться от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табакокурения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с применением современных методик, в том числе с проведением выездных школ здоровья по отказу от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табакокурения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на рабочих местах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4.3.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both"/>
              <w:spacing w:line="240" w:lineRule="auto"/>
              <w:shd w:val="clear" w:color="auto" w:fill="ffffff"/>
              <w:tabs>
                <w:tab w:val="left" w:pos="0" w:leader="none"/>
                <w:tab w:val="left" w:pos="39" w:leader="none"/>
                <w:tab w:val="left" w:pos="284" w:leader="none"/>
                <w:tab w:val="left" w:pos="372" w:leader="none"/>
                <w:tab w:val="left" w:pos="1276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и внедрение корпоративных программ по укреплению общественного здоровья на предприятиях, в организациях и учреждениях, расположенных на территории Печенгского округа: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68"/>
              <w:ind w:left="0"/>
              <w:jc w:val="both"/>
              <w:spacing w:after="0" w:line="240" w:lineRule="auto"/>
              <w:shd w:val="clear" w:color="auto" w:fill="ffffff"/>
              <w:tabs>
                <w:tab w:val="left" w:pos="0" w:leader="none"/>
                <w:tab w:val="left" w:pos="39" w:leader="none"/>
                <w:tab w:val="left" w:pos="284" w:leader="none"/>
                <w:tab w:val="left" w:pos="372" w:leader="none"/>
                <w:tab w:val="left" w:pos="1276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«Профилактика потребления табака»;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68"/>
              <w:ind w:left="0"/>
              <w:jc w:val="both"/>
              <w:spacing w:after="0" w:line="240" w:lineRule="auto"/>
              <w:shd w:val="clear" w:color="auto" w:fill="ffffff"/>
              <w:tabs>
                <w:tab w:val="left" w:pos="0" w:leader="none"/>
                <w:tab w:val="left" w:pos="39" w:leader="none"/>
                <w:tab w:val="left" w:pos="284" w:leader="none"/>
                <w:tab w:val="left" w:pos="372" w:leader="none"/>
                <w:tab w:val="left" w:pos="1276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«Снижение потребления алкоголя с вредными последствиями»;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68"/>
              <w:ind w:left="0"/>
              <w:jc w:val="both"/>
              <w:spacing w:after="0" w:line="240" w:lineRule="auto"/>
              <w:shd w:val="clear" w:color="auto" w:fill="ffffff"/>
              <w:tabs>
                <w:tab w:val="left" w:pos="0" w:leader="none"/>
                <w:tab w:val="left" w:pos="39" w:leader="none"/>
                <w:tab w:val="left" w:pos="284" w:leader="none"/>
                <w:tab w:val="left" w:pos="372" w:leader="none"/>
                <w:tab w:val="left" w:pos="1276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«Здоровое питание и рабочее место»;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68"/>
              <w:ind w:left="0"/>
              <w:jc w:val="both"/>
              <w:spacing w:after="0" w:line="240" w:lineRule="auto"/>
              <w:shd w:val="clear" w:color="auto" w:fill="ffffff"/>
              <w:tabs>
                <w:tab w:val="left" w:pos="0" w:leader="none"/>
                <w:tab w:val="left" w:pos="39" w:leader="none"/>
                <w:tab w:val="left" w:pos="284" w:leader="none"/>
                <w:tab w:val="left" w:pos="372" w:leader="none"/>
                <w:tab w:val="left" w:pos="1276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«Повышение физической активности»;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«Сохранение психологического здоровья и благополучия» и др.</w:t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ЦРБ»,</w:t>
            </w:r>
            <w:r>
              <w:rPr>
                <w:rFonts w:cs="Calibri"/>
                <w:lang w:eastAsia="en-US"/>
              </w:rPr>
            </w:r>
            <w:r>
              <w:rPr>
                <w:rFonts w:cs="Calibri"/>
                <w:lang w:eastAsia="en-US"/>
              </w:rPr>
            </w:r>
          </w:p>
          <w:p>
            <w:pPr>
              <w:jc w:val="center"/>
              <w:rPr>
                <w:rFonts w:cs="Calibri"/>
                <w:lang w:eastAsia="en-US"/>
              </w:rPr>
            </w:pPr>
            <w:r>
              <w:rPr>
                <w:rFonts w:cs="Calibri"/>
                <w:lang w:eastAsia="en-US"/>
              </w:rPr>
              <w:t xml:space="preserve">предприятия, организации и учреждения, расположенные на территории </w:t>
            </w:r>
            <w:r>
              <w:rPr>
                <w:rFonts w:cs="Calibri"/>
                <w:lang w:eastAsia="en-US"/>
              </w:rPr>
              <w:t xml:space="preserve">Печенгского округа</w:t>
            </w:r>
            <w:r>
              <w:rPr>
                <w:rFonts w:cs="Calibri"/>
                <w:lang w:eastAsia="en-US"/>
              </w:rPr>
            </w:r>
            <w:r>
              <w:rPr>
                <w:rFonts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4.4.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Организация и проведение ежегодного мониторинга факторов риска хронических неинфекционных заболеваний среди населения Печенгского округа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ероприятие 5. Осуществление мероприятий, направленных на увеличение физической активности жителей Печенгского муниципального округа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Проведение физкультурных мероприятий, направленных на формирование семейных физкультурных ценностей, популяризацию физической культуры среди детей и молодежи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</w:t>
            </w:r>
            <w:r>
              <w:rPr>
                <w:rFonts w:eastAsia="Calibri" w:cs="Calibri"/>
                <w:lang w:eastAsia="en-US"/>
              </w:rPr>
              <w:t xml:space="preserve">КСиМП</w:t>
            </w:r>
            <w:r>
              <w:rPr>
                <w:rFonts w:eastAsia="Calibri" w:cs="Calibri"/>
                <w:lang w:eastAsia="en-US"/>
              </w:rPr>
              <w:t xml:space="preserve">, МБУ ДО «ДЮСШ»,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МБУ «СК «Металлург», МБУ «СК «Дельфин»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Проведение физкультурных мероприятий с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населением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</w:t>
            </w:r>
            <w:r>
              <w:rPr>
                <w:rFonts w:eastAsia="Calibri" w:cs="Calibri"/>
                <w:lang w:eastAsia="en-US"/>
              </w:rPr>
              <w:t xml:space="preserve">КСиМП</w:t>
            </w:r>
            <w:r>
              <w:rPr>
                <w:rFonts w:eastAsia="Calibri" w:cs="Calibri"/>
                <w:lang w:eastAsia="en-US"/>
              </w:rPr>
              <w:t xml:space="preserve">, МБУ ДО «ДЮСШ»,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МБУ «СК «Металлург», МБУ «СК «Дельфин»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ероприятие 6. Создание условий для снижения фактора риска «нерациональное питание» среди жителей Печенгского муниципального округа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Внедрение на предприятиях, в организациях и учреждениях четырех обучающих программ, предоставленных Управлением 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Роспотребнадзора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 по Мурманской области: для групп населения, проживающих на территориях с особенностями в части воздействия факторов окружающей среды (дефицит микр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о-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 и 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макронутриентов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, климатические условия); для взрослого населения; для лиц пожилого и старческого возраста; для беременных и кормящих женщин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ind w:right="-23"/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Распространение среди населения Печенгского муниципального округа санитарно-просветительной литературы по популяции здорового питания, предоставленной ЦОЗМП (плакаты, буклеты, памятки)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6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ероприятие 7. Мероприятия, направленные на профилактику заболеваний репродуктивной сферы у мужчин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  <w:p>
            <w:pPr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Подготовка и тиражирование информационных материалов по профилактике заболеваний репродуктивной сферы у мужчин, в том числе инфекций, передаваемых половым путем, для лиц подросткового возраста и мужчин репродуктивного возраста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Проведение информационно-образовательных мероприятий (обучающие семинары, «круглые столы», тематические и лекционные занятия) с целью сексуального воспитания подростков в части ответственного отношения к репродуктивному здоровью и профилактики 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инфекций, передаваемых половым путем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ероприятие 8. Мероприятия, направленные на профилактику заболеваний полости рта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  <w:p>
            <w:pPr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Обучение навыкам гигиенического ухода за зубами детей дошкольного и школьного возраста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Гигиеническое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обучение по уходу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за зубами населения Печенгского муниципального округа – проведение «уроков здоровья»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8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Основное мероприятие 9. Создание благоприятных условий в целях привлечения медицинских работников для работы в медицинских организациях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33" w:leader="none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Подбор и предостав</w:t>
            </w:r>
            <w:r>
              <w:rPr>
                <w:bCs/>
                <w:sz w:val="22"/>
                <w:szCs w:val="22"/>
              </w:rPr>
              <w:t xml:space="preserve">ление жилых помещений (квартир) </w:t>
            </w:r>
            <w:r>
              <w:rPr>
                <w:bCs/>
                <w:sz w:val="22"/>
                <w:szCs w:val="22"/>
              </w:rPr>
              <w:t xml:space="preserve">прибывшим медицинским работникам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  <w:p>
            <w:pPr>
              <w:jc w:val="center"/>
            </w:pPr>
            <w:r>
              <w:t xml:space="preserve">Не требует финансирования</w:t>
            </w:r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pacing w:val="1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Ре</w:t>
            </w:r>
            <w:r>
              <w:rPr>
                <w:bCs/>
                <w:sz w:val="22"/>
                <w:szCs w:val="22"/>
              </w:rPr>
              <w:t xml:space="preserve">монт жилых помещений (квартир)</w:t>
            </w:r>
            <w:r>
              <w:rPr>
                <w:bCs/>
                <w:sz w:val="22"/>
                <w:szCs w:val="22"/>
              </w:rPr>
              <w:t xml:space="preserve"> в целях проживания прибывших медицинских работников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>
              <w:t xml:space="preserve">;           МОО «СОТРУДНИЧЕСТВО»</w:t>
            </w:r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9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firstLine="426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426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ind w:left="284" w:right="-31" w:hanging="850"/>
        <w:rPr>
          <w:sz w:val="24"/>
          <w:szCs w:val="24"/>
        </w:rPr>
      </w:pPr>
      <w:r>
        <w:rPr>
          <w:rFonts w:eastAsia="Calibri"/>
          <w:sz w:val="18"/>
          <w:szCs w:val="18"/>
        </w:rPr>
        <w:t xml:space="preserve">                      </w:t>
      </w:r>
      <w:r>
        <w:rPr>
          <w:rFonts w:eastAsia="Calibri"/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eastAsia="Calibri"/>
          <w:sz w:val="18"/>
          <w:szCs w:val="18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программе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6"/>
        <w:rPr>
          <w:b/>
          <w:sz w:val="24"/>
          <w:szCs w:val="24"/>
        </w:rPr>
      </w:pPr>
      <w:r>
        <w:rPr>
          <w:b/>
          <w:bCs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мероприятий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показателями результативности выполнения мероприятий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593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3"/>
        <w:gridCol w:w="1276"/>
        <w:gridCol w:w="3402"/>
        <w:gridCol w:w="851"/>
        <w:gridCol w:w="1134"/>
        <w:gridCol w:w="1134"/>
        <w:gridCol w:w="1134"/>
        <w:gridCol w:w="2268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№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п/п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vMerge w:val="restart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Цели, мероприятия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Срок исполнения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Наименование показателя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Ед.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изм.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Исполнитель, соисполнитель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vMerge w:val="continue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202</w:t>
            </w:r>
            <w:r>
              <w:rPr>
                <w:b w:val="0"/>
                <w:sz w:val="22"/>
                <w:szCs w:val="22"/>
              </w:rPr>
              <w:t xml:space="preserve">5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202</w:t>
            </w:r>
            <w:r>
              <w:rPr>
                <w:b w:val="0"/>
                <w:sz w:val="22"/>
                <w:szCs w:val="22"/>
              </w:rPr>
              <w:t xml:space="preserve">6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202</w:t>
            </w:r>
            <w:r>
              <w:rPr>
                <w:b w:val="0"/>
                <w:sz w:val="22"/>
                <w:szCs w:val="22"/>
              </w:rPr>
              <w:t xml:space="preserve">7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1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3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4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5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6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7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8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pStyle w:val="973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9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Цель: Улучшение здоровья жителей Печенгского муниципального округа, повышение качества жизни населения, формирование культуры общественного здоровья, ответственного отношения к здоровью.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ероприятие 1. Организационно-методическое обеспечение системы мероприятий, направленных на укрепление общественного здоровья на территории Печенгского муниципального округа.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Организация межведомственного взаимодействия по реализации мероприятий, направленных на формирование здорового образа жизни, включая снижение потребления алкоголя, табака, повышения физической активности, популяризации здорового питания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заседаний антинаркотической комиссии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заседаний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</w:t>
            </w:r>
            <w:r>
              <w:rPr>
                <w:rFonts w:eastAsia="Calibri" w:cs="Calibri"/>
                <w:lang w:eastAsia="en-US"/>
              </w:rPr>
              <w:t xml:space="preserve">КСиМП</w:t>
            </w:r>
            <w:r>
              <w:rPr>
                <w:rFonts w:eastAsia="Calibri" w:cs="Calibri"/>
                <w:lang w:eastAsia="en-US"/>
              </w:rPr>
              <w:t xml:space="preserve">       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Привлечение волонтерского движения и СО НКО в мероприятия по укреплению общественного здоровья на территории Печенгского муниципального округа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Участие волонтеров и СО НКО в мероприятиях по укреплению общественного здоровья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</w:t>
            </w:r>
            <w:r>
              <w:rPr>
                <w:rFonts w:eastAsia="Calibri" w:cs="Calibri"/>
                <w:lang w:eastAsia="en-US"/>
              </w:rPr>
              <w:t xml:space="preserve">КСиМП</w:t>
            </w:r>
            <w:r>
              <w:rPr>
                <w:rFonts w:eastAsia="Calibri" w:cs="Calibri"/>
                <w:lang w:eastAsia="en-US"/>
              </w:rPr>
              <w:t xml:space="preserve">;               </w:t>
            </w:r>
            <w:r>
              <w:rPr>
                <w:rFonts w:eastAsia="Calibri" w:cs="Calibri"/>
                <w:lang w:eastAsia="en-US"/>
              </w:rPr>
              <w:t xml:space="preserve"> 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bCs/>
                <w:sz w:val="22"/>
                <w:szCs w:val="22"/>
                <w:lang w:eastAsia="en-US"/>
              </w:rPr>
              <w:t xml:space="preserve">ероприятие 2. Проведение информационно-коммуникационной кампании по формированию и мотивированию к ведению здорового образа жизни среди населения Печенгского муниципального округа</w:t>
            </w:r>
            <w:r>
              <w:rPr>
                <w:rFonts w:eastAsia="Calibri" w:cs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Размещение информации по вопросам ведения здорового образа жизни в средствах массовой информации (официальное издание газета «Печенга),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сайт органов местного самоуправления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Печенгского муниципального округа,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официальные аккаунты Печенгского муниципального округа в сети Интернет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Увеличение доли граждан старше 12 лет, охваченных информационно-коммуникационной кампанией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%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</w:t>
            </w:r>
            <w:r>
              <w:rPr>
                <w:rFonts w:eastAsia="Calibri" w:cs="Calibri"/>
                <w:lang w:eastAsia="en-US"/>
              </w:rPr>
              <w:t xml:space="preserve">КСиМП</w:t>
            </w:r>
            <w:r>
              <w:rPr>
                <w:rFonts w:eastAsia="Calibri" w:cs="Calibri"/>
                <w:lang w:eastAsia="en-US"/>
              </w:rPr>
              <w:t xml:space="preserve">, 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МАУ «</w:t>
            </w:r>
            <w:r>
              <w:rPr>
                <w:rFonts w:eastAsia="Calibri" w:cs="Calibri"/>
                <w:lang w:eastAsia="en-US"/>
              </w:rPr>
              <w:t xml:space="preserve">Информцентр</w:t>
            </w:r>
            <w:r>
              <w:rPr>
                <w:rFonts w:eastAsia="Calibri" w:cs="Calibri"/>
                <w:lang w:eastAsia="en-US"/>
              </w:rPr>
              <w:t xml:space="preserve">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Организация и проведение на постоянной основе информационно-образовательных мероприятий (массовые акции, тематические и лекционные занятия, тренинги) по пропаганде здорового образа жизни среди населения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доступности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информационно-образовательных мероприятий</w:t>
            </w:r>
            <w:r>
              <w:rPr>
                <w:bCs/>
                <w:sz w:val="22"/>
                <w:szCs w:val="22"/>
              </w:rPr>
              <w:t xml:space="preserve"> по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пропаганде здорового образа жизни среди населения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Отдел </w:t>
            </w:r>
            <w:r>
              <w:rPr>
                <w:rFonts w:eastAsia="Calibri"/>
                <w:lang w:eastAsia="en-US"/>
              </w:rPr>
              <w:t xml:space="preserve">КСиМП</w:t>
            </w:r>
            <w:r>
              <w:rPr>
                <w:rFonts w:eastAsia="Calibri"/>
                <w:lang w:eastAsia="en-US"/>
              </w:rPr>
              <w:t xml:space="preserve">;                      </w:t>
            </w:r>
            <w:r>
              <w:rPr>
                <w:rFonts w:eastAsia="Calibri"/>
                <w:lang w:eastAsia="en-US"/>
              </w:rPr>
              <w:t xml:space="preserve"> отдел образования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2.3.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Информирование населения через средства массовой информации о вреде употребления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никотинсодержащих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изделий, по предупреждению последствий употребления алкоголя, наркотиков, летучих органических соединений, курительных смесей и их компонентов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информированности населения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 вреде употребления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никотинсодержащих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изделий, по предупреждению последствий употребления алкоголя, наркотиков, летучих органических соединений, курительных смесей и их компонентов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Отдел </w:t>
            </w:r>
            <w:r>
              <w:rPr>
                <w:rFonts w:eastAsia="Calibri"/>
                <w:lang w:eastAsia="en-US"/>
              </w:rPr>
              <w:t xml:space="preserve">КСиМП</w:t>
            </w:r>
            <w:r>
              <w:rPr>
                <w:rFonts w:eastAsia="Calibri"/>
                <w:lang w:eastAsia="en-US"/>
              </w:rPr>
              <w:t xml:space="preserve">;                 </w:t>
            </w:r>
            <w:r>
              <w:rPr>
                <w:rFonts w:eastAsia="Calibri"/>
                <w:lang w:eastAsia="en-US"/>
              </w:rPr>
              <w:t xml:space="preserve"> отдел образования;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МАУ «</w:t>
            </w:r>
            <w:r>
              <w:rPr>
                <w:rFonts w:eastAsia="Calibri"/>
                <w:lang w:eastAsia="en-US"/>
              </w:rPr>
              <w:t xml:space="preserve">Информцентр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2.4.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Разработка и распространение среди обучающихся и воспитанников общеобразовательных организаций информационных материалов (памятки, листовки, плакаты) по профилактике заболеваний и факторов риска их развития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доступности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информации по профилактике заболеваний и факторов риска их развития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образования, 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2.5.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Целевое санитарно-гигиеническое воспитание (проведение бесед, лекций) по вопросам ведения здорового образа жизни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информированности населения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по вопросам ведения здорового образа жизни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2.6.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Распространение среди населения Печенгского муниципального округа обновленной санитарно-просветительской литературы по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профилактике ХНИЗ и факторов риска их развития, предоставленной ЦОЗМП (плакаты, буклеты, памятки, листовки)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доступности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информации по профилактике ХНИЗ и факторов риска их развития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ероприятие 3. Мероприятия, направленные на снижение факторов риска «артериальная гипертония»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Активация работы школы здоровья для пациентов с артериальной гипертонией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Охват обучением в школе здоровья пациентов с артериальной гипертонией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%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Ежегодный осмотр в рамках диспансерного наблюдения пациентов с артериальной гипертонией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Охват диспансерным наблюдением пациентов с артериальной гипертонией в Печенгском муниципальном округе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осмотров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 2 раз в год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 2 раз в год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 2 раз в год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3.3.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Распространение среди населения Печенгского муниципального округа санитарно-просветительной литературы по профилактике артериальной гипертонии, предоставленной ЦЩЗМП (плакаты, буклеты, памятки)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доступности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информации по профилактике артериальной гипертонии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  <w:lang w:eastAsia="en-US"/>
              </w:rPr>
              <w:t xml:space="preserve">Основное мероприятие</w:t>
            </w:r>
            <w:r>
              <w:rPr>
                <w:rFonts w:cs="Calibri"/>
                <w:b/>
                <w:sz w:val="22"/>
                <w:szCs w:val="22"/>
                <w:lang w:eastAsia="en-US"/>
              </w:rPr>
              <w:t xml:space="preserve"> 4. Создание службы общественного здоровья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а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бот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а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отделения медицинской профилактики на базе ГОБУЗ «Печенгская ЦРБ» в соответствии с приказом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Министерства здравоохранения Российской Федерации от 29.10.2020 № 1177н «Об утверждении порядка организации и осуществления профилактики инфекционных заболеваний и проведения мероприятий по формированию здорового образа жизни в медицинских организациях»,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в том числе: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Доля граждан, охваченных профилактическими мероприятиями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%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4.1.1.</w:t>
            </w:r>
            <w:r/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Работа школ здоровья на базе ГОБУЗ «Печенгская ЦРБ»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4.1.2.</w:t>
            </w:r>
            <w:r/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Организация и проведение выездных информационно-просветительных мероприятий специалистами ГОБУЗ «Печенгская ЦРБ» в организованных коллективах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4.1.3.</w:t>
            </w:r>
            <w:r/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Организация и проведение массовых акций, в том числе приуроченных к Всемирным, Международным и Всероссийским дням здоровья, с проведением </w:t>
            </w:r>
            <w:r>
              <w:rPr>
                <w:rFonts w:eastAsia="Calibri" w:cs="Calibri"/>
                <w:lang w:eastAsia="en-US"/>
              </w:rPr>
              <w:t xml:space="preserve">скрининговых</w:t>
            </w:r>
            <w:r>
              <w:rPr>
                <w:rFonts w:eastAsia="Calibri" w:cs="Calibri"/>
                <w:lang w:eastAsia="en-US"/>
              </w:rPr>
              <w:t xml:space="preserve"> исследований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4.1.4.</w:t>
            </w:r>
            <w:r/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Проведение на базе ГОБУЗ «Печенгская ЦРБ» «постов здоровья», «дней открытых дверей» с привлечением «узких» специалистов, проведением индивидуальных консультаций и </w:t>
            </w:r>
            <w:r>
              <w:rPr>
                <w:rFonts w:eastAsia="Calibri" w:cs="Calibri"/>
                <w:lang w:eastAsia="en-US"/>
              </w:rPr>
              <w:t xml:space="preserve">скрининговых</w:t>
            </w:r>
            <w:r>
              <w:rPr>
                <w:rFonts w:eastAsia="Calibri" w:cs="Calibri"/>
                <w:lang w:eastAsia="en-US"/>
              </w:rPr>
              <w:t xml:space="preserve"> исследований, посвященных следующим значимым датам: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борьбы против рака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(4 февраля);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здоровья (7 апреля);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борьбы с артериальной гипертонией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(17 мая);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здорового пищеварения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 (29 мая);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без табака (31 мая);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Всероссийский день трезвости и борьбы с алкоголизмом (11 сентября);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сердца (29 сентября);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борьбы с инсультом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(29 октября);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Всемирный день борьбы с диабетом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(14 ноября);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- Международный день отказа от курения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 (третий четверг ноября)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Работа кабинета/школы по отказу от курения с целью оказания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медицинской и консультативной помощи желающим отказаться от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табакокурения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с применением современных методик, в том числе с проведением выездных школ здоровья по отказу от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табакокурения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на рабочих местах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информированности населения по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оказанию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медицинской и консультативной помощи желающим отказаться от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табакокурения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с применением современных методик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Да/нет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4.3.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vAlign w:val="center"/>
            <w:textDirection w:val="lrTb"/>
            <w:noWrap w:val="false"/>
          </w:tcPr>
          <w:p>
            <w:pPr>
              <w:pStyle w:val="968"/>
              <w:ind w:left="0"/>
              <w:jc w:val="both"/>
              <w:spacing w:after="0" w:line="240" w:lineRule="auto"/>
              <w:shd w:val="clear" w:color="auto" w:fill="ffffff"/>
              <w:tabs>
                <w:tab w:val="left" w:pos="0" w:leader="none"/>
                <w:tab w:val="left" w:pos="39" w:leader="none"/>
                <w:tab w:val="left" w:pos="284" w:leader="none"/>
                <w:tab w:val="left" w:pos="372" w:leader="none"/>
                <w:tab w:val="left" w:pos="1276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и внедрение корпоративных программ по  укреплению общественного здоровья на предприятиях, в организациях и учреждениях, расположенных на территории Печенгского округа: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68"/>
              <w:ind w:left="0"/>
              <w:jc w:val="both"/>
              <w:spacing w:after="0" w:line="240" w:lineRule="auto"/>
              <w:shd w:val="clear" w:color="auto" w:fill="ffffff"/>
              <w:tabs>
                <w:tab w:val="left" w:pos="0" w:leader="none"/>
                <w:tab w:val="left" w:pos="39" w:leader="none"/>
                <w:tab w:val="left" w:pos="284" w:leader="none"/>
                <w:tab w:val="left" w:pos="372" w:leader="none"/>
                <w:tab w:val="left" w:pos="1276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«Профилактика потребления табака»;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68"/>
              <w:ind w:left="0"/>
              <w:jc w:val="both"/>
              <w:spacing w:after="0" w:line="240" w:lineRule="auto"/>
              <w:shd w:val="clear" w:color="auto" w:fill="ffffff"/>
              <w:tabs>
                <w:tab w:val="left" w:pos="0" w:leader="none"/>
                <w:tab w:val="left" w:pos="39" w:leader="none"/>
                <w:tab w:val="left" w:pos="284" w:leader="none"/>
                <w:tab w:val="left" w:pos="372" w:leader="none"/>
                <w:tab w:val="left" w:pos="1276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«Снижение потребления алкоголя с вредными последствиями»;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68"/>
              <w:ind w:left="0"/>
              <w:jc w:val="both"/>
              <w:spacing w:after="0" w:line="240" w:lineRule="auto"/>
              <w:shd w:val="clear" w:color="auto" w:fill="ffffff"/>
              <w:tabs>
                <w:tab w:val="left" w:pos="0" w:leader="none"/>
                <w:tab w:val="left" w:pos="39" w:leader="none"/>
                <w:tab w:val="left" w:pos="284" w:leader="none"/>
                <w:tab w:val="left" w:pos="372" w:leader="none"/>
                <w:tab w:val="left" w:pos="1276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«Здоровое питание и рабочее место»;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68"/>
              <w:ind w:left="0"/>
              <w:jc w:val="both"/>
              <w:spacing w:after="0" w:line="240" w:lineRule="auto"/>
              <w:shd w:val="clear" w:color="auto" w:fill="ffffff"/>
              <w:tabs>
                <w:tab w:val="left" w:pos="0" w:leader="none"/>
                <w:tab w:val="left" w:pos="39" w:leader="none"/>
                <w:tab w:val="left" w:pos="284" w:leader="none"/>
                <w:tab w:val="left" w:pos="372" w:leader="none"/>
                <w:tab w:val="left" w:pos="1276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«Повышение физической активности»;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«Сохранение психологического здоровья и благополучия» и др.</w:t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Количество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предприятий, организаций и учреждений, внедривших корпоративные программы по  укреплению общественного здоровья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Ед.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«Печенгская ЦРБ»;</w:t>
            </w:r>
            <w:r>
              <w:rPr>
                <w:rFonts w:cs="Calibri"/>
                <w:lang w:eastAsia="en-US"/>
              </w:rPr>
            </w:r>
            <w:r>
              <w:rPr>
                <w:rFonts w:cs="Calibri"/>
                <w:lang w:eastAsia="en-US"/>
              </w:rPr>
            </w:r>
          </w:p>
          <w:p>
            <w:pPr>
              <w:jc w:val="center"/>
              <w:rPr>
                <w:rFonts w:cs="Calibri"/>
                <w:lang w:eastAsia="en-US"/>
              </w:rPr>
            </w:pPr>
            <w:r>
              <w:rPr>
                <w:rFonts w:cs="Calibri"/>
                <w:lang w:eastAsia="en-US"/>
              </w:rPr>
              <w:t xml:space="preserve">предприятия, организации и учреждения, расположенные на территории Печенгского округа</w:t>
            </w:r>
            <w:r>
              <w:rPr>
                <w:rFonts w:cs="Calibri"/>
                <w:lang w:eastAsia="en-US"/>
              </w:rPr>
            </w:r>
            <w:r>
              <w:rPr>
                <w:rFonts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4.4.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Организация и проведение ежегодного мониторинга факторов риска хронических неинфекционных заболеваний среди населения Печенгского округа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  <w:outlineLvl w:val="2"/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Проведение анкетирования среди населения Печенгского округа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Количество анкет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не менее 200 анкет в год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не менее 200 анкет в год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не менее 200 анкет в год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ероприятие 5. Осуществление мероприятий, направленных на увеличение физической активности жителей Печенгского муниципального округа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Проведение физкультурных мероприятий, направленных на формирование семейных физкультурных ценностей,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популяризацию физической культуры среди детей и молодежи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Формирование в детской и юношеской среде потребности к систематическим занятиям физической культурой. </w:t>
            </w:r>
            <w:r>
              <w:rPr>
                <w:bCs/>
                <w:sz w:val="22"/>
                <w:szCs w:val="22"/>
              </w:rPr>
              <w:t xml:space="preserve">Формирование системы семейных физкультурных ценностей. Повышение двигательной активности детей и молодёжи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Да/нет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</w:t>
            </w:r>
            <w:r>
              <w:rPr>
                <w:rFonts w:eastAsia="Calibri" w:cs="Calibri"/>
                <w:lang w:eastAsia="en-US"/>
              </w:rPr>
              <w:t xml:space="preserve">КСиМП</w:t>
            </w:r>
            <w:r>
              <w:rPr>
                <w:rFonts w:eastAsia="Calibri" w:cs="Calibri"/>
                <w:lang w:eastAsia="en-US"/>
              </w:rPr>
              <w:t xml:space="preserve">;               МБУ ДО «ДЮСШ»;</w:t>
            </w:r>
            <w:r>
              <w:rPr>
                <w:rFonts w:eastAsia="Calibri" w:cs="Calibri"/>
                <w:lang w:eastAsia="en-US"/>
              </w:rPr>
              <w:t xml:space="preserve">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МБУ «СК «Металлург»;                     </w:t>
            </w:r>
            <w:r>
              <w:rPr>
                <w:rFonts w:eastAsia="Calibri" w:cs="Calibri"/>
                <w:lang w:eastAsia="en-US"/>
              </w:rPr>
              <w:t xml:space="preserve"> </w:t>
            </w:r>
            <w:r>
              <w:rPr>
                <w:rFonts w:eastAsia="Calibri" w:cs="Calibri"/>
                <w:lang w:eastAsia="en-US"/>
              </w:rPr>
              <w:t xml:space="preserve">МБУ «СК «Дельфин»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Проведение физкультурных мероприятий с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населением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Доля населения, систематически занимающегося физической культурой и спортом, от общей численности населения в возрасте </w:t>
            </w:r>
            <w:r>
              <w:rPr>
                <w:bCs/>
                <w:sz w:val="22"/>
                <w:szCs w:val="22"/>
              </w:rPr>
              <w:t xml:space="preserve">от 3 </w:t>
            </w:r>
            <w:r>
              <w:rPr>
                <w:bCs/>
                <w:sz w:val="22"/>
                <w:szCs w:val="22"/>
              </w:rPr>
              <w:t xml:space="preserve">до 70 лет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%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68,6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70,1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71,6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Отдел </w:t>
            </w:r>
            <w:r>
              <w:rPr>
                <w:rFonts w:eastAsia="Calibri" w:cs="Calibri"/>
                <w:lang w:eastAsia="en-US"/>
              </w:rPr>
              <w:t xml:space="preserve">КСиМП</w:t>
            </w:r>
            <w:r>
              <w:rPr>
                <w:rFonts w:eastAsia="Calibri" w:cs="Calibri"/>
                <w:lang w:eastAsia="en-US"/>
              </w:rPr>
              <w:t xml:space="preserve">;               МБУ ДО «ДЮСШ»;</w:t>
            </w:r>
            <w:r>
              <w:rPr>
                <w:rFonts w:eastAsia="Calibri" w:cs="Calibri"/>
                <w:lang w:eastAsia="en-US"/>
              </w:rPr>
              <w:t xml:space="preserve">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МБУ «СК «Металлург»;                     </w:t>
            </w:r>
            <w:r>
              <w:rPr>
                <w:rFonts w:eastAsia="Calibri" w:cs="Calibri"/>
                <w:lang w:eastAsia="en-US"/>
              </w:rPr>
              <w:t xml:space="preserve"> МБУ «СК «Дельфин» 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ероприятие 6. Создание условий для снижения фактора риска «нерациональное питание» среди жителей Печенгского муниципального округа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Внедрение на предприятиях, в организациях и учреждениях четырех обучающих программ, предоставленных Управлением 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Роспотребнадзора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 по Мурманской области: для групп населения, проживающих на территориях с особенностями в части воздействия факторов окружающей среды (дефицит микр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о-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 и 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макронутриентов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, климатические условия); для взрослого населения; для лиц пожилого и старческого возраста; для беременных и кормящих женщин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информированности населения об 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особенностях воздействия факторов окружающей среды на здоровье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Да/нет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ind w:right="-23"/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Распространение среди населения Печенгского муниципального округа санитарно-просветительной литературы по популяции здорового питания, предоставленной ЦОЗМП (плакаты, буклеты, памятки)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доступности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информации по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 популяции здорового питания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ероприятие 7. Мероприятия, направленные на профилактику заболеваний репродуктивной сферы у мужчин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Подготовка и тиражирование информационных материалов по 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профилактике заболеваний репродуктивной сферы у мужчин, в том числе инфекций, передаваемых половым путем, для лиц подросткового возраста и мужчин репродуктивного возраста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доступности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информации по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 профилактике 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заболеваний репродуктивной сферы у мужчин, в том числе инфекций, передаваемых половым путем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Проведение информационно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-образовательных мероприятий (обучающие семинары, «круглые столы», тематические и лекционные занятия) с целью сексуального воспитания подростков в части ответственного отношения к репродуктивному здоровью и профилактики инфекций, передаваемых половым путем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информированности подростков по вопросам ответственного отношения к репродуктивному здоровью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Основное м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  <w:t xml:space="preserve">ероприятие 8. Мероприятия, направленные на профилактику заболеваний полости рта</w:t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  <w:t xml:space="preserve">Обучение навыкам гигиенического ухода за зубами детей дошкольного и школьного возраста</w:t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стоматологической грамотности детского населения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rFonts w:eastAsia="Calibri" w:cs="Calibri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Гигиеническое 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обучение по уходу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  <w:t xml:space="preserve"> за зубами населения Печенгского муниципального округа – проведение «уроков здоровья»</w:t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  <w:r>
              <w:rPr>
                <w:rFonts w:eastAsia="Calibri" w:cs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Повышение стоматологической грамотности и снижение факторов риска стоматологических заболеваний среди населения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ГОБУЗ </w:t>
            </w:r>
            <w:r>
              <w:rPr>
                <w:rFonts w:eastAsia="Calibri" w:cs="Calibri"/>
                <w:lang w:eastAsia="en-US"/>
              </w:rPr>
              <w:t xml:space="preserve">                </w:t>
            </w:r>
            <w:r>
              <w:rPr>
                <w:rFonts w:eastAsia="Calibri" w:cs="Calibri"/>
                <w:lang w:eastAsia="en-US"/>
              </w:rPr>
              <w:t xml:space="preserve">   «Печенгская ЦРБ»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jc w:val="center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Основное мероприятие 9. Создание благоприятных условий в целях привлечения медицинских работников для работы в медицинских организациях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9.1.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33" w:leader="none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Подбор и предостав</w:t>
            </w:r>
            <w:r>
              <w:rPr>
                <w:bCs/>
                <w:sz w:val="22"/>
                <w:szCs w:val="22"/>
              </w:rPr>
              <w:t xml:space="preserve">ление жилых помещений (квартир)</w:t>
            </w:r>
            <w:r>
              <w:rPr>
                <w:bCs/>
                <w:sz w:val="22"/>
                <w:szCs w:val="22"/>
              </w:rPr>
              <w:t xml:space="preserve"> прибывшим медицинским работникам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33" w:leader="none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Предоставление жилых помещений </w:t>
            </w:r>
            <w:r>
              <w:rPr>
                <w:bCs/>
                <w:sz w:val="22"/>
                <w:szCs w:val="22"/>
              </w:rPr>
              <w:t xml:space="preserve">(квартир)</w:t>
            </w:r>
            <w:r>
              <w:rPr>
                <w:bCs/>
                <w:sz w:val="22"/>
                <w:szCs w:val="22"/>
              </w:rPr>
              <w:t xml:space="preserve"> прибывшим медицинским работникам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Квартиры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lang w:val="en-US"/>
              </w:rPr>
            </w:pPr>
            <w:r>
              <w:rPr>
                <w:sz w:val="22"/>
              </w:rPr>
              <w:t xml:space="preserve">Не менее 1</w:t>
            </w:r>
            <w:r>
              <w:rPr>
                <w:sz w:val="22"/>
                <w:lang w:val="en-US"/>
              </w:rPr>
              <w:t xml:space="preserve">2</w: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9.2.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pacing w:val="1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Ре</w:t>
            </w:r>
            <w:r>
              <w:rPr>
                <w:bCs/>
                <w:sz w:val="22"/>
                <w:szCs w:val="22"/>
              </w:rPr>
              <w:t xml:space="preserve">монт жилых помещений (квартир)</w:t>
            </w:r>
            <w:r>
              <w:rPr>
                <w:bCs/>
                <w:sz w:val="22"/>
                <w:szCs w:val="22"/>
              </w:rPr>
              <w:t xml:space="preserve"> в целях проживания прибывших медицинских работников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Количество отремонтированных жилых помещений (квартир) для проживания прибывших медицинских работников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</w:rPr>
            </w:pPr>
            <w:r>
              <w:rPr>
                <w:sz w:val="22"/>
              </w:rPr>
              <w:t xml:space="preserve">Квартиры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lang w:val="en-US"/>
              </w:rPr>
            </w:pPr>
            <w:r>
              <w:rPr>
                <w:sz w:val="22"/>
              </w:rPr>
              <w:t xml:space="preserve">Не менее 1</w:t>
            </w:r>
            <w:r>
              <w:rPr>
                <w:sz w:val="22"/>
                <w:lang w:val="en-US"/>
              </w:rPr>
              <w:t xml:space="preserve">2</w: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>
              <w:t xml:space="preserve">;                   </w:t>
            </w:r>
            <w:r>
              <w:rPr>
                <w:sz w:val="19"/>
                <w:szCs w:val="19"/>
              </w:rPr>
              <w:t xml:space="preserve">МОО «СОТРУДНИЧЕСТВО»</w:t>
            </w:r>
            <w:r/>
          </w:p>
        </w:tc>
      </w:tr>
    </w:tbl>
    <w:p>
      <w:pPr>
        <w:tabs>
          <w:tab w:val="left" w:pos="1755" w:leader="none"/>
        </w:tabs>
        <w:rPr>
          <w:sz w:val="18"/>
          <w:szCs w:val="18"/>
        </w:rPr>
        <w:sectPr>
          <w:headerReference w:type="default" r:id="rId10"/>
          <w:headerReference w:type="even" r:id="rId11"/>
          <w:footerReference w:type="default" r:id="rId12"/>
          <w:footnotePr/>
          <w:endnotePr/>
          <w:type w:val="nextPage"/>
          <w:pgSz w:w="16838" w:h="11906" w:orient="landscape"/>
          <w:pgMar w:top="851" w:right="822" w:bottom="851" w:left="567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r/>
    </w:p>
    <w:sectPr>
      <w:footnotePr/>
      <w:endnotePr/>
      <w:type w:val="nextPage"/>
      <w:pgSz w:w="11906" w:h="16838" w:orient="portrait"/>
      <w:pgMar w:top="822" w:right="851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9"/>
    </w:pPr>
    <w:r/>
    <w:r/>
  </w:p>
  <w:p>
    <w:pPr>
      <w:pStyle w:val="95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rPr>
        <w:rStyle w:val="961"/>
      </w:rPr>
      <w:framePr w:wrap="around" w:vAnchor="text" w:hAnchor="margin" w:xAlign="center" w:y="1"/>
    </w:pPr>
    <w:r>
      <w:rPr>
        <w:rStyle w:val="961"/>
      </w:rPr>
    </w:r>
    <w:r>
      <w:rPr>
        <w:rStyle w:val="961"/>
      </w:rPr>
    </w:r>
  </w:p>
  <w:p>
    <w:pPr>
      <w:pStyle w:val="96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rPr>
        <w:rStyle w:val="961"/>
      </w:rPr>
      <w:framePr w:wrap="around" w:vAnchor="text" w:hAnchor="margin" w:xAlign="center" w:y="1"/>
    </w:pPr>
    <w:r>
      <w:rPr>
        <w:rStyle w:val="961"/>
      </w:rPr>
      <w:fldChar w:fldCharType="begin"/>
    </w:r>
    <w:r>
      <w:rPr>
        <w:rStyle w:val="961"/>
      </w:rPr>
      <w:instrText xml:space="preserve">PAGE  </w:instrText>
    </w:r>
    <w:r>
      <w:rPr>
        <w:rStyle w:val="961"/>
      </w:rPr>
      <w:fldChar w:fldCharType="end"/>
    </w:r>
    <w:r>
      <w:rPr>
        <w:rStyle w:val="961"/>
      </w:rPr>
    </w:r>
    <w:r>
      <w:rPr>
        <w:rStyle w:val="961"/>
      </w:rPr>
    </w:r>
  </w:p>
  <w:p>
    <w:pPr>
      <w:pStyle w:val="96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8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32"/>
  </w:num>
  <w:num w:numId="4">
    <w:abstractNumId w:val="26"/>
  </w:num>
  <w:num w:numId="5">
    <w:abstractNumId w:val="20"/>
  </w:num>
  <w:num w:numId="6">
    <w:abstractNumId w:val="10"/>
  </w:num>
  <w:num w:numId="7">
    <w:abstractNumId w:val="30"/>
  </w:num>
  <w:num w:numId="8">
    <w:abstractNumId w:val="21"/>
  </w:num>
  <w:num w:numId="9">
    <w:abstractNumId w:val="31"/>
  </w:num>
  <w:num w:numId="10">
    <w:abstractNumId w:val="4"/>
  </w:num>
  <w:num w:numId="11">
    <w:abstractNumId w:val="22"/>
  </w:num>
  <w:num w:numId="12">
    <w:abstractNumId w:val="23"/>
  </w:num>
  <w:num w:numId="13">
    <w:abstractNumId w:val="9"/>
  </w:num>
  <w:num w:numId="14">
    <w:abstractNumId w:val="5"/>
  </w:num>
  <w:num w:numId="15">
    <w:abstractNumId w:val="25"/>
  </w:num>
  <w:num w:numId="16">
    <w:abstractNumId w:val="28"/>
  </w:num>
  <w:num w:numId="17">
    <w:abstractNumId w:val="27"/>
  </w:num>
  <w:num w:numId="18">
    <w:abstractNumId w:val="24"/>
  </w:num>
  <w:num w:numId="19">
    <w:abstractNumId w:val="7"/>
  </w:num>
  <w:num w:numId="20">
    <w:abstractNumId w:val="16"/>
  </w:num>
  <w:num w:numId="21">
    <w:abstractNumId w:val="8"/>
  </w:num>
  <w:num w:numId="22">
    <w:abstractNumId w:val="29"/>
  </w:num>
  <w:num w:numId="23">
    <w:abstractNumId w:val="1"/>
  </w:num>
  <w:num w:numId="24">
    <w:abstractNumId w:val="11"/>
  </w:num>
  <w:num w:numId="25">
    <w:abstractNumId w:val="19"/>
  </w:num>
  <w:num w:numId="26">
    <w:abstractNumId w:val="14"/>
  </w:num>
  <w:num w:numId="27">
    <w:abstractNumId w:val="13"/>
  </w:num>
  <w:num w:numId="28">
    <w:abstractNumId w:val="18"/>
  </w:num>
  <w:num w:numId="29">
    <w:abstractNumId w:val="15"/>
  </w:num>
  <w:num w:numId="30">
    <w:abstractNumId w:val="17"/>
  </w:num>
  <w:num w:numId="31">
    <w:abstractNumId w:val="6"/>
  </w:num>
  <w:num w:numId="32">
    <w:abstractNumId w:val="3"/>
  </w:num>
  <w:num w:numId="33">
    <w:abstractNumId w:val="2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6">
    <w:name w:val="Heading 1 Char"/>
    <w:basedOn w:val="948"/>
    <w:link w:val="946"/>
    <w:uiPriority w:val="9"/>
    <w:rPr>
      <w:rFonts w:ascii="Arial" w:hAnsi="Arial" w:eastAsia="Arial" w:cs="Arial"/>
      <w:sz w:val="40"/>
      <w:szCs w:val="40"/>
    </w:rPr>
  </w:style>
  <w:style w:type="character" w:styleId="777">
    <w:name w:val="Heading 2 Char"/>
    <w:basedOn w:val="948"/>
    <w:link w:val="947"/>
    <w:uiPriority w:val="9"/>
    <w:rPr>
      <w:rFonts w:ascii="Arial" w:hAnsi="Arial" w:eastAsia="Arial" w:cs="Arial"/>
      <w:sz w:val="34"/>
    </w:rPr>
  </w:style>
  <w:style w:type="paragraph" w:styleId="778">
    <w:name w:val="Heading 3"/>
    <w:basedOn w:val="945"/>
    <w:next w:val="945"/>
    <w:link w:val="7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9">
    <w:name w:val="Heading 3 Char"/>
    <w:basedOn w:val="948"/>
    <w:link w:val="778"/>
    <w:uiPriority w:val="9"/>
    <w:rPr>
      <w:rFonts w:ascii="Arial" w:hAnsi="Arial" w:eastAsia="Arial" w:cs="Arial"/>
      <w:sz w:val="30"/>
      <w:szCs w:val="30"/>
    </w:rPr>
  </w:style>
  <w:style w:type="paragraph" w:styleId="780">
    <w:name w:val="Heading 4"/>
    <w:basedOn w:val="945"/>
    <w:next w:val="945"/>
    <w:link w:val="7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1">
    <w:name w:val="Heading 4 Char"/>
    <w:basedOn w:val="948"/>
    <w:link w:val="780"/>
    <w:uiPriority w:val="9"/>
    <w:rPr>
      <w:rFonts w:ascii="Arial" w:hAnsi="Arial" w:eastAsia="Arial" w:cs="Arial"/>
      <w:b/>
      <w:bCs/>
      <w:sz w:val="26"/>
      <w:szCs w:val="26"/>
    </w:rPr>
  </w:style>
  <w:style w:type="paragraph" w:styleId="782">
    <w:name w:val="Heading 5"/>
    <w:basedOn w:val="945"/>
    <w:next w:val="945"/>
    <w:link w:val="7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3">
    <w:name w:val="Heading 5 Char"/>
    <w:basedOn w:val="948"/>
    <w:link w:val="782"/>
    <w:uiPriority w:val="9"/>
    <w:rPr>
      <w:rFonts w:ascii="Arial" w:hAnsi="Arial" w:eastAsia="Arial" w:cs="Arial"/>
      <w:b/>
      <w:bCs/>
      <w:sz w:val="24"/>
      <w:szCs w:val="24"/>
    </w:rPr>
  </w:style>
  <w:style w:type="paragraph" w:styleId="784">
    <w:name w:val="Heading 6"/>
    <w:basedOn w:val="945"/>
    <w:next w:val="945"/>
    <w:link w:val="7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5">
    <w:name w:val="Heading 6 Char"/>
    <w:basedOn w:val="948"/>
    <w:link w:val="784"/>
    <w:uiPriority w:val="9"/>
    <w:rPr>
      <w:rFonts w:ascii="Arial" w:hAnsi="Arial" w:eastAsia="Arial" w:cs="Arial"/>
      <w:b/>
      <w:bCs/>
      <w:sz w:val="22"/>
      <w:szCs w:val="22"/>
    </w:rPr>
  </w:style>
  <w:style w:type="paragraph" w:styleId="786">
    <w:name w:val="Heading 7"/>
    <w:basedOn w:val="945"/>
    <w:next w:val="945"/>
    <w:link w:val="7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7">
    <w:name w:val="Heading 7 Char"/>
    <w:basedOn w:val="948"/>
    <w:link w:val="7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8">
    <w:name w:val="Heading 8"/>
    <w:basedOn w:val="945"/>
    <w:next w:val="945"/>
    <w:link w:val="7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9">
    <w:name w:val="Heading 8 Char"/>
    <w:basedOn w:val="948"/>
    <w:link w:val="788"/>
    <w:uiPriority w:val="9"/>
    <w:rPr>
      <w:rFonts w:ascii="Arial" w:hAnsi="Arial" w:eastAsia="Arial" w:cs="Arial"/>
      <w:i/>
      <w:iCs/>
      <w:sz w:val="22"/>
      <w:szCs w:val="22"/>
    </w:rPr>
  </w:style>
  <w:style w:type="paragraph" w:styleId="790">
    <w:name w:val="Heading 9"/>
    <w:basedOn w:val="945"/>
    <w:next w:val="945"/>
    <w:link w:val="7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1">
    <w:name w:val="Heading 9 Char"/>
    <w:basedOn w:val="948"/>
    <w:link w:val="790"/>
    <w:uiPriority w:val="9"/>
    <w:rPr>
      <w:rFonts w:ascii="Arial" w:hAnsi="Arial" w:eastAsia="Arial" w:cs="Arial"/>
      <w:i/>
      <w:iCs/>
      <w:sz w:val="21"/>
      <w:szCs w:val="21"/>
    </w:rPr>
  </w:style>
  <w:style w:type="character" w:styleId="792">
    <w:name w:val="Title Char"/>
    <w:basedOn w:val="948"/>
    <w:link w:val="977"/>
    <w:uiPriority w:val="10"/>
    <w:rPr>
      <w:sz w:val="48"/>
      <w:szCs w:val="48"/>
    </w:rPr>
  </w:style>
  <w:style w:type="paragraph" w:styleId="793">
    <w:name w:val="Subtitle"/>
    <w:basedOn w:val="945"/>
    <w:next w:val="945"/>
    <w:link w:val="794"/>
    <w:uiPriority w:val="11"/>
    <w:qFormat/>
    <w:pPr>
      <w:spacing w:before="200" w:after="200"/>
    </w:pPr>
    <w:rPr>
      <w:sz w:val="24"/>
      <w:szCs w:val="24"/>
    </w:rPr>
  </w:style>
  <w:style w:type="character" w:styleId="794">
    <w:name w:val="Subtitle Char"/>
    <w:basedOn w:val="948"/>
    <w:link w:val="793"/>
    <w:uiPriority w:val="11"/>
    <w:rPr>
      <w:sz w:val="24"/>
      <w:szCs w:val="24"/>
    </w:rPr>
  </w:style>
  <w:style w:type="paragraph" w:styleId="795">
    <w:name w:val="Quote"/>
    <w:basedOn w:val="945"/>
    <w:next w:val="945"/>
    <w:link w:val="796"/>
    <w:uiPriority w:val="29"/>
    <w:qFormat/>
    <w:pPr>
      <w:ind w:left="720" w:right="720"/>
    </w:pPr>
    <w:rPr>
      <w:i/>
    </w:rPr>
  </w:style>
  <w:style w:type="character" w:styleId="796">
    <w:name w:val="Quote Char"/>
    <w:link w:val="795"/>
    <w:uiPriority w:val="29"/>
    <w:rPr>
      <w:i/>
    </w:rPr>
  </w:style>
  <w:style w:type="paragraph" w:styleId="797">
    <w:name w:val="Intense Quote"/>
    <w:basedOn w:val="945"/>
    <w:next w:val="945"/>
    <w:link w:val="7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8">
    <w:name w:val="Intense Quote Char"/>
    <w:link w:val="797"/>
    <w:uiPriority w:val="30"/>
    <w:rPr>
      <w:i/>
    </w:rPr>
  </w:style>
  <w:style w:type="character" w:styleId="799">
    <w:name w:val="Header Char"/>
    <w:basedOn w:val="948"/>
    <w:link w:val="962"/>
    <w:uiPriority w:val="99"/>
  </w:style>
  <w:style w:type="character" w:styleId="800">
    <w:name w:val="Footer Char"/>
    <w:basedOn w:val="948"/>
    <w:link w:val="959"/>
    <w:uiPriority w:val="99"/>
  </w:style>
  <w:style w:type="paragraph" w:styleId="801">
    <w:name w:val="Caption"/>
    <w:basedOn w:val="945"/>
    <w:next w:val="9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2">
    <w:name w:val="Caption Char"/>
    <w:basedOn w:val="801"/>
    <w:link w:val="959"/>
    <w:uiPriority w:val="99"/>
  </w:style>
  <w:style w:type="table" w:styleId="803">
    <w:name w:val="Table Grid Light"/>
    <w:basedOn w:val="9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4">
    <w:name w:val="Plain Table 1"/>
    <w:basedOn w:val="9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5">
    <w:name w:val="Plain Table 2"/>
    <w:basedOn w:val="9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6">
    <w:name w:val="Plain Table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7">
    <w:name w:val="Plain Table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Plain Table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9">
    <w:name w:val="Grid Table 1 Light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1 Light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2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4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1">
    <w:name w:val="Grid Table 4 - Accent 1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2">
    <w:name w:val="Grid Table 4 - Accent 2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Grid Table 4 - Accent 3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4">
    <w:name w:val="Grid Table 4 - Accent 4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Grid Table 4 - Accent 5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6">
    <w:name w:val="Grid Table 4 - Accent 6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7">
    <w:name w:val="Grid Table 5 Dark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8">
    <w:name w:val="Grid Table 5 Dark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9">
    <w:name w:val="Grid Table 5 Dark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0">
    <w:name w:val="Grid Table 5 Dark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1">
    <w:name w:val="Grid Table 5 Dark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2">
    <w:name w:val="Grid Table 5 Dark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3">
    <w:name w:val="Grid Table 5 Dark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4">
    <w:name w:val="Grid Table 6 Colorful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5">
    <w:name w:val="Grid Table 6 Colorful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6">
    <w:name w:val="Grid Table 6 Colorful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7">
    <w:name w:val="Grid Table 6 Colorful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8">
    <w:name w:val="Grid Table 6 Colorful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9">
    <w:name w:val="Grid Table 6 Colorful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0">
    <w:name w:val="Grid Table 6 Colorful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1">
    <w:name w:val="Grid Table 7 Colorful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7 Colorful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6">
    <w:name w:val="List Table 2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7">
    <w:name w:val="List Table 2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8">
    <w:name w:val="List Table 2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9">
    <w:name w:val="List Table 2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0">
    <w:name w:val="List Table 2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1">
    <w:name w:val="List Table 2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2">
    <w:name w:val="List Table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5 Dark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5 Dark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5 Dark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5 Dark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5 Dark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6 Colorful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4">
    <w:name w:val="List Table 6 Colorful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5">
    <w:name w:val="List Table 6 Colorful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6">
    <w:name w:val="List Table 6 Colorful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7">
    <w:name w:val="List Table 6 Colorful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8">
    <w:name w:val="List Table 6 Colorful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9">
    <w:name w:val="List Table 6 Colorful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0">
    <w:name w:val="List Table 7 Colorful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1">
    <w:name w:val="List Table 7 Colorful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2">
    <w:name w:val="List Table 7 Colorful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3">
    <w:name w:val="List Table 7 Colorful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4">
    <w:name w:val="List Table 7 Colorful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5">
    <w:name w:val="List Table 7 Colorful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6">
    <w:name w:val="List Table 7 Colorful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7">
    <w:name w:val="Lined - Accent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8">
    <w:name w:val="Lined - Accent 1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9">
    <w:name w:val="Lined - Accent 2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0">
    <w:name w:val="Lined - Accent 3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1">
    <w:name w:val="Lined - Accent 4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2">
    <w:name w:val="Lined - Accent 5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3">
    <w:name w:val="Lined - Accent 6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4">
    <w:name w:val="Bordered &amp; Lined - Accent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5">
    <w:name w:val="Bordered &amp; Lined - Accent 1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6">
    <w:name w:val="Bordered &amp; Lined - Accent 2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7">
    <w:name w:val="Bordered &amp; Lined - Accent 3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8">
    <w:name w:val="Bordered &amp; Lined - Accent 4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9">
    <w:name w:val="Bordered &amp; Lined - Accent 5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0">
    <w:name w:val="Bordered &amp; Lined - Accent 6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1">
    <w:name w:val="Bordered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2">
    <w:name w:val="Bordered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3">
    <w:name w:val="Bordered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4">
    <w:name w:val="Bordered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5">
    <w:name w:val="Bordered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6">
    <w:name w:val="Bordered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7">
    <w:name w:val="Bordered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28">
    <w:name w:val="footnote text"/>
    <w:basedOn w:val="945"/>
    <w:link w:val="929"/>
    <w:uiPriority w:val="99"/>
    <w:semiHidden/>
    <w:unhideWhenUsed/>
    <w:pPr>
      <w:spacing w:after="40" w:line="240" w:lineRule="auto"/>
    </w:pPr>
    <w:rPr>
      <w:sz w:val="18"/>
    </w:rPr>
  </w:style>
  <w:style w:type="character" w:styleId="929">
    <w:name w:val="Footnote Text Char"/>
    <w:link w:val="928"/>
    <w:uiPriority w:val="99"/>
    <w:rPr>
      <w:sz w:val="18"/>
    </w:rPr>
  </w:style>
  <w:style w:type="character" w:styleId="930">
    <w:name w:val="footnote reference"/>
    <w:basedOn w:val="948"/>
    <w:uiPriority w:val="99"/>
    <w:unhideWhenUsed/>
    <w:rPr>
      <w:vertAlign w:val="superscript"/>
    </w:rPr>
  </w:style>
  <w:style w:type="paragraph" w:styleId="931">
    <w:name w:val="endnote text"/>
    <w:basedOn w:val="945"/>
    <w:link w:val="932"/>
    <w:uiPriority w:val="99"/>
    <w:semiHidden/>
    <w:unhideWhenUsed/>
    <w:pPr>
      <w:spacing w:after="0" w:line="240" w:lineRule="auto"/>
    </w:pPr>
    <w:rPr>
      <w:sz w:val="20"/>
    </w:rPr>
  </w:style>
  <w:style w:type="character" w:styleId="932">
    <w:name w:val="Endnote Text Char"/>
    <w:link w:val="931"/>
    <w:uiPriority w:val="99"/>
    <w:rPr>
      <w:sz w:val="20"/>
    </w:rPr>
  </w:style>
  <w:style w:type="character" w:styleId="933">
    <w:name w:val="endnote reference"/>
    <w:basedOn w:val="948"/>
    <w:uiPriority w:val="99"/>
    <w:semiHidden/>
    <w:unhideWhenUsed/>
    <w:rPr>
      <w:vertAlign w:val="superscript"/>
    </w:rPr>
  </w:style>
  <w:style w:type="paragraph" w:styleId="934">
    <w:name w:val="toc 1"/>
    <w:basedOn w:val="945"/>
    <w:next w:val="945"/>
    <w:uiPriority w:val="39"/>
    <w:unhideWhenUsed/>
    <w:pPr>
      <w:ind w:left="0" w:right="0" w:firstLine="0"/>
      <w:spacing w:after="57"/>
    </w:pPr>
  </w:style>
  <w:style w:type="paragraph" w:styleId="935">
    <w:name w:val="toc 2"/>
    <w:basedOn w:val="945"/>
    <w:next w:val="945"/>
    <w:uiPriority w:val="39"/>
    <w:unhideWhenUsed/>
    <w:pPr>
      <w:ind w:left="283" w:right="0" w:firstLine="0"/>
      <w:spacing w:after="57"/>
    </w:pPr>
  </w:style>
  <w:style w:type="paragraph" w:styleId="936">
    <w:name w:val="toc 3"/>
    <w:basedOn w:val="945"/>
    <w:next w:val="945"/>
    <w:uiPriority w:val="39"/>
    <w:unhideWhenUsed/>
    <w:pPr>
      <w:ind w:left="567" w:right="0" w:firstLine="0"/>
      <w:spacing w:after="57"/>
    </w:pPr>
  </w:style>
  <w:style w:type="paragraph" w:styleId="937">
    <w:name w:val="toc 4"/>
    <w:basedOn w:val="945"/>
    <w:next w:val="945"/>
    <w:uiPriority w:val="39"/>
    <w:unhideWhenUsed/>
    <w:pPr>
      <w:ind w:left="850" w:right="0" w:firstLine="0"/>
      <w:spacing w:after="57"/>
    </w:pPr>
  </w:style>
  <w:style w:type="paragraph" w:styleId="938">
    <w:name w:val="toc 5"/>
    <w:basedOn w:val="945"/>
    <w:next w:val="945"/>
    <w:uiPriority w:val="39"/>
    <w:unhideWhenUsed/>
    <w:pPr>
      <w:ind w:left="1134" w:right="0" w:firstLine="0"/>
      <w:spacing w:after="57"/>
    </w:pPr>
  </w:style>
  <w:style w:type="paragraph" w:styleId="939">
    <w:name w:val="toc 6"/>
    <w:basedOn w:val="945"/>
    <w:next w:val="945"/>
    <w:uiPriority w:val="39"/>
    <w:unhideWhenUsed/>
    <w:pPr>
      <w:ind w:left="1417" w:right="0" w:firstLine="0"/>
      <w:spacing w:after="57"/>
    </w:pPr>
  </w:style>
  <w:style w:type="paragraph" w:styleId="940">
    <w:name w:val="toc 7"/>
    <w:basedOn w:val="945"/>
    <w:next w:val="945"/>
    <w:uiPriority w:val="39"/>
    <w:unhideWhenUsed/>
    <w:pPr>
      <w:ind w:left="1701" w:right="0" w:firstLine="0"/>
      <w:spacing w:after="57"/>
    </w:pPr>
  </w:style>
  <w:style w:type="paragraph" w:styleId="941">
    <w:name w:val="toc 8"/>
    <w:basedOn w:val="945"/>
    <w:next w:val="945"/>
    <w:uiPriority w:val="39"/>
    <w:unhideWhenUsed/>
    <w:pPr>
      <w:ind w:left="1984" w:right="0" w:firstLine="0"/>
      <w:spacing w:after="57"/>
    </w:pPr>
  </w:style>
  <w:style w:type="paragraph" w:styleId="942">
    <w:name w:val="toc 9"/>
    <w:basedOn w:val="945"/>
    <w:next w:val="945"/>
    <w:uiPriority w:val="39"/>
    <w:unhideWhenUsed/>
    <w:pPr>
      <w:ind w:left="2268" w:right="0" w:firstLine="0"/>
      <w:spacing w:after="57"/>
    </w:pPr>
  </w:style>
  <w:style w:type="paragraph" w:styleId="943">
    <w:name w:val="TOC Heading"/>
    <w:uiPriority w:val="39"/>
    <w:unhideWhenUsed/>
  </w:style>
  <w:style w:type="paragraph" w:styleId="944">
    <w:name w:val="table of figures"/>
    <w:basedOn w:val="945"/>
    <w:next w:val="945"/>
    <w:uiPriority w:val="99"/>
    <w:unhideWhenUsed/>
    <w:pPr>
      <w:spacing w:after="0" w:afterAutospacing="0"/>
    </w:pPr>
  </w:style>
  <w:style w:type="paragraph" w:styleId="945" w:default="1">
    <w:name w:val="Normal"/>
    <w:qFormat/>
  </w:style>
  <w:style w:type="paragraph" w:styleId="946">
    <w:name w:val="Heading 1"/>
    <w:basedOn w:val="945"/>
    <w:next w:val="945"/>
    <w:qFormat/>
    <w:pPr>
      <w:jc w:val="center"/>
      <w:keepNext/>
      <w:outlineLvl w:val="0"/>
    </w:pPr>
    <w:rPr>
      <w:sz w:val="24"/>
    </w:rPr>
  </w:style>
  <w:style w:type="paragraph" w:styleId="947">
    <w:name w:val="Heading 2"/>
    <w:basedOn w:val="945"/>
    <w:next w:val="945"/>
    <w:link w:val="957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48" w:default="1">
    <w:name w:val="Default Paragraph Font"/>
    <w:uiPriority w:val="1"/>
    <w:semiHidden/>
    <w:unhideWhenUsed/>
  </w:style>
  <w:style w:type="table" w:styleId="9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0" w:default="1">
    <w:name w:val="No List"/>
    <w:uiPriority w:val="99"/>
    <w:semiHidden/>
    <w:unhideWhenUsed/>
  </w:style>
  <w:style w:type="paragraph" w:styleId="951">
    <w:name w:val="Body Text"/>
    <w:basedOn w:val="945"/>
    <w:pPr>
      <w:jc w:val="both"/>
    </w:pPr>
    <w:rPr>
      <w:sz w:val="24"/>
      <w:szCs w:val="24"/>
    </w:rPr>
  </w:style>
  <w:style w:type="paragraph" w:styleId="952">
    <w:name w:val="Body Text Indent"/>
    <w:basedOn w:val="945"/>
    <w:link w:val="976"/>
    <w:uiPriority w:val="99"/>
    <w:pPr>
      <w:ind w:left="283"/>
      <w:spacing w:after="120"/>
    </w:pPr>
  </w:style>
  <w:style w:type="paragraph" w:styleId="953">
    <w:name w:val="Body Text 2"/>
    <w:basedOn w:val="945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54">
    <w:name w:val="Body Text Indent 2"/>
    <w:basedOn w:val="945"/>
    <w:pPr>
      <w:ind w:firstLine="709"/>
      <w:jc w:val="both"/>
    </w:pPr>
    <w:rPr>
      <w:bCs/>
      <w:sz w:val="26"/>
      <w:szCs w:val="26"/>
    </w:rPr>
  </w:style>
  <w:style w:type="paragraph" w:styleId="955">
    <w:name w:val="Body Text Indent 3"/>
    <w:basedOn w:val="945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56" w:customStyle="1">
    <w:name w:val="Знак Знак2"/>
    <w:basedOn w:val="94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7" w:customStyle="1">
    <w:name w:val="Заголовок 2 Знак"/>
    <w:link w:val="947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5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59">
    <w:name w:val="Footer"/>
    <w:basedOn w:val="945"/>
    <w:link w:val="96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60" w:customStyle="1">
    <w:name w:val="Нижний колонтитул Знак"/>
    <w:link w:val="959"/>
    <w:uiPriority w:val="99"/>
    <w:rPr>
      <w:rFonts w:ascii="Arial" w:hAnsi="Arial" w:cs="Arial"/>
    </w:rPr>
  </w:style>
  <w:style w:type="character" w:styleId="961">
    <w:name w:val="page number"/>
    <w:uiPriority w:val="99"/>
  </w:style>
  <w:style w:type="paragraph" w:styleId="962">
    <w:name w:val="Header"/>
    <w:basedOn w:val="945"/>
    <w:link w:val="963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63" w:customStyle="1">
    <w:name w:val="Верхний колонтитул Знак"/>
    <w:link w:val="962"/>
    <w:uiPriority w:val="99"/>
    <w:rPr>
      <w:rFonts w:ascii="Arial" w:hAnsi="Arial" w:cs="Arial"/>
    </w:rPr>
  </w:style>
  <w:style w:type="paragraph" w:styleId="964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65">
    <w:name w:val="Table Grid"/>
    <w:basedOn w:val="949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6">
    <w:name w:val="Balloon Text"/>
    <w:basedOn w:val="945"/>
    <w:link w:val="967"/>
    <w:uiPriority w:val="99"/>
    <w:rPr>
      <w:rFonts w:ascii="Arial" w:hAnsi="Arial" w:cs="Arial"/>
      <w:sz w:val="16"/>
      <w:szCs w:val="16"/>
    </w:rPr>
  </w:style>
  <w:style w:type="character" w:styleId="967" w:customStyle="1">
    <w:name w:val="Текст выноски Знак"/>
    <w:link w:val="966"/>
    <w:uiPriority w:val="99"/>
    <w:rPr>
      <w:rFonts w:ascii="Arial" w:hAnsi="Arial" w:cs="Arial"/>
      <w:sz w:val="16"/>
      <w:szCs w:val="16"/>
    </w:rPr>
  </w:style>
  <w:style w:type="paragraph" w:styleId="968">
    <w:name w:val="List Paragraph"/>
    <w:basedOn w:val="945"/>
    <w:link w:val="969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69" w:customStyle="1">
    <w:name w:val="Абзац списка Знак"/>
    <w:link w:val="968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70" w:customStyle="1">
    <w:name w:val="Абзац списка1"/>
    <w:basedOn w:val="945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71">
    <w:name w:val="Hyperlink"/>
    <w:rPr>
      <w:color w:val="0000ff"/>
      <w:u w:val="single"/>
    </w:rPr>
  </w:style>
  <w:style w:type="paragraph" w:styleId="972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73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74">
    <w:name w:val="Body Text 3"/>
    <w:basedOn w:val="945"/>
    <w:link w:val="975"/>
    <w:uiPriority w:val="99"/>
    <w:pPr>
      <w:spacing w:after="120"/>
    </w:pPr>
    <w:rPr>
      <w:sz w:val="16"/>
      <w:szCs w:val="16"/>
    </w:rPr>
  </w:style>
  <w:style w:type="character" w:styleId="975" w:customStyle="1">
    <w:name w:val="Основной текст 3 Знак"/>
    <w:basedOn w:val="948"/>
    <w:link w:val="974"/>
    <w:uiPriority w:val="99"/>
    <w:rPr>
      <w:sz w:val="16"/>
      <w:szCs w:val="16"/>
    </w:rPr>
  </w:style>
  <w:style w:type="character" w:styleId="976" w:customStyle="1">
    <w:name w:val="Основной текст с отступом Знак"/>
    <w:link w:val="952"/>
    <w:uiPriority w:val="99"/>
  </w:style>
  <w:style w:type="paragraph" w:styleId="977">
    <w:name w:val="Title"/>
    <w:basedOn w:val="945"/>
    <w:link w:val="978"/>
    <w:uiPriority w:val="99"/>
    <w:qFormat/>
    <w:pPr>
      <w:jc w:val="center"/>
    </w:pPr>
    <w:rPr>
      <w:caps/>
      <w:sz w:val="24"/>
      <w:szCs w:val="24"/>
    </w:rPr>
  </w:style>
  <w:style w:type="character" w:styleId="978" w:customStyle="1">
    <w:name w:val="Название Знак"/>
    <w:basedOn w:val="948"/>
    <w:link w:val="977"/>
    <w:uiPriority w:val="99"/>
    <w:rPr>
      <w:caps/>
      <w:sz w:val="24"/>
      <w:szCs w:val="24"/>
    </w:rPr>
  </w:style>
  <w:style w:type="paragraph" w:styleId="979" w:customStyle="1">
    <w:name w:val="Знак1"/>
    <w:basedOn w:val="945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80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81" w:customStyle="1">
    <w:name w:val="Знак Знак Знак Знак Знак Знак Знак Знак Знак Знак"/>
    <w:basedOn w:val="94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82">
    <w:name w:val="Emphasis"/>
    <w:qFormat/>
    <w:rPr>
      <w:i/>
      <w:iCs/>
    </w:rPr>
  </w:style>
  <w:style w:type="table" w:styleId="983" w:customStyle="1">
    <w:name w:val="Сетка таблицы1"/>
    <w:basedOn w:val="949"/>
    <w:next w:val="965"/>
    <w:uiPriority w:val="99"/>
    <w:rPr>
      <w:rFonts w:ascii="Calibri" w:hAnsi="Calibri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B5C39-4AE5-4318-80A6-601142D2F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15</cp:revision>
  <dcterms:created xsi:type="dcterms:W3CDTF">2024-10-31T08:15:00Z</dcterms:created>
  <dcterms:modified xsi:type="dcterms:W3CDTF">2024-11-08T08:11:38Z</dcterms:modified>
</cp:coreProperties>
</file>