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  <w:lang w:val="en-US"/>
        </w:rPr>
        <w:t xml:space="preserve"> 08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11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1753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bCs/>
          <w:iCs/>
          <w:color w:val="auto"/>
        </w:rPr>
      </w:pPr>
      <w:r>
        <w:rPr>
          <w:b/>
          <w:bCs/>
          <w:iCs/>
          <w:color w:val="auto"/>
        </w:rPr>
        <w:t xml:space="preserve">О прогноз</w:t>
      </w:r>
      <w:r>
        <w:rPr>
          <w:b/>
          <w:bCs/>
          <w:iCs/>
          <w:color w:val="auto"/>
        </w:rPr>
        <w:t xml:space="preserve">е</w:t>
      </w:r>
      <w:r>
        <w:rPr>
          <w:b/>
          <w:bCs/>
          <w:iCs/>
          <w:color w:val="auto"/>
        </w:rPr>
        <w:t xml:space="preserve"> социально-экономического развития </w:t>
      </w:r>
      <w:r>
        <w:rPr>
          <w:b/>
          <w:bCs/>
          <w:iCs/>
          <w:color w:val="auto"/>
        </w:rPr>
        <w:t xml:space="preserve">Печенгского</w:t>
      </w:r>
      <w:r>
        <w:rPr>
          <w:b/>
          <w:bCs/>
          <w:iCs/>
          <w:color w:val="auto"/>
        </w:rPr>
        <w:t xml:space="preserve"> муниципального округа </w:t>
      </w:r>
      <w:r>
        <w:rPr>
          <w:b/>
          <w:bCs/>
          <w:iCs/>
          <w:color w:val="auto"/>
        </w:rPr>
      </w:r>
      <w:r>
        <w:rPr>
          <w:b/>
          <w:bCs/>
          <w:iCs/>
          <w:color w:val="auto"/>
        </w:rPr>
      </w:r>
    </w:p>
    <w:p>
      <w:pPr>
        <w:jc w:val="center"/>
        <w:widowControl w:val="off"/>
        <w:rPr>
          <w:b/>
          <w:bCs/>
          <w:iCs/>
          <w:color w:val="auto"/>
        </w:rPr>
      </w:pPr>
      <w:r>
        <w:rPr>
          <w:b/>
          <w:bCs/>
          <w:iCs/>
          <w:color w:val="auto"/>
        </w:rPr>
        <w:t xml:space="preserve">на 202</w:t>
      </w:r>
      <w:r>
        <w:rPr>
          <w:b/>
          <w:bCs/>
          <w:iCs/>
          <w:color w:val="auto"/>
        </w:rPr>
        <w:t xml:space="preserve">5</w:t>
      </w:r>
      <w:r>
        <w:rPr>
          <w:b/>
          <w:bCs/>
          <w:iCs/>
          <w:color w:val="auto"/>
        </w:rPr>
        <w:t xml:space="preserve"> год и на плановый период 202</w:t>
      </w:r>
      <w:r>
        <w:rPr>
          <w:b/>
          <w:bCs/>
          <w:iCs/>
          <w:color w:val="auto"/>
        </w:rPr>
        <w:t xml:space="preserve">6</w:t>
      </w:r>
      <w:r>
        <w:rPr>
          <w:b/>
          <w:bCs/>
          <w:iCs/>
          <w:color w:val="auto"/>
        </w:rPr>
        <w:t xml:space="preserve"> и 202</w:t>
      </w:r>
      <w:r>
        <w:rPr>
          <w:b/>
          <w:bCs/>
          <w:iCs/>
          <w:color w:val="auto"/>
        </w:rPr>
        <w:t xml:space="preserve">7</w:t>
      </w:r>
      <w:r>
        <w:rPr>
          <w:b/>
          <w:bCs/>
          <w:iCs/>
          <w:color w:val="auto"/>
        </w:rPr>
        <w:t xml:space="preserve"> годов</w:t>
      </w:r>
      <w:r>
        <w:rPr>
          <w:b/>
          <w:bCs/>
          <w:iCs/>
          <w:color w:val="auto"/>
        </w:rPr>
      </w:r>
      <w:r>
        <w:rPr>
          <w:b/>
          <w:bCs/>
          <w:iCs/>
          <w:color w:val="auto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соответствии со статьей 173 Бюджетного кодекса Российской Федерации, постановление</w:t>
      </w:r>
      <w:r>
        <w:rPr>
          <w:color w:val="auto"/>
          <w:sz w:val="24"/>
          <w:szCs w:val="24"/>
        </w:rPr>
        <w:t xml:space="preserve">м</w:t>
      </w:r>
      <w:r>
        <w:rPr>
          <w:color w:val="auto"/>
          <w:sz w:val="24"/>
          <w:szCs w:val="24"/>
        </w:rPr>
        <w:t xml:space="preserve"> Правительства </w:t>
      </w:r>
      <w:r>
        <w:rPr>
          <w:color w:val="auto"/>
          <w:sz w:val="24"/>
          <w:szCs w:val="24"/>
        </w:rPr>
        <w:t xml:space="preserve">Мурман</w:t>
      </w:r>
      <w:r>
        <w:rPr>
          <w:color w:val="auto"/>
          <w:sz w:val="24"/>
          <w:szCs w:val="24"/>
        </w:rPr>
        <w:t xml:space="preserve">ской области от 04.08.2015 № 331-ПП «О порядке разработки, корректировки, осуществления мониторинга и контроля реализации прогнозов социально-экономического развития Мурманской области на среднесрочный и долгосрочный периоды», постановлением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 29.07.2021 </w:t>
      </w:r>
      <w:r>
        <w:rPr>
          <w:color w:val="auto"/>
          <w:sz w:val="24"/>
          <w:szCs w:val="24"/>
        </w:rPr>
        <w:t xml:space="preserve">№ 794 </w:t>
      </w:r>
      <w:r>
        <w:rPr>
          <w:color w:val="auto"/>
          <w:sz w:val="24"/>
          <w:szCs w:val="24"/>
        </w:rPr>
        <w:t xml:space="preserve">«Об утверждении Порядка разработки прогноза социально-экономического развития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на среднесрочный период»,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02"/>
        <w:numPr>
          <w:ilvl w:val="0"/>
          <w:numId w:val="1"/>
        </w:numPr>
        <w:ind w:left="0" w:firstLine="709"/>
        <w:jc w:val="both"/>
        <w:widowControl w:val="off"/>
        <w:tabs>
          <w:tab w:val="left" w:pos="851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Одобрить прогноз социально-экономического развития </w:t>
      </w:r>
      <w:r>
        <w:rPr>
          <w:color w:val="auto"/>
          <w:sz w:val="24"/>
          <w:szCs w:val="24"/>
        </w:rPr>
        <w:t xml:space="preserve">Печенгск</w:t>
      </w:r>
      <w:r>
        <w:rPr>
          <w:color w:val="auto"/>
          <w:sz w:val="24"/>
          <w:szCs w:val="24"/>
        </w:rPr>
        <w:t xml:space="preserve">ого</w:t>
      </w:r>
      <w:r>
        <w:rPr>
          <w:color w:val="auto"/>
          <w:sz w:val="24"/>
          <w:szCs w:val="24"/>
        </w:rPr>
        <w:t xml:space="preserve"> муниципальн</w:t>
      </w:r>
      <w:r>
        <w:rPr>
          <w:color w:val="auto"/>
          <w:sz w:val="24"/>
          <w:szCs w:val="24"/>
        </w:rPr>
        <w:t xml:space="preserve">ого</w:t>
      </w:r>
      <w:r>
        <w:rPr>
          <w:color w:val="auto"/>
          <w:sz w:val="24"/>
          <w:szCs w:val="24"/>
        </w:rPr>
        <w:t xml:space="preserve"> округ</w:t>
      </w:r>
      <w:r>
        <w:rPr>
          <w:color w:val="auto"/>
          <w:sz w:val="24"/>
          <w:szCs w:val="24"/>
        </w:rPr>
        <w:t xml:space="preserve">а </w:t>
      </w:r>
      <w:r>
        <w:rPr>
          <w:color w:val="auto"/>
          <w:sz w:val="24"/>
          <w:szCs w:val="24"/>
        </w:rPr>
        <w:t xml:space="preserve">на 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 и на плановый период 202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и 202</w:t>
      </w: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 годов</w:t>
      </w:r>
      <w:r>
        <w:rPr>
          <w:color w:val="auto"/>
          <w:sz w:val="24"/>
          <w:szCs w:val="24"/>
        </w:rPr>
        <w:t xml:space="preserve"> согласно приложению к настоящему постановлению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02"/>
        <w:numPr>
          <w:ilvl w:val="0"/>
          <w:numId w:val="1"/>
        </w:numPr>
        <w:ind w:left="0" w:firstLine="709"/>
        <w:jc w:val="both"/>
        <w:widowControl w:val="off"/>
        <w:tabs>
          <w:tab w:val="left" w:pos="851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вступает в силу </w:t>
      </w:r>
      <w:r>
        <w:rPr>
          <w:color w:val="auto"/>
          <w:sz w:val="24"/>
          <w:szCs w:val="24"/>
        </w:rPr>
        <w:t xml:space="preserve">после</w:t>
      </w:r>
      <w:r>
        <w:rPr>
          <w:color w:val="auto"/>
          <w:sz w:val="24"/>
          <w:szCs w:val="24"/>
        </w:rPr>
        <w:t xml:space="preserve"> его </w:t>
      </w:r>
      <w:r>
        <w:rPr>
          <w:color w:val="auto"/>
          <w:sz w:val="24"/>
          <w:szCs w:val="24"/>
        </w:rPr>
        <w:t xml:space="preserve">подписания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02"/>
        <w:numPr>
          <w:ilvl w:val="0"/>
          <w:numId w:val="1"/>
        </w:numPr>
        <w:ind w:left="0" w:firstLine="709"/>
        <w:jc w:val="both"/>
        <w:widowControl w:val="off"/>
        <w:tabs>
          <w:tab w:val="left" w:pos="851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разместить на официальном сайте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6"/>
          <w:szCs w:val="26"/>
        </w:rPr>
      </w:pPr>
      <w:r>
        <w:rPr>
          <w:color w:val="auto"/>
          <w:sz w:val="24"/>
          <w:szCs w:val="24"/>
        </w:rPr>
        <w:t xml:space="preserve">Глава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 xml:space="preserve"> А.В. Кузнецов</w:t>
      </w:r>
      <w:r>
        <w:rPr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  <w:t xml:space="preserve">Чупина</w:t>
      </w:r>
      <w:r>
        <w:rPr>
          <w:color w:val="auto"/>
        </w:rPr>
        <w:t xml:space="preserve"> Н.В.</w:t>
      </w:r>
      <w:r>
        <w:rPr>
          <w:color w:val="auto"/>
        </w:rPr>
        <w:t xml:space="preserve">.</w:t>
      </w:r>
      <w:r>
        <w:rPr>
          <w:color w:val="auto"/>
        </w:rPr>
        <w:t xml:space="preserve">, </w:t>
      </w:r>
      <w:r>
        <w:rPr>
          <w:color w:val="auto"/>
        </w:rPr>
        <w:t xml:space="preserve">(81554) </w:t>
      </w:r>
      <w:r>
        <w:rPr>
          <w:color w:val="auto"/>
        </w:rPr>
        <w:t xml:space="preserve">62041</w:t>
      </w:r>
      <w:r>
        <w:rPr>
          <w:color w:val="auto"/>
        </w:rPr>
      </w:r>
      <w:r>
        <w:rPr>
          <w:color w:val="auto"/>
        </w:rPr>
      </w:r>
    </w:p>
    <w:p>
      <w:pPr>
        <w:ind w:firstLine="5529"/>
        <w:spacing w:after="200" w:line="276" w:lineRule="auto"/>
        <w:rPr>
          <w:color w:val="auto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contextualSpacing/>
        <w:ind w:left="10632"/>
        <w:jc w:val="both"/>
        <w:spacing w:after="0" w:afterAutospacing="0" w:line="240" w:lineRule="auto"/>
        <w:rPr>
          <w:b/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contextualSpacing/>
        <w:ind w:left="10632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left="10632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</w:t>
      </w:r>
      <w:r>
        <w:rPr>
          <w:color w:val="auto"/>
          <w:sz w:val="24"/>
          <w:szCs w:val="24"/>
        </w:rPr>
        <w:t xml:space="preserve"> 08.11.2024</w:t>
      </w:r>
      <w:r>
        <w:rPr>
          <w:color w:val="auto"/>
          <w:sz w:val="24"/>
          <w:szCs w:val="24"/>
        </w:rPr>
        <w:t xml:space="preserve"> № 1753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 w:right="-1"/>
        <w:spacing w:after="0" w:afterAutospacing="0"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left="5529" w:right="-1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ПРОГНОЗ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социально-экономического развития </w:t>
      </w:r>
      <w:r>
        <w:rPr>
          <w:bCs/>
          <w:color w:val="auto"/>
          <w:sz w:val="24"/>
          <w:szCs w:val="24"/>
        </w:rPr>
        <w:t xml:space="preserve">Печенгского</w:t>
      </w:r>
      <w:r>
        <w:rPr>
          <w:bCs/>
          <w:color w:val="auto"/>
          <w:sz w:val="24"/>
          <w:szCs w:val="24"/>
        </w:rPr>
        <w:t xml:space="preserve"> муниципального округа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jc w:val="center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на 202</w:t>
      </w:r>
      <w:r>
        <w:rPr>
          <w:bCs/>
          <w:color w:val="auto"/>
          <w:sz w:val="24"/>
          <w:szCs w:val="24"/>
        </w:rPr>
        <w:t xml:space="preserve">5</w:t>
      </w:r>
      <w:r>
        <w:rPr>
          <w:bCs/>
          <w:color w:val="auto"/>
          <w:sz w:val="24"/>
          <w:szCs w:val="24"/>
        </w:rPr>
        <w:t xml:space="preserve"> год и на плановый период 202</w:t>
      </w:r>
      <w:r>
        <w:rPr>
          <w:bCs/>
          <w:color w:val="auto"/>
          <w:sz w:val="24"/>
          <w:szCs w:val="24"/>
        </w:rPr>
        <w:t xml:space="preserve">6</w:t>
      </w:r>
      <w:r>
        <w:rPr>
          <w:bCs/>
          <w:color w:val="auto"/>
          <w:sz w:val="24"/>
          <w:szCs w:val="24"/>
        </w:rPr>
        <w:t xml:space="preserve"> и 202</w:t>
      </w:r>
      <w:r>
        <w:rPr>
          <w:bCs/>
          <w:color w:val="auto"/>
          <w:sz w:val="24"/>
          <w:szCs w:val="24"/>
        </w:rPr>
        <w:t xml:space="preserve">7</w:t>
      </w:r>
      <w:r>
        <w:rPr>
          <w:bCs/>
          <w:color w:val="auto"/>
          <w:sz w:val="24"/>
          <w:szCs w:val="24"/>
        </w:rPr>
        <w:t xml:space="preserve"> годов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firstLine="600"/>
        <w:rPr>
          <w:color w:val="auto"/>
          <w:szCs w:val="28"/>
        </w:rPr>
      </w:pPr>
      <w:r>
        <w:rPr>
          <w:color w:val="auto"/>
          <w:szCs w:val="28"/>
        </w:rPr>
      </w:r>
      <w:r>
        <w:rPr>
          <w:color w:val="auto"/>
          <w:szCs w:val="28"/>
        </w:rPr>
      </w:r>
      <w:r>
        <w:rPr>
          <w:color w:val="auto"/>
          <w:szCs w:val="28"/>
        </w:rPr>
      </w:r>
    </w:p>
    <w:tbl>
      <w:tblPr>
        <w:tblpPr w:horzAnchor="text" w:tblpX="-105" w:vertAnchor="text" w:tblpY="1" w:leftFromText="180" w:topFromText="0" w:rightFromText="180" w:bottomFromText="0"/>
        <w:tblW w:w="1530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9"/>
        <w:gridCol w:w="1559"/>
        <w:gridCol w:w="1056"/>
        <w:gridCol w:w="1138"/>
        <w:gridCol w:w="1134"/>
        <w:gridCol w:w="1134"/>
        <w:gridCol w:w="1134"/>
        <w:gridCol w:w="1211"/>
        <w:gridCol w:w="1054"/>
        <w:gridCol w:w="1134"/>
        <w:gridCol w:w="1196"/>
      </w:tblGrid>
      <w:tr>
        <w:tblPrEx/>
        <w:trPr>
          <w:trHeight w:val="368"/>
          <w:tblHeader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измерения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 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6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94"/>
          <w:tblHeader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22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23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2025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33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 г.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3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</w:tr>
      <w:tr>
        <w:tblPrEx/>
        <w:trPr>
          <w:trHeight w:val="20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</w:tr>
      <w:tr>
        <w:tblPrEx/>
        <w:trPr>
          <w:trHeight w:val="2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1. Демографические показатели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 xml:space="preserve">2005</w:t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 xml:space="preserve">2006</w:t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bCs/>
                <w:sz w:val="22"/>
              </w:rPr>
            </w:pPr>
            <w:r>
              <w:rPr>
                <w:bCs/>
                <w:sz w:val="22"/>
              </w:rPr>
              <w:t xml:space="preserve">Численность населения (среднегодовая)</w:t>
            </w:r>
            <w:r>
              <w:rPr>
                <w:bCs/>
                <w:sz w:val="22"/>
              </w:rPr>
              <w:t xml:space="preserve"> – </w:t>
            </w:r>
            <w:r>
              <w:rPr>
                <w:bCs/>
                <w:sz w:val="22"/>
              </w:rPr>
              <w:t xml:space="preserve">всего</w:t>
            </w:r>
            <w:r>
              <w:rPr>
                <w:rFonts w:eastAsia="Arial Unicode MS"/>
                <w:bCs/>
                <w:sz w:val="22"/>
              </w:rPr>
            </w:r>
            <w:r>
              <w:rPr>
                <w:rFonts w:eastAsia="Arial Unicode MS"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тыс.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человек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31,163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30,112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29,176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28,277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28,286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27,411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27,443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26,578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26,646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 </w:t>
            </w: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</w:rPr>
              <w:t xml:space="preserve">в</w:t>
            </w:r>
            <w:r>
              <w:rPr>
                <w:bCs/>
              </w:rPr>
              <w:t xml:space="preserve"> % </w:t>
            </w:r>
            <w:r>
              <w:rPr>
                <w:bCs/>
              </w:rPr>
              <w:t xml:space="preserve">к</w:t>
            </w:r>
            <w:r>
              <w:rPr>
                <w:bCs/>
              </w:rPr>
              <w:t xml:space="preserve"> предыдущему году</w:t>
            </w:r>
            <w:r>
              <w:rPr>
                <w:rFonts w:eastAsia="Arial Unicode MS"/>
                <w:bCs/>
              </w:rPr>
            </w:r>
            <w:r>
              <w:rPr>
                <w:rFonts w:eastAsia="Arial Unicode MS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      в том числе: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   городского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тыс.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человек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26,177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25,374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24,604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23,870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23,878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23,163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23,192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22,484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22,545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в</w:t>
            </w:r>
            <w:r>
              <w:rPr>
                <w:bCs/>
              </w:rPr>
              <w:t xml:space="preserve"> % </w:t>
            </w:r>
            <w:r>
              <w:rPr>
                <w:bCs/>
              </w:rPr>
              <w:t xml:space="preserve">к</w:t>
            </w:r>
            <w:r>
              <w:rPr>
                <w:bCs/>
              </w:rPr>
              <w:t xml:space="preserve"> предыдущему году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   сельского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тыс.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человек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4,986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4,738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4,572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4,407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4,408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4,249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4,251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4,094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в</w:t>
            </w:r>
            <w:r>
              <w:rPr>
                <w:bCs/>
              </w:rPr>
              <w:t xml:space="preserve"> % </w:t>
            </w:r>
            <w:r>
              <w:rPr>
                <w:bCs/>
              </w:rPr>
              <w:t xml:space="preserve">к</w:t>
            </w:r>
            <w:r>
              <w:rPr>
                <w:bCs/>
              </w:rPr>
              <w:t xml:space="preserve"> предыдущему году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r>
              <w:rPr>
                <w:sz w:val="22"/>
              </w:rPr>
              <w:t xml:space="preserve">родившихся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чел</w:t>
            </w:r>
            <w:r>
              <w:t xml:space="preserve">овек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r>
              <w:rPr>
                <w:sz w:val="22"/>
              </w:rPr>
              <w:t xml:space="preserve">умерших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чел</w:t>
            </w:r>
            <w:r>
              <w:t xml:space="preserve">овек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Общий коэффициент рождаемости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человек на 1000 населения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none"/>
              </w:rPr>
            </w:pPr>
            <w:r>
              <w:rPr>
                <w:sz w:val="22"/>
              </w:rPr>
              <w:t xml:space="preserve">Общий коэффициент смертности</w:t>
            </w: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  <w:highlight w:val="none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highlight w:val="none"/>
              </w:rPr>
            </w:r>
            <w:r>
              <w:rPr>
                <w:sz w:val="22"/>
                <w:highlight w:val="none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человек на 1000 населения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top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top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top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top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измерения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6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66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22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23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</w:tr>
      <w:tr>
        <w:tblPrEx/>
        <w:trPr>
          <w:trHeight w:val="30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r>
              <w:rPr>
                <w:sz w:val="22"/>
              </w:rPr>
              <w:t xml:space="preserve">прибывших</w:t>
            </w:r>
            <w:r>
              <w:rPr>
                <w:bCs/>
                <w:sz w:val="22"/>
              </w:rPr>
              <w:t xml:space="preserve"> – </w:t>
            </w:r>
            <w:r>
              <w:rPr>
                <w:sz w:val="22"/>
              </w:rPr>
              <w:t xml:space="preserve">всего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чел</w:t>
            </w:r>
            <w:r>
              <w:t xml:space="preserve">овек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0,937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0,868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0,782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0,770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0,770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0,695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0,695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0,635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0,635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r>
              <w:rPr>
                <w:sz w:val="22"/>
              </w:rPr>
              <w:t xml:space="preserve">прибывших</w:t>
            </w:r>
            <w:r>
              <w:rPr>
                <w:sz w:val="22"/>
              </w:rPr>
              <w:t xml:space="preserve"> трудоспособного возраста</w:t>
            </w:r>
            <w:r>
              <w:rPr>
                <w:bCs/>
                <w:sz w:val="22"/>
              </w:rPr>
              <w:t xml:space="preserve"> – </w:t>
            </w:r>
            <w:r>
              <w:rPr>
                <w:sz w:val="22"/>
              </w:rPr>
              <w:t xml:space="preserve">всего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чел</w:t>
            </w:r>
            <w:r>
              <w:t xml:space="preserve">овек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0,686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0,649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0,581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0,516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0,516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r>
              <w:rPr>
                <w:sz w:val="22"/>
              </w:rPr>
              <w:t xml:space="preserve">выбывших</w:t>
            </w:r>
            <w:r>
              <w:rPr>
                <w:sz w:val="22"/>
              </w:rPr>
              <w:t xml:space="preserve"> </w:t>
            </w:r>
            <w:r>
              <w:rPr>
                <w:bCs/>
                <w:sz w:val="22"/>
              </w:rPr>
              <w:t xml:space="preserve">– </w:t>
            </w:r>
            <w:r>
              <w:rPr>
                <w:sz w:val="22"/>
              </w:rPr>
              <w:t xml:space="preserve">всего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чел</w:t>
            </w:r>
            <w:r>
              <w:t xml:space="preserve">овек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1,715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1,632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1,589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1,584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1,481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1,475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1,396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1,380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Число </w:t>
            </w:r>
            <w:r>
              <w:rPr>
                <w:sz w:val="22"/>
              </w:rPr>
              <w:t xml:space="preserve">выбывших</w:t>
            </w:r>
            <w:r>
              <w:rPr>
                <w:sz w:val="22"/>
              </w:rPr>
              <w:t xml:space="preserve"> трудоспособного возраста</w:t>
            </w:r>
            <w:r>
              <w:rPr>
                <w:bCs/>
                <w:sz w:val="22"/>
              </w:rPr>
              <w:t xml:space="preserve"> – </w:t>
            </w:r>
            <w:r>
              <w:rPr>
                <w:sz w:val="22"/>
              </w:rPr>
              <w:t xml:space="preserve">всего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чел</w:t>
            </w:r>
            <w:r>
              <w:t xml:space="preserve">овек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1,467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1,224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1,169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1,145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1,135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1,061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1,057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0,989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Коэффициент естественного прироста (убыли)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человек на 1000 населения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-1,4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-3,7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-1,8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Коэффициент миграционного прироста (убыли)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человек на 1000 населения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-35,3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-29,0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-28,8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-28,7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-28,4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-28,6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-28,0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b/>
                <w:bCs/>
                <w:sz w:val="22"/>
              </w:rPr>
            </w:pPr>
            <w:r>
              <w:rPr>
                <w:rFonts w:eastAsia="Arial Unicode MS"/>
                <w:b/>
                <w:bCs/>
                <w:sz w:val="22"/>
              </w:rPr>
              <w:t xml:space="preserve">2. Производство товаров и услуг</w:t>
            </w: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</w:rPr>
            </w:pPr>
            <w:r>
              <w:rPr>
                <w:rFonts w:eastAsia="Arial Unicode MS"/>
                <w:b/>
                <w:bCs/>
              </w:rPr>
            </w:r>
            <w:r>
              <w:rPr>
                <w:rFonts w:eastAsia="Arial Unicode MS"/>
                <w:b/>
                <w:bCs/>
              </w:rPr>
            </w:r>
            <w:r>
              <w:rPr>
                <w:rFonts w:eastAsia="Arial Unicode MS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sz w:val="22"/>
              </w:rPr>
            </w:pP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sz w:val="22"/>
              </w:rPr>
            </w:pP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sz w:val="22"/>
              </w:rPr>
            </w:pP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sz w:val="22"/>
              </w:rPr>
            </w:pP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sz w:val="22"/>
              </w:rPr>
            </w:pP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sz w:val="22"/>
              </w:rPr>
            </w:pP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sz w:val="22"/>
              </w:rPr>
            </w:pP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sz w:val="22"/>
              </w:rPr>
            </w:pP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sz w:val="22"/>
              </w:rPr>
            </w:pP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  <w:r>
              <w:rPr>
                <w:rFonts w:eastAsia="Arial Unicode MS"/>
                <w:b/>
                <w:bCs/>
                <w:sz w:val="22"/>
              </w:rPr>
            </w:r>
          </w:p>
        </w:tc>
      </w:tr>
      <w:tr>
        <w:tblPrEx/>
        <w:trPr>
          <w:trHeight w:val="23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 xml:space="preserve"> 2.1 Промышленное производство</w:t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 xml:space="preserve"> </w:t>
            </w:r>
            <w:r>
              <w:rPr>
                <w:sz w:val="22"/>
              </w:rPr>
              <w:t xml:space="preserve">Объем отгруженных товаров собственного производства, выполненных работ и услуг собственными силами, по видам деятельности, относящимся к промышленному производству по крупным и средним предприятиям</w:t>
            </w:r>
            <w:r>
              <w:rPr>
                <w:sz w:val="22"/>
              </w:rPr>
              <w:t xml:space="preserve"> </w:t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40 423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43</w:t>
            </w: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  <w:lang w:val="en-US"/>
              </w:rPr>
              <w:t xml:space="preserve">212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43 856,5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46 598,2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47 839,8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48 207,3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49 873,5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50 094,3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52 316,1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Темп роста промышленного производства 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t xml:space="preserve">в</w:t>
            </w:r>
            <w:r>
              <w:t xml:space="preserve"> % </w:t>
            </w:r>
            <w:r>
              <w:t xml:space="preserve">к</w:t>
            </w:r>
            <w:r>
              <w:t xml:space="preserve"> предыдущему году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textDirection w:val="lrTb"/>
            <w:noWrap w:val="false"/>
          </w:tcPr>
          <w:p>
            <w:pPr>
              <w:pStyle w:val="896"/>
              <w:spacing w:before="0" w:before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top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top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top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top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top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 xml:space="preserve">Раздел </w:t>
            </w:r>
            <w:r>
              <w:rPr>
                <w:rFonts w:eastAsia="Arial Unicode MS"/>
                <w:sz w:val="22"/>
                <w:lang w:val="en-US"/>
              </w:rPr>
              <w:t xml:space="preserve">B</w:t>
            </w:r>
            <w:r>
              <w:rPr>
                <w:rFonts w:eastAsia="Arial Unicode MS"/>
                <w:sz w:val="22"/>
              </w:rPr>
              <w:t xml:space="preserve">: Добыча полезных ископаемых*</w:t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32 407,2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36 231,3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36 267,5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39 057,3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39 999,3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40 424,3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41 759,3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42 041,3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43 847,3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Темп роста производства – Раздел </w:t>
            </w:r>
            <w:r>
              <w:rPr>
                <w:rFonts w:eastAsia="Arial Unicode MS"/>
                <w:sz w:val="20"/>
                <w:szCs w:val="20"/>
                <w:lang w:val="en-US"/>
              </w:rPr>
              <w:t xml:space="preserve">B</w:t>
            </w:r>
            <w:r>
              <w:rPr>
                <w:rFonts w:eastAsia="Arial Unicode MS"/>
                <w:sz w:val="20"/>
                <w:szCs w:val="20"/>
              </w:rPr>
              <w:t xml:space="preserve">: Добыча полезных ископаемых </w:t>
            </w:r>
            <w:r>
              <w:rPr>
                <w:rFonts w:eastAsia="Arial Unicode MS"/>
                <w:sz w:val="20"/>
                <w:szCs w:val="20"/>
              </w:rPr>
            </w:r>
            <w:r>
              <w:rPr>
                <w:rFonts w:eastAsia="Arial Unicode MS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</w:t>
            </w:r>
            <w:r>
              <w:rPr>
                <w:sz w:val="20"/>
                <w:szCs w:val="20"/>
              </w:rPr>
              <w:t xml:space="preserve"> % </w:t>
            </w: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 предыдущему году</w:t>
            </w:r>
            <w:r>
              <w:rPr>
                <w:rFonts w:eastAsia="Arial Unicode MS"/>
                <w:sz w:val="20"/>
                <w:szCs w:val="20"/>
              </w:rPr>
            </w:r>
            <w:r>
              <w:rPr>
                <w:rFonts w:eastAsia="Arial Unicode MS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Раздел </w:t>
            </w:r>
            <w:r>
              <w:rPr>
                <w:rFonts w:eastAsia="Arial Unicode MS"/>
                <w:sz w:val="20"/>
                <w:szCs w:val="20"/>
                <w:lang w:val="en-US"/>
              </w:rPr>
              <w:t xml:space="preserve">C</w:t>
            </w:r>
            <w:r>
              <w:rPr>
                <w:rFonts w:eastAsia="Arial Unicode MS"/>
                <w:sz w:val="20"/>
                <w:szCs w:val="20"/>
              </w:rPr>
              <w:t xml:space="preserve">: Обрабатывающие производства</w:t>
            </w:r>
            <w:r>
              <w:rPr>
                <w:rFonts w:eastAsia="Arial Unicode MS"/>
                <w:sz w:val="20"/>
                <w:szCs w:val="20"/>
              </w:rPr>
            </w:r>
            <w:r>
              <w:rPr>
                <w:rFonts w:eastAsia="Arial Unicode MS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</w:t>
            </w:r>
            <w:r>
              <w:rPr>
                <w:bCs/>
                <w:sz w:val="20"/>
                <w:szCs w:val="20"/>
              </w:rPr>
              <w:t xml:space="preserve">лн</w:t>
            </w:r>
            <w:r>
              <w:rPr>
                <w:bCs/>
                <w:sz w:val="20"/>
                <w:szCs w:val="20"/>
              </w:rPr>
              <w:t xml:space="preserve">. </w:t>
            </w:r>
            <w:r>
              <w:rPr>
                <w:bCs/>
                <w:sz w:val="20"/>
                <w:szCs w:val="20"/>
              </w:rPr>
              <w:t xml:space="preserve">рублей в ценах</w:t>
            </w:r>
            <w:r>
              <w:rPr>
                <w:bCs/>
                <w:sz w:val="20"/>
                <w:szCs w:val="20"/>
              </w:rPr>
              <w:t xml:space="preserve"> соответствующих лет</w:t>
            </w:r>
            <w:r>
              <w:rPr>
                <w:rFonts w:eastAsia="Arial Unicode MS"/>
                <w:sz w:val="20"/>
                <w:szCs w:val="20"/>
              </w:rPr>
            </w:r>
            <w:r>
              <w:rPr>
                <w:rFonts w:eastAsia="Arial Unicode MS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3 345,4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3 877,9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3 955,5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4 022,7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082,0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4 167,5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4 290,2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4 280,0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4 474,7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измерения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6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22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22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23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26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</w:tr>
      <w:tr>
        <w:tblPrEx/>
        <w:trPr>
          <w:trHeight w:val="6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</w:tr>
      <w:tr>
        <w:tblPrEx/>
        <w:trPr>
          <w:trHeight w:val="6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Темп роста производства – Раздел </w:t>
            </w:r>
            <w:r>
              <w:rPr>
                <w:sz w:val="22"/>
                <w:lang w:val="en-US"/>
              </w:rPr>
              <w:t xml:space="preserve">C</w:t>
            </w:r>
            <w:r>
              <w:rPr>
                <w:sz w:val="22"/>
              </w:rPr>
              <w:t xml:space="preserve">: Обрабатывающие производства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t xml:space="preserve">в</w:t>
            </w:r>
            <w:r>
              <w:t xml:space="preserve"> % </w:t>
            </w:r>
            <w:r>
              <w:t xml:space="preserve">к</w:t>
            </w:r>
            <w:r>
              <w:t xml:space="preserve"> предыдущему году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eastAsia="Arial Unicode MS"/>
                <w:sz w:val="22"/>
              </w:rPr>
              <w:t xml:space="preserve">Раздел </w:t>
            </w:r>
            <w:r>
              <w:rPr>
                <w:rFonts w:eastAsia="Arial Unicode MS"/>
                <w:sz w:val="22"/>
                <w:lang w:val="en-US"/>
              </w:rPr>
              <w:t xml:space="preserve">D</w:t>
            </w:r>
            <w:r>
              <w:rPr>
                <w:rFonts w:eastAsia="Arial Unicode MS"/>
                <w:sz w:val="22"/>
              </w:rPr>
              <w:t xml:space="preserve">: Обеспечение электрической энергией, газом и паром; кондиционирование воздуха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3 842,8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2 832,9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3 379,2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3 263,9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3 503,7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3 361,2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3 568,7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3 518,7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3 738,3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Темп роста производства – </w:t>
            </w:r>
            <w:r>
              <w:rPr>
                <w:rFonts w:eastAsia="Arial Unicode MS"/>
                <w:sz w:val="22"/>
              </w:rPr>
              <w:t xml:space="preserve">Раздел </w:t>
            </w:r>
            <w:r>
              <w:rPr>
                <w:rFonts w:eastAsia="Arial Unicode MS"/>
                <w:sz w:val="22"/>
                <w:lang w:val="en-US"/>
              </w:rPr>
              <w:t xml:space="preserve">D</w:t>
            </w:r>
            <w:r>
              <w:rPr>
                <w:rFonts w:eastAsia="Arial Unicode MS"/>
                <w:sz w:val="22"/>
              </w:rPr>
              <w:t xml:space="preserve">: Обеспечение электрической энергией, газом и паром; кондиционирование воздуха 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в</w:t>
            </w:r>
            <w:r>
              <w:t xml:space="preserve"> % </w:t>
            </w:r>
            <w:r>
              <w:t xml:space="preserve">к</w:t>
            </w:r>
            <w:r>
              <w:t xml:space="preserve"> предыдущему году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eastAsia="Arial Unicode MS"/>
                <w:sz w:val="22"/>
              </w:rPr>
              <w:t xml:space="preserve">Раздел </w:t>
            </w:r>
            <w:r>
              <w:rPr>
                <w:rFonts w:eastAsia="Arial Unicode MS"/>
                <w:sz w:val="22"/>
                <w:lang w:val="en-US"/>
              </w:rPr>
              <w:t xml:space="preserve">E</w:t>
            </w:r>
            <w:r>
              <w:rPr>
                <w:rFonts w:eastAsia="Arial Unicode MS"/>
                <w:sz w:val="22"/>
              </w:rPr>
              <w:t xml:space="preserve">: Водоснабжение; водоотведение, организация сбора и утилизации отходов, деятельность по ликвидации загрязнений*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827,6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269,9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254,8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255,3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255,8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Темп роста производства – </w:t>
            </w:r>
            <w:r>
              <w:rPr>
                <w:rFonts w:eastAsia="Arial Unicode MS"/>
                <w:sz w:val="22"/>
              </w:rPr>
              <w:t xml:space="preserve">Раздел </w:t>
            </w:r>
            <w:r>
              <w:rPr>
                <w:rFonts w:eastAsia="Arial Unicode MS"/>
                <w:sz w:val="22"/>
                <w:lang w:val="en-US"/>
              </w:rPr>
              <w:t xml:space="preserve">E</w:t>
            </w:r>
            <w:r>
              <w:rPr>
                <w:rFonts w:eastAsia="Arial Unicode MS"/>
                <w:sz w:val="22"/>
              </w:rPr>
              <w:t xml:space="preserve">: Водоснабжение; водоотведение, организация сбора и утилизации отходов, деятельность по ликвидации загрязнений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в</w:t>
            </w:r>
            <w:r>
              <w:t xml:space="preserve"> % </w:t>
            </w:r>
            <w:r>
              <w:t xml:space="preserve">к</w:t>
            </w:r>
            <w:r>
              <w:t xml:space="preserve"> предыдущему году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3. Рынок товаров и услуг</w: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Оборот розничной торговли</w:t>
            </w:r>
            <w:r>
              <w:rPr>
                <w:sz w:val="22"/>
              </w:rPr>
              <w:t xml:space="preserve">**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4 742,1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5 445,6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6 018,2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6 192,6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6 259,5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6 313,9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6 489,1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6 432,2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6 700,6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Индекс физического объема оборота розничной торговли 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в</w:t>
            </w:r>
            <w:r>
              <w:t xml:space="preserve"> % </w:t>
            </w:r>
            <w:r>
              <w:t xml:space="preserve">к</w:t>
            </w:r>
            <w:r>
              <w:t xml:space="preserve"> предыдущему году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108,6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Оборот розничной торговли</w:t>
            </w:r>
            <w:r>
              <w:rPr>
                <w:sz w:val="22"/>
              </w:rPr>
              <w:t xml:space="preserve"> без субъектов малого </w:t>
            </w:r>
            <w:r>
              <w:rPr>
                <w:sz w:val="22"/>
              </w:rPr>
              <w:t xml:space="preserve">п</w:t>
            </w:r>
            <w:r>
              <w:rPr>
                <w:sz w:val="22"/>
              </w:rPr>
              <w:t xml:space="preserve">редпринимательства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4 486,5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5 234,0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5 790,4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5 954,1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6 022,0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6 065,4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6 241,5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6 173,5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6 442,9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Оборот общественного питания**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1 253,3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1 253,9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1 386,7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1 473,0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1 484,7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1 533,5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1 551,3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1 567,3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1 594,0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измерения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6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64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22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23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26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</w:tr>
      <w:tr>
        <w:tblPrEx/>
        <w:trPr>
          <w:trHeight w:val="6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Индекс физического объема оборота общественного питания 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в</w:t>
            </w:r>
            <w:r>
              <w:t xml:space="preserve"> % </w:t>
            </w:r>
            <w:r>
              <w:t xml:space="preserve">к</w:t>
            </w:r>
            <w:r>
              <w:t xml:space="preserve"> предыдущему году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Количество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объектов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розничной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торговли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шт.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sz w:val="22"/>
                <w:szCs w:val="22"/>
              </w:rPr>
              <w:t xml:space="preserve">261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sz w:val="22"/>
                <w:szCs w:val="22"/>
              </w:rPr>
              <w:t xml:space="preserve">261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sz w:val="22"/>
                <w:szCs w:val="22"/>
              </w:rPr>
              <w:t xml:space="preserve">261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sz w:val="22"/>
                <w:szCs w:val="22"/>
              </w:rPr>
              <w:t xml:space="preserve">261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sz w:val="22"/>
                <w:szCs w:val="22"/>
              </w:rPr>
              <w:t xml:space="preserve">261</w:t>
            </w:r>
            <w:r/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Количество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объектов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о</w:t>
            </w:r>
            <w:r>
              <w:rPr>
                <w:rFonts w:hint="eastAsia"/>
                <w:sz w:val="22"/>
              </w:rPr>
              <w:t xml:space="preserve">бщественного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питания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шт.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Количество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объектов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бытового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обслуживания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населения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 xml:space="preserve">оказывающих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услуги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шт.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sz w:val="22"/>
                <w:szCs w:val="22"/>
              </w:rPr>
              <w:t xml:space="preserve">112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sz w:val="22"/>
                <w:szCs w:val="22"/>
              </w:rPr>
              <w:t xml:space="preserve">112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sz w:val="22"/>
                <w:szCs w:val="22"/>
              </w:rPr>
              <w:t xml:space="preserve">112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sz w:val="22"/>
                <w:szCs w:val="22"/>
              </w:rPr>
              <w:t xml:space="preserve">112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sz w:val="22"/>
                <w:szCs w:val="22"/>
              </w:rPr>
              <w:t xml:space="preserve">112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rPr>
                <w:sz w:val="22"/>
                <w:szCs w:val="22"/>
              </w:rPr>
              <w:t xml:space="preserve">112</w:t>
            </w:r>
            <w:r/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Объем платных услуг населению **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</w:t>
            </w:r>
            <w:r>
              <w:rPr>
                <w:bCs/>
              </w:rPr>
              <w:t xml:space="preserve"> рублей в ценах соответствующих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1 455,1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1 556,1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1 693,4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1 775,5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1 794,5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1 820,2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1 861,0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1 915,9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Индекс физического объема платных услуг населению 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% к предыдущему году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Площадь торгового зала объектов розничной торговли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кв</w:t>
            </w:r>
            <w:r>
              <w:t xml:space="preserve">.м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21 795,6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21 882,1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21 895,0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21 895,0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21 895,0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21 895,0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21 895,0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21 895,0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21 895,0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Обеспеченность населения торговыми площадями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кв. м на тыс. человек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699,4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774,1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798,8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797,8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823,8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821,7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Число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коллективных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средств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размещения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4. Малое и среднее предпринимательство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Количество малых предприятий – всего по состоянию на конец года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единиц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  <w:szCs w:val="16"/>
              </w:rPr>
            </w:pPr>
            <w:r>
              <w:rPr>
                <w:sz w:val="22"/>
                <w:szCs w:val="16"/>
              </w:rPr>
              <w:t xml:space="preserve">Среднесписочная численность работников (без внешних совместителей) по малым предприятиям</w:t>
            </w:r>
            <w:r>
              <w:rPr>
                <w:bCs/>
                <w:sz w:val="22"/>
              </w:rPr>
              <w:t xml:space="preserve"> – </w:t>
            </w:r>
            <w:r>
              <w:rPr>
                <w:sz w:val="22"/>
                <w:szCs w:val="16"/>
              </w:rPr>
              <w:t xml:space="preserve">всего***</w:t>
            </w:r>
            <w:r>
              <w:rPr>
                <w:rFonts w:eastAsia="Arial Unicode MS"/>
                <w:sz w:val="22"/>
                <w:szCs w:val="16"/>
              </w:rPr>
            </w:r>
            <w:r>
              <w:rPr>
                <w:rFonts w:eastAsia="Arial Unicode MS"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t xml:space="preserve">человек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 xml:space="preserve">Численность индивидуальных предпринимателей</w:t>
            </w:r>
            <w:r>
              <w:rPr>
                <w:rStyle w:val="928"/>
                <w:sz w:val="22"/>
                <w:szCs w:val="16"/>
              </w:rPr>
              <w:endnoteReference w:id="2"/>
            </w:r>
            <w:r>
              <w:rPr>
                <w:bCs/>
                <w:sz w:val="22"/>
              </w:rPr>
              <w:t xml:space="preserve"> – </w:t>
            </w:r>
            <w:r>
              <w:rPr>
                <w:sz w:val="22"/>
                <w:szCs w:val="16"/>
              </w:rPr>
              <w:t xml:space="preserve">по состоянию на конец года</w:t>
            </w:r>
            <w:r>
              <w:rPr>
                <w:sz w:val="22"/>
                <w:szCs w:val="16"/>
              </w:rPr>
            </w:r>
            <w:r>
              <w:rPr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человек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измерения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63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sz w:val="22"/>
                <w:szCs w:val="22"/>
              </w:rPr>
              <w:t xml:space="preserve">Прогноз</w:t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</w:tr>
      <w:tr>
        <w:tblPrEx/>
        <w:trPr>
          <w:trHeight w:val="706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22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23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26 г.</w:t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 г.</w:t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</w:tr>
      <w:tr>
        <w:tblPrEx/>
        <w:trPr>
          <w:trHeight w:val="67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</w:tr>
      <w:tr>
        <w:tblPrEx/>
        <w:trPr>
          <w:trHeight w:val="6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  <w:szCs w:val="16"/>
              </w:rPr>
            </w:pPr>
            <w:r>
              <w:rPr>
                <w:sz w:val="22"/>
              </w:rPr>
              <w:t xml:space="preserve">Количество средних предприятий – всего</w:t>
            </w:r>
            <w:r>
              <w:rPr>
                <w:sz w:val="22"/>
                <w:szCs w:val="16"/>
              </w:rPr>
            </w:r>
            <w:r>
              <w:rPr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единиц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  <w:szCs w:val="16"/>
              </w:rPr>
            </w:pPr>
            <w:r>
              <w:rPr>
                <w:sz w:val="22"/>
                <w:szCs w:val="16"/>
              </w:rPr>
              <w:t xml:space="preserve">Среднесписочная численность работников (без внешних совместителей) по средним предприятиям</w:t>
            </w:r>
            <w:r>
              <w:rPr>
                <w:bCs/>
                <w:sz w:val="22"/>
              </w:rPr>
              <w:t xml:space="preserve"> – </w:t>
            </w:r>
            <w:r>
              <w:rPr>
                <w:sz w:val="22"/>
                <w:szCs w:val="16"/>
              </w:rPr>
              <w:t xml:space="preserve">всего</w:t>
            </w:r>
            <w:r>
              <w:rPr>
                <w:rFonts w:eastAsia="Arial Unicode MS"/>
                <w:sz w:val="22"/>
                <w:szCs w:val="16"/>
              </w:rPr>
            </w:r>
            <w:r>
              <w:rPr>
                <w:rFonts w:eastAsia="Arial Unicode MS"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t xml:space="preserve">человек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16"/>
              </w:rPr>
            </w:pPr>
            <w:r>
              <w:rPr>
                <w:b/>
                <w:bCs/>
                <w:sz w:val="22"/>
                <w:szCs w:val="16"/>
              </w:rPr>
              <w:t xml:space="preserve">5. Инвестиции и строительство</w:t>
            </w:r>
            <w:r>
              <w:rPr>
                <w:b/>
                <w:bCs/>
                <w:sz w:val="22"/>
                <w:szCs w:val="16"/>
              </w:rPr>
            </w:r>
            <w:r>
              <w:rPr>
                <w:b/>
                <w:bCs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Объем инвестиций в основной капитал (за исключением бюджетных средств) </w:t>
            </w:r>
            <w:r>
              <w:rPr>
                <w:bCs/>
                <w:sz w:val="22"/>
              </w:rPr>
              <w:t xml:space="preserve">**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млн. рублей в ценах соответствующих лет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6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233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360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9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695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6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658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6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873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9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382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9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728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7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137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662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  <w:lang w:val="en-US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bCs/>
                <w:sz w:val="22"/>
              </w:rPr>
            </w:pPr>
            <w:r>
              <w:rPr>
                <w:bCs/>
                <w:sz w:val="22"/>
              </w:rPr>
              <w:t xml:space="preserve">Объем инвестиций (в основной капитал) за счет всех источников финансирования</w:t>
            </w:r>
            <w:r>
              <w:rPr>
                <w:bCs/>
                <w:sz w:val="22"/>
              </w:rPr>
              <w:t xml:space="preserve"> – </w:t>
            </w:r>
            <w:r>
              <w:rPr>
                <w:bCs/>
                <w:sz w:val="22"/>
              </w:rPr>
              <w:t xml:space="preserve">всего</w:t>
            </w:r>
            <w:r>
              <w:rPr>
                <w:bCs/>
                <w:sz w:val="22"/>
              </w:rPr>
              <w:t xml:space="preserve">**</w:t>
            </w:r>
            <w:r>
              <w:rPr>
                <w:rFonts w:eastAsia="Arial Unicode MS"/>
                <w:bCs/>
                <w:sz w:val="22"/>
              </w:rPr>
            </w:r>
            <w:r>
              <w:rPr>
                <w:rFonts w:eastAsia="Arial Unicode MS"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>
              <w:rPr>
                <w:rFonts w:eastAsia="Arial Unicode MS"/>
                <w:bCs/>
              </w:rPr>
            </w:r>
            <w:r>
              <w:rPr>
                <w:rFonts w:eastAsia="Arial Unicode MS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386,6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599,0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013,1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492,5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707,3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070,9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417,2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137,1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662,9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bCs/>
                <w:sz w:val="22"/>
              </w:rPr>
            </w:pPr>
            <w:r>
              <w:rPr>
                <w:bCs/>
                <w:sz w:val="22"/>
              </w:rPr>
              <w:t xml:space="preserve">Объем инвестиций (в основной капитал) за счет субъектов малого и среднего предпринимательства</w:t>
            </w:r>
            <w:r>
              <w:rPr>
                <w:bCs/>
                <w:sz w:val="22"/>
              </w:rPr>
              <w:t xml:space="preserve"> – </w:t>
            </w:r>
            <w:r>
              <w:rPr>
                <w:bCs/>
                <w:sz w:val="22"/>
              </w:rPr>
              <w:t xml:space="preserve">всего</w:t>
            </w:r>
            <w:r>
              <w:rPr>
                <w:bCs/>
                <w:sz w:val="22"/>
              </w:rPr>
              <w:t xml:space="preserve">**</w:t>
            </w:r>
            <w:r>
              <w:rPr>
                <w:rFonts w:eastAsia="Arial Unicode MS"/>
                <w:bCs/>
                <w:sz w:val="22"/>
              </w:rPr>
            </w:r>
            <w:r>
              <w:rPr>
                <w:rFonts w:eastAsia="Arial Unicode MS"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222,4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961,7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955,1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139,3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Объем инвестиций, осуществляемые организациями, находящимися на территории муниципального образования без субъектов малого предпринимательства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>
              <w:rPr>
                <w:bCs/>
                <w:color w:val="ff0000"/>
              </w:rPr>
            </w:r>
            <w:r>
              <w:rPr>
                <w:bCs/>
                <w:color w:val="ff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6 199,6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7 574,3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13 967,7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7 270,2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7 533,0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9 109,3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9 462,1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9 982,1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10 523,6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 xml:space="preserve">Индекс физического объема </w:t>
            </w:r>
            <w:r>
              <w:rPr>
                <w:bCs/>
                <w:sz w:val="22"/>
              </w:rPr>
              <w:t xml:space="preserve">за счет всех источников финансирования</w:t>
            </w:r>
            <w:r>
              <w:rPr>
                <w:bCs/>
                <w:sz w:val="22"/>
              </w:rPr>
              <w:t xml:space="preserve"> – </w:t>
            </w:r>
            <w:r>
              <w:rPr>
                <w:bCs/>
                <w:sz w:val="22"/>
              </w:rPr>
              <w:t xml:space="preserve">всего</w:t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t xml:space="preserve">% к предыдущему году в сопоставимых ценах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128,3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 xml:space="preserve">Индекс-дефлятор</w:t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t xml:space="preserve">% к предыдущему году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108,4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 xml:space="preserve">Инвестиции в основной капитал по источникам финансирования:</w:t>
            </w:r>
            <w:r>
              <w:rPr>
                <w:sz w:val="22"/>
              </w:rPr>
              <w:t xml:space="preserve">**</w:t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измерения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sz w:val="22"/>
                <w:szCs w:val="22"/>
              </w:rPr>
              <w:t xml:space="preserve">Оценка</w:t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Прогноз</w:t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22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23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sz w:val="22"/>
                <w:szCs w:val="22"/>
              </w:rPr>
              <w:t xml:space="preserve">2025 г.</w:t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26 г.</w:t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 г.</w:t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</w:tr>
      <w:tr>
        <w:tblPrEx/>
        <w:trPr>
          <w:trHeight w:val="6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</w:tr>
      <w:tr>
        <w:tblPrEx/>
        <w:trPr>
          <w:trHeight w:val="5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собственные средства предприятий</w:t>
            </w:r>
            <w:r>
              <w:rPr>
                <w:sz w:val="22"/>
              </w:rPr>
              <w:t xml:space="preserve">**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6 181,1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 342,0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  <w:t xml:space="preserve"> 608,5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6 088,0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6 302,7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9 169,8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9 516,0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10 137,1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10 662,9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привлеченные средства</w:t>
            </w:r>
            <w:r>
              <w:rPr>
                <w:sz w:val="22"/>
              </w:rPr>
              <w:t xml:space="preserve">**</w:t>
            </w:r>
            <w:r>
              <w:rPr>
                <w:sz w:val="22"/>
              </w:rPr>
              <w:t xml:space="preserve">: из них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205,5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1 404,5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1 404,5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901,2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901,2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бюджетные средства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bCs/>
              </w:rPr>
              <w:t xml:space="preserve">м</w:t>
            </w:r>
            <w:r>
              <w:rPr>
                <w:bCs/>
              </w:rPr>
              <w:t xml:space="preserve">лн</w:t>
            </w:r>
            <w:r>
              <w:rPr>
                <w:bCs/>
              </w:rPr>
              <w:t xml:space="preserve">. </w:t>
            </w:r>
            <w:r>
              <w:rPr>
                <w:bCs/>
              </w:rPr>
              <w:t xml:space="preserve">рублей в ценах соответствующих лет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834,2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834,2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688,5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688,5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Индекс физического объема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t xml:space="preserve">в</w:t>
            </w:r>
            <w:r>
              <w:t xml:space="preserve"> % </w:t>
            </w:r>
            <w:r>
              <w:t xml:space="preserve">к</w:t>
            </w:r>
            <w:r>
              <w:t xml:space="preserve"> предыдущему году в сопоставимых ценах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142,1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123,3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249,0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из них: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 xml:space="preserve">средства федерального бюджета</w:t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млн. рублей в ценах соответствующих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369,9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369,9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406,2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406,2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 xml:space="preserve">средства бюджета субъекта Федерации</w:t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млн. рублей в ценах соответствующих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273,1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462,9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462,9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282,2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282,2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 xml:space="preserve">средства муниципального бюджета</w:t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млн. рублей в ценах соответствующих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pStyle w:val="919"/>
              <w:tabs>
                <w:tab w:val="clear" w:pos="4677" w:leader="none"/>
                <w:tab w:val="clear" w:pos="9355" w:leader="none"/>
              </w:tabs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6. Сальдированный финансовый результат (прибыль, убыток) деятельности крупных и средних предприятий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млн. рублей в ценах соответствующих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5 126,9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3 254,3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3 446,3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3 597,9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3 584,2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3 741,9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3 727,5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3 891,5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3 876,6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46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pStyle w:val="919"/>
              <w:tabs>
                <w:tab w:val="clear" w:pos="4677" w:leader="none"/>
                <w:tab w:val="clear" w:pos="9355" w:leader="none"/>
              </w:tabs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7. Труд и занятость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ff0000"/>
                <w:sz w:val="22"/>
              </w:rPr>
            </w:pP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ff0000"/>
                <w:sz w:val="22"/>
              </w:rPr>
            </w:pP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ff0000"/>
                <w:sz w:val="22"/>
              </w:rPr>
            </w:pP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ff0000"/>
                <w:sz w:val="22"/>
              </w:rPr>
            </w:pP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ff0000"/>
                <w:sz w:val="22"/>
              </w:rPr>
            </w:pP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ff0000"/>
                <w:sz w:val="22"/>
              </w:rPr>
            </w:pP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ff0000"/>
                <w:sz w:val="22"/>
              </w:rPr>
            </w:pP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ff0000"/>
                <w:sz w:val="22"/>
              </w:rPr>
            </w:pP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ff0000"/>
                <w:sz w:val="22"/>
              </w:rPr>
            </w:pP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  <w:r>
              <w:rPr>
                <w:b/>
                <w:bCs/>
                <w:color w:val="ff0000"/>
                <w:sz w:val="22"/>
              </w:rPr>
            </w:r>
          </w:p>
        </w:tc>
      </w:tr>
      <w:tr>
        <w:tblPrEx/>
        <w:trPr>
          <w:trHeight w:val="35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измерения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16"/>
              </w:rPr>
            </w:pPr>
            <w:r>
              <w:rPr>
                <w:sz w:val="22"/>
                <w:szCs w:val="22"/>
              </w:rPr>
              <w:t xml:space="preserve">Отчет</w:t>
            </w:r>
            <w:r>
              <w:rPr>
                <w:color w:val="ff0000"/>
                <w:sz w:val="22"/>
                <w:szCs w:val="16"/>
              </w:rPr>
            </w:r>
            <w:r>
              <w:rPr>
                <w:color w:val="ff0000"/>
                <w:sz w:val="22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Оценка</w:t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63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Прогноз</w:t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</w:tr>
      <w:tr>
        <w:tblPrEx/>
        <w:trPr>
          <w:trHeight w:val="358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22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23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2025 г.</w:t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26 г.</w:t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 г.</w:t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</w:tr>
      <w:tr>
        <w:tblPrEx/>
        <w:trPr>
          <w:trHeight w:val="358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</w:tr>
      <w:tr>
        <w:tblPrEx/>
        <w:trPr>
          <w:trHeight w:val="35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</w:tr>
      <w:tr>
        <w:tblPrEx/>
        <w:trPr>
          <w:trHeight w:val="3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pStyle w:val="919"/>
              <w:tabs>
                <w:tab w:val="clear" w:pos="4677" w:leader="none"/>
                <w:tab w:val="clear" w:pos="9355" w:leader="none"/>
              </w:tabs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Численность населения в трудоспособном возрасте 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тыс.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человек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19,754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19,110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18,632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18,052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18,057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17,493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17,505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16,956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16,976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bCs/>
                <w:sz w:val="22"/>
              </w:rPr>
            </w:pPr>
            <w:r>
              <w:rPr>
                <w:bCs/>
                <w:sz w:val="22"/>
              </w:rPr>
              <w:t xml:space="preserve">Численность безработных, зарегистрированных в службах занятости, в среднем за год</w:t>
            </w:r>
            <w:r>
              <w:rPr>
                <w:rFonts w:eastAsia="Arial Unicode MS"/>
                <w:bCs/>
                <w:sz w:val="22"/>
              </w:rPr>
            </w:r>
            <w:r>
              <w:rPr>
                <w:rFonts w:eastAsia="Arial Unicode MS"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</w:rPr>
              <w:t xml:space="preserve">тыс.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человек</w:t>
            </w:r>
            <w:r>
              <w:rPr>
                <w:rFonts w:eastAsia="Arial Unicode MS"/>
                <w:bCs/>
              </w:rPr>
            </w:r>
            <w:r>
              <w:rPr>
                <w:rFonts w:eastAsia="Arial Unicode MS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0,216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0,102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Уровень зарегистрированной безработицы (к трудоспособному населению)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%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sz w:val="22"/>
              </w:rPr>
              <w:t xml:space="preserve">Среднесписочная численность работников организаций (без субъектов малого предпринимательства)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</w:t>
            </w:r>
            <w:r>
              <w:t xml:space="preserve"> </w:t>
            </w:r>
            <w:r>
              <w:t xml:space="preserve">человек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10,175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10,042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9,438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9,156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9,159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8,942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8,948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8,754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8,764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sz w:val="22"/>
              </w:rPr>
              <w:t xml:space="preserve">Среднемесячная начисленная заработная плата работник</w:t>
            </w:r>
            <w:r>
              <w:rPr>
                <w:sz w:val="22"/>
              </w:rPr>
              <w:t xml:space="preserve">ов </w:t>
            </w:r>
            <w:r>
              <w:rPr>
                <w:sz w:val="22"/>
              </w:rPr>
              <w:t xml:space="preserve">организаций (без субъектов малого предпринимательства)</w:t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t xml:space="preserve">рублей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91 005,6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95 351,3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106 900,0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114 200,0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121 400,0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123 400,0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128 400,0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132 300,0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9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8. Развитие социальной сферы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</w:rPr>
            </w:pPr>
            <w:r>
              <w:rPr>
                <w:rFonts w:eastAsia="Arial Unicode MS"/>
                <w:b/>
                <w:bCs/>
              </w:rPr>
            </w:r>
            <w:r>
              <w:rPr>
                <w:rFonts w:eastAsia="Arial Unicode MS"/>
                <w:b/>
                <w:bCs/>
              </w:rPr>
            </w:r>
            <w:r>
              <w:rPr>
                <w:rFonts w:eastAsia="Arial Unicode MS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  <w:color w:val="ff0000"/>
                <w:sz w:val="22"/>
              </w:rPr>
            </w:pP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  <w:r>
              <w:rPr>
                <w:rFonts w:eastAsia="Arial Unicode MS"/>
                <w:b/>
                <w:bCs/>
                <w:color w:val="ff0000"/>
                <w:sz w:val="22"/>
              </w:rPr>
            </w:r>
          </w:p>
        </w:tc>
      </w:tr>
      <w:tr>
        <w:tblPrEx/>
        <w:trPr>
          <w:trHeight w:val="6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</w:rPr>
            </w:pPr>
            <w:r>
              <w:rPr>
                <w:bCs/>
                <w:sz w:val="22"/>
              </w:rPr>
              <w:t xml:space="preserve">Численность детей в дошкольных</w:t>
            </w:r>
            <w:r>
              <w:rPr>
                <w:sz w:val="22"/>
              </w:rPr>
              <w:t xml:space="preserve"> </w:t>
            </w:r>
            <w:r>
              <w:rPr>
                <w:bCs/>
                <w:sz w:val="22"/>
              </w:rPr>
              <w:t xml:space="preserve">образовательных учреждениях</w:t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человек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1 848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bCs/>
                <w:sz w:val="22"/>
              </w:rPr>
            </w:pPr>
            <w:r>
              <w:rPr>
                <w:bCs/>
                <w:sz w:val="22"/>
              </w:rPr>
              <w:t xml:space="preserve">Численность учащихся в учреждениях:</w:t>
            </w:r>
            <w:r>
              <w:rPr>
                <w:rFonts w:eastAsia="Arial Unicode MS"/>
                <w:bCs/>
                <w:sz w:val="22"/>
              </w:rPr>
            </w:r>
            <w:r>
              <w:rPr>
                <w:rFonts w:eastAsia="Arial Unicode MS"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</w:tr>
      <w:tr>
        <w:tblPrEx/>
        <w:trPr>
          <w:trHeight w:val="3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общеобразовательных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</w:rPr>
            </w:pPr>
            <w:r>
              <w:rPr>
                <w:rFonts w:eastAsia="Arial Unicode MS"/>
              </w:rPr>
              <w:t xml:space="preserve">человек</w:t>
            </w:r>
            <w:r>
              <w:rPr>
                <w:rFonts w:eastAsia="Arial Unicode MS"/>
                <w:b/>
                <w:bCs/>
              </w:rPr>
            </w:r>
            <w:r>
              <w:rPr>
                <w:rFonts w:eastAsia="Arial Unicode MS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4 198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4 153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4 061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4 064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4 052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4 042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среднего профессионального образования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человек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 xml:space="preserve">высшего профессионального образования</w:t>
            </w:r>
            <w:r>
              <w:rPr>
                <w:rFonts w:eastAsia="Arial Unicode MS"/>
                <w:sz w:val="22"/>
              </w:rPr>
            </w:r>
            <w:r>
              <w:rPr>
                <w:rFonts w:eastAsia="Arial Unicode MS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</w:rPr>
            </w:pPr>
            <w:r>
              <w:rPr>
                <w:rFonts w:eastAsia="Arial Unicode MS"/>
              </w:rPr>
              <w:t xml:space="preserve">человек</w:t>
            </w:r>
            <w:r>
              <w:rPr>
                <w:rFonts w:eastAsia="Arial Unicode MS"/>
                <w:b/>
                <w:bCs/>
              </w:rPr>
            </w:r>
            <w:r>
              <w:rPr>
                <w:rFonts w:eastAsia="Arial Unicode MS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3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Обеспеченность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</w:tr>
      <w:tr>
        <w:tblPrEx/>
        <w:trPr>
          <w:trHeight w:val="5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общедоступными библиотеками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учреждений </w:t>
            </w:r>
            <w:r>
              <w:t xml:space="preserve">на</w:t>
            </w:r>
            <w:r/>
          </w:p>
          <w:p>
            <w:pPr>
              <w:jc w:val="center"/>
            </w:pPr>
            <w:r>
              <w:t xml:space="preserve">100 тыс.</w:t>
            </w:r>
            <w:r>
              <w:t xml:space="preserve"> </w:t>
            </w:r>
            <w:r>
              <w:t xml:space="preserve">населения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измерения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Отчет</w:t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Оценка</w:t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6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22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23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2025 г.</w:t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26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</w:tr>
      <w:tr>
        <w:tblPrEx/>
        <w:trPr>
          <w:trHeight w:val="6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учреждениями культурно-досугового типа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учреждений </w:t>
            </w:r>
            <w:r>
              <w:t xml:space="preserve">на</w:t>
            </w:r>
            <w:r/>
          </w:p>
          <w:p>
            <w:pPr>
              <w:jc w:val="center"/>
              <w:rPr>
                <w:rFonts w:eastAsia="Arial Unicode MS"/>
                <w:b/>
                <w:bCs/>
              </w:rPr>
            </w:pPr>
            <w:r>
              <w:t xml:space="preserve">100 тыс.</w:t>
            </w:r>
            <w:r>
              <w:t xml:space="preserve"> </w:t>
            </w:r>
            <w:r>
              <w:t xml:space="preserve">населения</w:t>
            </w:r>
            <w:r>
              <w:rPr>
                <w:rFonts w:eastAsia="Arial Unicode MS"/>
                <w:b/>
                <w:bCs/>
              </w:rPr>
            </w:r>
            <w:r>
              <w:rPr>
                <w:rFonts w:eastAsia="Arial Unicode MS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дошкольными образовательными учреждениями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Arial Unicode MS"/>
                <w:b/>
                <w:bCs/>
              </w:rPr>
            </w:pPr>
            <w:r>
              <w:t xml:space="preserve">мест на 100 детей дошкольного возраста</w:t>
            </w:r>
            <w:r>
              <w:rPr>
                <w:rFonts w:eastAsia="Arial Unicode MS"/>
                <w:b/>
                <w:bCs/>
              </w:rPr>
            </w:r>
            <w:r>
              <w:rPr>
                <w:rFonts w:eastAsia="Arial Unicode MS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128,9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136,9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8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bCs/>
                <w:sz w:val="22"/>
              </w:rPr>
            </w:pPr>
            <w:r>
              <w:rPr>
                <w:sz w:val="22"/>
                <w:szCs w:val="24"/>
              </w:rPr>
              <w:t xml:space="preserve">Доля обучающихся в государственных (муниципальных) общеобразовательных организациях, занимающихся в одну смену, в общей </w:t>
            </w:r>
            <w:r>
              <w:rPr>
                <w:sz w:val="22"/>
                <w:szCs w:val="24"/>
              </w:rPr>
              <w:t xml:space="preserve">численности</w:t>
            </w:r>
            <w:r>
              <w:rPr>
                <w:sz w:val="22"/>
                <w:szCs w:val="24"/>
              </w:rPr>
              <w:t xml:space="preserve"> обучающихся в государственных (муниципальных) общеобразовательных организациях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%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Доля населения, систематически занимающегося физической культурой и спортом, в общей численности населения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%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Ввод в эксплуатацию жилых домов за счет всех источников финансирования</w:t>
            </w: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</w:t>
            </w:r>
            <w:r>
              <w:t xml:space="preserve"> </w:t>
            </w:r>
            <w:r>
              <w:t xml:space="preserve">кв.</w:t>
            </w:r>
            <w:r>
              <w:t xml:space="preserve"> </w:t>
            </w:r>
            <w:r>
              <w:t xml:space="preserve">м общей площади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0,406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1,109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3,97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3,97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pStyle w:val="919"/>
              <w:tabs>
                <w:tab w:val="clear" w:pos="4677" w:leader="none"/>
                <w:tab w:val="clear" w:pos="9355" w:leader="none"/>
              </w:tabs>
              <w:rPr>
                <w:sz w:val="22"/>
              </w:rPr>
            </w:pPr>
            <w:r>
              <w:rPr>
                <w:sz w:val="22"/>
              </w:rPr>
              <w:t xml:space="preserve">Количество выданных разрешений на строительство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шт.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8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pStyle w:val="919"/>
              <w:tabs>
                <w:tab w:val="left" w:pos="708" w:leader="none"/>
              </w:tabs>
              <w:rPr>
                <w:sz w:val="22"/>
              </w:rPr>
            </w:pPr>
            <w:r>
              <w:rPr>
                <w:sz w:val="22"/>
              </w:rPr>
              <w:t xml:space="preserve">Количество выданных разрешений на ввод объектов </w:t>
            </w:r>
            <w:r>
              <w:rPr>
                <w:sz w:val="22"/>
              </w:rPr>
              <w:t xml:space="preserve">в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pStyle w:val="919"/>
              <w:tabs>
                <w:tab w:val="clear" w:pos="4677" w:leader="none"/>
                <w:tab w:val="clear" w:pos="9355" w:leader="none"/>
              </w:tabs>
              <w:rPr>
                <w:sz w:val="22"/>
              </w:rPr>
            </w:pPr>
            <w:r>
              <w:rPr>
                <w:sz w:val="22"/>
              </w:rPr>
              <w:t xml:space="preserve">эксплуатацию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шт.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pStyle w:val="919"/>
              <w:tabs>
                <w:tab w:val="clear" w:pos="4677" w:leader="none"/>
                <w:tab w:val="clear" w:pos="9355" w:leader="none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Площадь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земельных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участков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 xml:space="preserve">предоставленных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для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pStyle w:val="919"/>
              <w:tabs>
                <w:tab w:val="clear" w:pos="4677" w:leader="none"/>
                <w:tab w:val="clear" w:pos="9355" w:leader="none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жилищного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строительства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 xml:space="preserve">индивидуального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pStyle w:val="919"/>
              <w:tabs>
                <w:tab w:val="clear" w:pos="4677" w:leader="none"/>
                <w:tab w:val="clear" w:pos="9355" w:leader="none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жилищного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строительства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и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комплексного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освоения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в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pStyle w:val="919"/>
              <w:tabs>
                <w:tab w:val="clear" w:pos="4677" w:leader="none"/>
                <w:tab w:val="clear" w:pos="9355" w:leader="none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целях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жилищного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строительства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расчете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на</w:t>
            </w:r>
            <w:r>
              <w:rPr>
                <w:sz w:val="22"/>
              </w:rPr>
              <w:t xml:space="preserve"> 10 </w:t>
            </w:r>
            <w:r>
              <w:rPr>
                <w:rFonts w:hint="eastAsia"/>
                <w:sz w:val="22"/>
              </w:rPr>
              <w:t xml:space="preserve">тысяч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pStyle w:val="919"/>
              <w:tabs>
                <w:tab w:val="clear" w:pos="4677" w:leader="none"/>
                <w:tab w:val="clear" w:pos="9355" w:leader="none"/>
              </w:tabs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человек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населения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га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измерения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Arial Unicode MS"/>
                <w:color w:val="ff0000"/>
                <w:sz w:val="22"/>
              </w:rPr>
            </w:pPr>
            <w:r>
              <w:rPr>
                <w:sz w:val="22"/>
                <w:szCs w:val="22"/>
              </w:rPr>
              <w:t xml:space="preserve">Отчет</w:t>
            </w:r>
            <w:r>
              <w:rPr>
                <w:rFonts w:eastAsia="Arial Unicode MS"/>
                <w:color w:val="ff0000"/>
                <w:sz w:val="22"/>
              </w:rPr>
            </w:r>
            <w:r>
              <w:rPr>
                <w:rFonts w:eastAsia="Arial Unicode MS"/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6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848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22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23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26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2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</w:tr>
      <w:tr>
        <w:tblPrEx/>
        <w:trPr>
          <w:trHeight w:val="232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</w:tr>
      <w:tr>
        <w:tblPrEx/>
        <w:trPr>
          <w:trHeight w:val="13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Введено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действие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индивидуальных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жилых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домов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на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территории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муниципального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образования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 xml:space="preserve">кв</w:t>
            </w:r>
            <w:r>
              <w:rPr>
                <w:sz w:val="22"/>
              </w:rPr>
              <w:t xml:space="preserve">.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м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общей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rPr>
                <w:bCs/>
                <w:sz w:val="22"/>
                <w:lang w:val="en-US"/>
              </w:rPr>
            </w:pPr>
            <w:r>
              <w:rPr>
                <w:rFonts w:hint="eastAsia"/>
                <w:sz w:val="22"/>
              </w:rPr>
              <w:t xml:space="preserve">площади</w:t>
            </w:r>
            <w:r>
              <w:rPr>
                <w:bCs/>
                <w:sz w:val="22"/>
                <w:lang w:val="en-US"/>
              </w:rPr>
            </w:r>
            <w:r>
              <w:rPr>
                <w:bCs/>
                <w:sz w:val="22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кв. 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Средняя обеспеченность населения площадью жилых квартир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кв.</w:t>
            </w:r>
            <w:r>
              <w:t xml:space="preserve"> </w:t>
            </w:r>
            <w:r>
              <w:t xml:space="preserve">м на человека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9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Общая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площадь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жилых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помещений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кв. 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797,9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783,6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782,9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783,1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783,1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783,2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787,2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787,2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Площадь аварийного фонда </w:t>
            </w:r>
            <w:r>
              <w:rPr>
                <w:sz w:val="22"/>
              </w:rPr>
              <w:t xml:space="preserve">в</w:t>
            </w:r>
            <w:r>
              <w:rPr>
                <w:sz w:val="22"/>
              </w:rPr>
              <w:t xml:space="preserve"> % к общей площади жилого фонда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%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4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Доля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населения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 xml:space="preserve">проживающего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населенных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пунктах</w:t>
            </w:r>
            <w:r>
              <w:rPr>
                <w:sz w:val="22"/>
              </w:rPr>
              <w:t xml:space="preserve">,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не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имеющих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регулярного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автобусного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  <w:t xml:space="preserve">(</w:t>
            </w:r>
            <w:r>
              <w:rPr>
                <w:rFonts w:hint="eastAsia"/>
                <w:sz w:val="22"/>
              </w:rPr>
              <w:t xml:space="preserve">железнодорожного</w:t>
            </w:r>
            <w:r>
              <w:rPr>
                <w:sz w:val="22"/>
              </w:rPr>
              <w:t xml:space="preserve">) </w:t>
            </w:r>
            <w:r>
              <w:rPr>
                <w:rFonts w:hint="eastAsia"/>
                <w:sz w:val="22"/>
              </w:rPr>
              <w:t xml:space="preserve">сообщения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с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административным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центром</w:t>
            </w:r>
            <w:r>
              <w:rPr>
                <w:sz w:val="22"/>
              </w:rPr>
              <w:t xml:space="preserve"> муниципал</w:t>
            </w:r>
            <w:r>
              <w:rPr>
                <w:sz w:val="22"/>
              </w:rPr>
              <w:t xml:space="preserve">.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о</w:t>
            </w:r>
            <w:r>
              <w:rPr>
                <w:rFonts w:hint="eastAsia"/>
                <w:sz w:val="22"/>
              </w:rPr>
              <w:t xml:space="preserve">круга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 xml:space="preserve">в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общей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численности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населения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муниципального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округа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%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9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Протяженность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автодорог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общего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пользования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местного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значения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км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0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из</w:t>
            </w:r>
            <w:r>
              <w:rPr>
                <w:sz w:val="22"/>
              </w:rPr>
              <w:t xml:space="preserve"> них: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 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 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 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 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 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 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 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 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 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/>
        <w:trPr>
          <w:trHeight w:val="45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с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твердым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покрытием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км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2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с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усовершенствованным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покрытием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км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0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Фактический уровень платежей населения за жилье и коммунальные услуги</w:t>
            </w: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%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измерения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6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w:t xml:space="preserve">Прогноз</w:t>
            </w:r>
            <w:r/>
          </w:p>
        </w:tc>
      </w:tr>
      <w:tr>
        <w:tblPrEx/>
        <w:trPr>
          <w:trHeight w:val="422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22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23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26 г.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 г.</w:t>
            </w:r>
            <w:r/>
          </w:p>
        </w:tc>
      </w:tr>
      <w:tr>
        <w:tblPrEx/>
        <w:trPr>
          <w:trHeight w:val="232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</w:tr>
      <w:tr>
        <w:tblPrEx/>
        <w:trPr>
          <w:trHeight w:val="232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pStyle w:val="896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9. Доходы бюджета</w:t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</w:tr>
      <w:tr>
        <w:tblPrEx/>
        <w:trPr>
          <w:trHeight w:val="11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Объём собственных доходов бюджета муниципального образования от налоговых и неналоговых поступлений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рублей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1 074 441,8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1 138 030,2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1 176 805,5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1 154 212,9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1 154 207,3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1 161 257,5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1 161 251,7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1 167 453,0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1 167 447,0</w:t>
            </w:r>
            <w:r/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</w:tr>
      <w:tr>
        <w:tblPrEx/>
        <w:trPr>
          <w:trHeight w:val="19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Налог на доходы физических лиц с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рублей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</w:t>
            </w:r>
            <w:r>
              <w:t xml:space="preserve"> </w:t>
            </w:r>
            <w:r>
              <w:t xml:space="preserve">722,8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2</w:t>
            </w:r>
            <w:r>
              <w:t xml:space="preserve"> </w:t>
            </w:r>
            <w:r>
              <w:t xml:space="preserve">705,4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3</w:t>
            </w:r>
            <w:r>
              <w:t xml:space="preserve"> </w:t>
            </w:r>
            <w:r>
              <w:t xml:space="preserve">282,0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4</w:t>
            </w:r>
            <w:r>
              <w:t xml:space="preserve"> </w:t>
            </w:r>
            <w:r>
              <w:t xml:space="preserve">004,0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4</w:t>
            </w:r>
            <w:r>
              <w:t xml:space="preserve"> </w:t>
            </w:r>
            <w:r>
              <w:t xml:space="preserve">004,0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4</w:t>
            </w:r>
            <w:r>
              <w:t xml:space="preserve"> </w:t>
            </w:r>
            <w:r>
              <w:t xml:space="preserve">004,0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4</w:t>
            </w:r>
            <w:r>
              <w:t xml:space="preserve"> </w:t>
            </w:r>
            <w:r>
              <w:t xml:space="preserve">004,0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4</w:t>
            </w:r>
            <w:r>
              <w:t xml:space="preserve"> </w:t>
            </w:r>
            <w:r>
              <w:t xml:space="preserve">004,0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4</w:t>
            </w:r>
            <w:r>
              <w:t xml:space="preserve"> </w:t>
            </w:r>
            <w:r>
              <w:t xml:space="preserve">004,0</w:t>
            </w:r>
            <w:r/>
          </w:p>
        </w:tc>
      </w:tr>
      <w:tr>
        <w:tblPrEx/>
        <w:trPr>
          <w:trHeight w:val="137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рублей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156</w:t>
            </w:r>
            <w:r>
              <w:t xml:space="preserve"> </w:t>
            </w:r>
            <w:r>
              <w:t xml:space="preserve">011,5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161</w:t>
            </w:r>
            <w:r>
              <w:t xml:space="preserve"> </w:t>
            </w:r>
            <w:r>
              <w:t xml:space="preserve">203,7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162</w:t>
            </w:r>
            <w:r>
              <w:t xml:space="preserve"> </w:t>
            </w:r>
            <w:r>
              <w:t xml:space="preserve">052,5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163</w:t>
            </w:r>
            <w:r>
              <w:t xml:space="preserve"> </w:t>
            </w:r>
            <w:r>
              <w:t xml:space="preserve">604,4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163</w:t>
            </w:r>
            <w:r>
              <w:t xml:space="preserve"> </w:t>
            </w:r>
            <w:r>
              <w:t xml:space="preserve">604,4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163</w:t>
            </w:r>
            <w:r>
              <w:t xml:space="preserve"> </w:t>
            </w:r>
            <w:r>
              <w:t xml:space="preserve">604,4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163</w:t>
            </w:r>
            <w:r>
              <w:t xml:space="preserve"> </w:t>
            </w:r>
            <w:r>
              <w:t xml:space="preserve">604,4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163</w:t>
            </w:r>
            <w:r>
              <w:t xml:space="preserve"> </w:t>
            </w:r>
            <w:r>
              <w:t xml:space="preserve">604,4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163</w:t>
            </w:r>
            <w:r>
              <w:t xml:space="preserve"> </w:t>
            </w:r>
            <w:r>
              <w:t xml:space="preserve">604,4</w:t>
            </w:r>
            <w:r/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земельные участки, а также средства от продажи права на заключение договоров аренды указанных земельных участков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рублей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135 082,9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137 529,6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143 924,8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147 111,2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147 111,2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147 111,2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147 111,2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147 111,2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147 111,2</w:t>
            </w:r>
            <w:r/>
          </w:p>
        </w:tc>
      </w:tr>
      <w:tr>
        <w:tblPrEx/>
        <w:trPr>
          <w:trHeight w:val="3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сдачи в аренду имущества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рублей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20</w:t>
            </w:r>
            <w:r>
              <w:t xml:space="preserve"> </w:t>
            </w:r>
            <w:r>
              <w:t xml:space="preserve">928,6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23</w:t>
            </w:r>
            <w:r>
              <w:t xml:space="preserve"> </w:t>
            </w:r>
            <w:r>
              <w:t xml:space="preserve">674,2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18</w:t>
            </w:r>
            <w:r>
              <w:t xml:space="preserve"> </w:t>
            </w:r>
            <w:r>
              <w:t xml:space="preserve">127,7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</w:t>
            </w:r>
            <w:r>
              <w:t xml:space="preserve"> </w:t>
            </w:r>
            <w:r>
              <w:t xml:space="preserve">493,2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</w:t>
            </w:r>
            <w:r>
              <w:t xml:space="preserve"> </w:t>
            </w:r>
            <w:r>
              <w:t xml:space="preserve">493,2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</w:t>
            </w:r>
            <w:r>
              <w:t xml:space="preserve"> </w:t>
            </w:r>
            <w:r>
              <w:t xml:space="preserve">493,2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</w:t>
            </w:r>
            <w:r>
              <w:t xml:space="preserve"> </w:t>
            </w:r>
            <w:r>
              <w:t xml:space="preserve">493,2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</w:t>
            </w:r>
            <w:r>
              <w:t xml:space="preserve"> </w:t>
            </w:r>
            <w:r>
              <w:t xml:space="preserve">493,2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</w:t>
            </w:r>
            <w:r>
              <w:t xml:space="preserve"> </w:t>
            </w:r>
            <w:r>
              <w:t xml:space="preserve">493,2</w:t>
            </w:r>
            <w:r/>
          </w:p>
        </w:tc>
      </w:tr>
      <w:tr>
        <w:tblPrEx/>
        <w:trPr>
          <w:trHeight w:val="4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Налоги на совокупный доход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  <w:r>
              <w:rPr>
                <w:color w:val="ff0000"/>
                <w:sz w:val="22"/>
              </w:rPr>
            </w:r>
          </w:p>
        </w:tc>
      </w:tr>
      <w:tr>
        <w:tblPrEx/>
        <w:trPr>
          <w:trHeight w:val="97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налог, взимаемый в связи с применением упрощенной системы налогообложения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рублей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116</w:t>
            </w:r>
            <w:r>
              <w:t xml:space="preserve"> </w:t>
            </w:r>
            <w:r>
              <w:t xml:space="preserve">993,5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126</w:t>
            </w:r>
            <w:r>
              <w:t xml:space="preserve"> </w:t>
            </w:r>
            <w:r>
              <w:t xml:space="preserve">330,5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150</w:t>
            </w:r>
            <w:r>
              <w:t xml:space="preserve"> </w:t>
            </w:r>
            <w:r>
              <w:t xml:space="preserve">434,8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156</w:t>
            </w:r>
            <w:r>
              <w:t xml:space="preserve"> </w:t>
            </w:r>
            <w:r>
              <w:t xml:space="preserve">452,2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156</w:t>
            </w:r>
            <w:r>
              <w:t xml:space="preserve"> </w:t>
            </w:r>
            <w:r>
              <w:t xml:space="preserve">452,2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162</w:t>
            </w:r>
            <w:r>
              <w:t xml:space="preserve"> </w:t>
            </w:r>
            <w:r>
              <w:t xml:space="preserve">710,3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162</w:t>
            </w:r>
            <w:r>
              <w:t xml:space="preserve"> </w:t>
            </w:r>
            <w:r>
              <w:t xml:space="preserve">710,1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169</w:t>
            </w:r>
            <w:r>
              <w:t xml:space="preserve"> </w:t>
            </w:r>
            <w:r>
              <w:t xml:space="preserve">218,7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169</w:t>
            </w:r>
            <w:r>
              <w:t xml:space="preserve"> </w:t>
            </w:r>
            <w:r>
              <w:t xml:space="preserve">218,7</w:t>
            </w:r>
            <w:r/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измерения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w:t xml:space="preserve">Оценка</w:t>
            </w:r>
            <w:r/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6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w:t xml:space="preserve">Прогноз</w:t>
            </w:r>
            <w:r/>
          </w:p>
        </w:tc>
      </w:tr>
      <w:tr>
        <w:tblPrEx/>
        <w:trPr>
          <w:trHeight w:val="232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22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23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26 г.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27 г.</w:t>
            </w:r>
            <w:r/>
          </w:p>
        </w:tc>
      </w:tr>
      <w:tr>
        <w:tblPrEx/>
        <w:trPr>
          <w:trHeight w:val="232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Консерва-тивный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Базовый</w:t>
            </w:r>
            <w:r/>
          </w:p>
        </w:tc>
      </w:tr>
      <w:tr>
        <w:tblPrEx/>
        <w:trPr>
          <w:trHeight w:val="232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  <w:r>
              <w:rPr>
                <w:rFonts w:ascii="Arial" w:hAnsi="Arial" w:cs="Arial"/>
                <w:color w:val="ffffff"/>
                <w:sz w:val="18"/>
                <w:szCs w:val="18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  <w:r>
              <w:rPr>
                <w:b/>
                <w:bCs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вариант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вариант</w:t>
            </w:r>
            <w:r/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ст. 227, 227.1 и 228 НК РФ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рублей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687</w:t>
            </w:r>
            <w:r>
              <w:t xml:space="preserve"> </w:t>
            </w:r>
            <w:r>
              <w:t xml:space="preserve">530,8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755</w:t>
            </w:r>
            <w:r>
              <w:t xml:space="preserve"> </w:t>
            </w:r>
            <w:r>
              <w:t xml:space="preserve">795,9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766</w:t>
            </w:r>
            <w:r>
              <w:t xml:space="preserve"> </w:t>
            </w:r>
            <w:r>
              <w:t xml:space="preserve">532,9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766</w:t>
            </w:r>
            <w:r>
              <w:t xml:space="preserve"> </w:t>
            </w:r>
            <w:r>
              <w:t xml:space="preserve">532,9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766</w:t>
            </w:r>
            <w:r>
              <w:t xml:space="preserve"> </w:t>
            </w:r>
            <w:r>
              <w:t xml:space="preserve">532,9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766</w:t>
            </w:r>
            <w:r>
              <w:t xml:space="preserve"> </w:t>
            </w:r>
            <w:r>
              <w:t xml:space="preserve">532,9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766</w:t>
            </w:r>
            <w:r>
              <w:t xml:space="preserve"> </w:t>
            </w:r>
            <w:r>
              <w:t xml:space="preserve">532,9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766</w:t>
            </w:r>
            <w:r>
              <w:t xml:space="preserve"> </w:t>
            </w:r>
            <w:r>
              <w:t xml:space="preserve">532,9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766</w:t>
            </w:r>
            <w:r>
              <w:t xml:space="preserve"> </w:t>
            </w:r>
            <w:r>
              <w:t xml:space="preserve">532,9</w:t>
            </w:r>
            <w:r/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59" w:type="dxa"/>
            <w:vAlign w:val="bottom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налог, взимаемый в связи с применением патентной системы налогообложения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тыс. рублей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</w:t>
            </w:r>
            <w:r>
              <w:t xml:space="preserve"> </w:t>
            </w:r>
            <w:r>
              <w:t xml:space="preserve">516,3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8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304,2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</w:t>
            </w:r>
            <w:r>
              <w:t xml:space="preserve"> </w:t>
            </w:r>
            <w:r>
              <w:t xml:space="preserve">394,6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</w:t>
            </w:r>
            <w:r>
              <w:t xml:space="preserve"> </w:t>
            </w:r>
            <w:r>
              <w:t xml:space="preserve">456,0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</w:t>
            </w:r>
            <w:r>
              <w:t xml:space="preserve"> </w:t>
            </w:r>
            <w:r>
              <w:t xml:space="preserve">450,4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11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</w:t>
            </w:r>
            <w:r>
              <w:t xml:space="preserve"> </w:t>
            </w:r>
            <w:r>
              <w:t xml:space="preserve">520,0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</w:t>
            </w:r>
            <w:r>
              <w:t xml:space="preserve"> </w:t>
            </w:r>
            <w:r>
              <w:t xml:space="preserve">508,4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</w:t>
            </w:r>
            <w:r>
              <w:t xml:space="preserve"> </w:t>
            </w:r>
            <w:r>
              <w:t xml:space="preserve">586,9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bottom"/>
            <w:textDirection w:val="lrTb"/>
            <w:noWrap w:val="false"/>
          </w:tcPr>
          <w:p>
            <w:pPr>
              <w:jc w:val="right"/>
            </w:pPr>
            <w:r>
              <w:t xml:space="preserve">1</w:t>
            </w:r>
            <w:r>
              <w:t xml:space="preserve"> </w:t>
            </w:r>
            <w:r>
              <w:t xml:space="preserve">568,8</w:t>
            </w:r>
            <w:r/>
          </w:p>
        </w:tc>
      </w:tr>
    </w:tbl>
    <w:p>
      <w:pPr>
        <w:ind w:left="720" w:hanging="72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 w:hanging="72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 w:hanging="720"/>
        <w:rPr>
          <w:sz w:val="20"/>
          <w:szCs w:val="20"/>
        </w:rPr>
      </w:pPr>
      <w:r>
        <w:rPr>
          <w:sz w:val="20"/>
          <w:szCs w:val="20"/>
        </w:rPr>
        <w:t xml:space="preserve">*Статистические данные отсутствуют, при расчете применена экспертная оценка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 w:hanging="720"/>
        <w:rPr>
          <w:sz w:val="20"/>
          <w:szCs w:val="20"/>
        </w:rPr>
      </w:pPr>
      <w:r>
        <w:rPr>
          <w:sz w:val="20"/>
          <w:szCs w:val="20"/>
        </w:rPr>
        <w:t xml:space="preserve">** При расчете применена экспертная оценка с учетом </w:t>
      </w:r>
      <w:r>
        <w:rPr>
          <w:sz w:val="20"/>
          <w:szCs w:val="20"/>
        </w:rPr>
        <w:t xml:space="preserve">досчета</w:t>
      </w:r>
      <w:r>
        <w:rPr>
          <w:sz w:val="20"/>
          <w:szCs w:val="20"/>
        </w:rPr>
        <w:t xml:space="preserve"> по субъектам малого предпринимательства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426" w:hanging="426"/>
        <w:rPr>
          <w:sz w:val="20"/>
          <w:szCs w:val="20"/>
        </w:rPr>
      </w:pPr>
      <w:r>
        <w:rPr>
          <w:sz w:val="20"/>
          <w:szCs w:val="20"/>
        </w:rPr>
        <w:t xml:space="preserve">***В связи с тем, что сплошное статистическое наблюдение за деятельностью малого и среднего бизнеса проводится раз в пять лет показатели рассчитаны с учетом данных Единого реестра субъектов малого и среднего предпринимательства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720" w:hanging="72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Предварительные итоги социально-экономического развития </w:t>
      </w:r>
      <w:r>
        <w:rPr>
          <w:sz w:val="20"/>
          <w:szCs w:val="20"/>
        </w:rPr>
        <w:t xml:space="preserve">Печенгского</w:t>
      </w:r>
      <w:r>
        <w:rPr>
          <w:sz w:val="20"/>
          <w:szCs w:val="20"/>
        </w:rPr>
        <w:t xml:space="preserve"> муниципального округа в 1 полугодии 202</w:t>
      </w:r>
      <w:r>
        <w:rPr>
          <w:sz w:val="20"/>
          <w:szCs w:val="20"/>
        </w:rPr>
        <w:t xml:space="preserve">4</w:t>
      </w:r>
      <w:r>
        <w:rPr>
          <w:sz w:val="20"/>
          <w:szCs w:val="20"/>
        </w:rPr>
        <w:t xml:space="preserve"> года и ожидаемые итоги за 202</w:t>
      </w:r>
      <w:r>
        <w:rPr>
          <w:sz w:val="20"/>
          <w:szCs w:val="20"/>
        </w:rPr>
        <w:t xml:space="preserve">4</w:t>
      </w:r>
      <w:r>
        <w:rPr>
          <w:sz w:val="20"/>
          <w:szCs w:val="20"/>
        </w:rPr>
        <w:t xml:space="preserve"> год представлены в приложении № 1 к прогнозу социально-экономического развития </w:t>
      </w:r>
      <w:r>
        <w:rPr>
          <w:sz w:val="20"/>
          <w:szCs w:val="20"/>
        </w:rPr>
        <w:t xml:space="preserve">Печенгского</w:t>
      </w:r>
      <w:r>
        <w:rPr>
          <w:sz w:val="20"/>
          <w:szCs w:val="20"/>
        </w:rPr>
        <w:t xml:space="preserve"> муниципального округа на 202</w:t>
      </w:r>
      <w:r>
        <w:rPr>
          <w:sz w:val="20"/>
          <w:szCs w:val="20"/>
        </w:rPr>
        <w:t xml:space="preserve">5</w:t>
      </w:r>
      <w:r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 xml:space="preserve">6</w:t>
      </w:r>
      <w:r>
        <w:rPr>
          <w:sz w:val="20"/>
          <w:szCs w:val="20"/>
        </w:rPr>
        <w:t xml:space="preserve"> и 202</w:t>
      </w:r>
      <w:r>
        <w:rPr>
          <w:sz w:val="20"/>
          <w:szCs w:val="20"/>
        </w:rPr>
        <w:t xml:space="preserve">7</w:t>
      </w:r>
      <w:r>
        <w:rPr>
          <w:sz w:val="20"/>
          <w:szCs w:val="20"/>
        </w:rPr>
        <w:t xml:space="preserve"> годов.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Пояснительная записка к прогнозу социально-экономического развития </w:t>
      </w:r>
      <w:r>
        <w:rPr>
          <w:sz w:val="20"/>
          <w:szCs w:val="20"/>
        </w:rPr>
        <w:t xml:space="preserve">Печенгского</w:t>
      </w:r>
      <w:r>
        <w:rPr>
          <w:sz w:val="20"/>
          <w:szCs w:val="20"/>
        </w:rPr>
        <w:t xml:space="preserve"> муниципального округа на 202</w:t>
      </w:r>
      <w:r>
        <w:rPr>
          <w:sz w:val="20"/>
          <w:szCs w:val="20"/>
        </w:rPr>
        <w:t xml:space="preserve">5</w:t>
      </w:r>
      <w:r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 xml:space="preserve">6</w:t>
      </w:r>
      <w:r>
        <w:rPr>
          <w:sz w:val="20"/>
          <w:szCs w:val="20"/>
        </w:rPr>
        <w:t xml:space="preserve"> и 202</w:t>
      </w:r>
      <w:r>
        <w:rPr>
          <w:sz w:val="20"/>
          <w:szCs w:val="20"/>
        </w:rPr>
        <w:t xml:space="preserve">7</w:t>
      </w:r>
      <w:r>
        <w:rPr>
          <w:sz w:val="20"/>
          <w:szCs w:val="20"/>
        </w:rPr>
        <w:t xml:space="preserve"> годов </w:t>
      </w:r>
      <w:r>
        <w:rPr>
          <w:sz w:val="20"/>
          <w:szCs w:val="20"/>
        </w:rPr>
        <w:t xml:space="preserve">представлена</w:t>
      </w:r>
      <w:r>
        <w:rPr>
          <w:sz w:val="20"/>
          <w:szCs w:val="20"/>
        </w:rPr>
        <w:t xml:space="preserve"> в приложении № 2 к прогнозу социально-экономического развития </w:t>
      </w:r>
      <w:r>
        <w:rPr>
          <w:sz w:val="20"/>
          <w:szCs w:val="20"/>
        </w:rPr>
        <w:t xml:space="preserve">Печенгского</w:t>
      </w:r>
      <w:r>
        <w:rPr>
          <w:sz w:val="20"/>
          <w:szCs w:val="20"/>
        </w:rPr>
        <w:t xml:space="preserve"> муниципального округа на 202</w:t>
      </w:r>
      <w:r>
        <w:rPr>
          <w:sz w:val="20"/>
          <w:szCs w:val="20"/>
        </w:rPr>
        <w:t xml:space="preserve">5</w:t>
      </w:r>
      <w:r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 xml:space="preserve">6</w:t>
      </w:r>
      <w:r>
        <w:rPr>
          <w:sz w:val="20"/>
          <w:szCs w:val="20"/>
        </w:rPr>
        <w:t xml:space="preserve"> и 202</w:t>
      </w:r>
      <w:r>
        <w:rPr>
          <w:sz w:val="20"/>
          <w:szCs w:val="20"/>
        </w:rPr>
        <w:t xml:space="preserve">7</w:t>
      </w:r>
      <w:r>
        <w:rPr>
          <w:sz w:val="20"/>
          <w:szCs w:val="20"/>
        </w:rPr>
        <w:t xml:space="preserve"> годов.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rPr>
          <w:color w:val="ff0000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284" w:left="1134" w:header="709" w:footer="709" w:gutter="0"/>
          <w:cols w:num="1" w:sep="0" w:space="708" w:equalWidth="1"/>
          <w:docGrid w:linePitch="360"/>
        </w:sect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left="5244" w:right="0" w:firstLine="0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№ 1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244" w:right="0" w:firstLine="0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auto"/>
          <w:sz w:val="24"/>
          <w:szCs w:val="24"/>
        </w:rPr>
        <w:t xml:space="preserve">прогнозу социально-экономического развития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на 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 и на плановый период 202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и 202</w:t>
      </w: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 годов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left="5244" w:right="0" w:firstLine="0"/>
        <w:jc w:val="center"/>
        <w:spacing w:after="0" w:afterAutospacing="0" w:line="240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ind w:left="5244" w:right="0" w:firstLine="0"/>
        <w:jc w:val="center"/>
        <w:spacing w:after="0" w:afterAutospacing="0" w:line="240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b/>
          <w:color w:val="auto"/>
          <w:sz w:val="24"/>
          <w:szCs w:val="24"/>
        </w:rPr>
        <w:t xml:space="preserve">ПРЕДВАРИТЕЛЬНЫЕ ИТОГИ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социального экономического развития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spacing w:after="0" w:afterAutospacing="0" w:line="240" w:lineRule="auto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1 полугодии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года и ожидаемые итоги социально-экономического развития 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за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tbl>
      <w:tblPr>
        <w:tblW w:w="9463" w:type="dxa"/>
        <w:tblInd w:w="10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793"/>
        <w:gridCol w:w="1984"/>
        <w:gridCol w:w="1276"/>
        <w:gridCol w:w="1276"/>
        <w:gridCol w:w="1134"/>
      </w:tblGrid>
      <w:tr>
        <w:tblPrEx/>
        <w:trPr>
          <w:trHeight w:val="381"/>
          <w:tblHeader/>
        </w:trPr>
        <w:tc>
          <w:tcPr>
            <w:shd w:val="clear" w:color="auto" w:fill="auto"/>
            <w:tcW w:w="379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 xml:space="preserve">Показатели</w:t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</w:tc>
        <w:tc>
          <w:tcPr>
            <w:shd w:val="clear" w:color="auto" w:fill="auto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 xml:space="preserve">Единица измерения</w:t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 xml:space="preserve">1 полугодие 2023 года</w:t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 xml:space="preserve">1 полугодие 2024 года</w:t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 xml:space="preserve">2024 год</w:t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  <w:p>
            <w:pPr>
              <w:jc w:val="center"/>
              <w:spacing w:after="0" w:afterAutospacing="0" w:line="240" w:lineRule="auto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 xml:space="preserve">(оценка)</w:t>
            </w:r>
            <w:r>
              <w:rPr>
                <w:bCs/>
                <w:color w:val="auto"/>
                <w:sz w:val="20"/>
                <w:szCs w:val="20"/>
              </w:rPr>
            </w:r>
            <w:r>
              <w:rPr>
                <w:bCs/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315"/>
          <w:tblHeader/>
        </w:trPr>
        <w:tc>
          <w:tcPr>
            <w:tcW w:w="3793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4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5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1. Демографические показатели</w:t>
            </w:r>
            <w:r>
              <w:rPr>
                <w:b/>
                <w:bCs/>
                <w:color w:val="ff0000"/>
                <w:sz w:val="20"/>
                <w:szCs w:val="20"/>
              </w:rPr>
            </w:r>
            <w:r>
              <w:rPr>
                <w:b/>
                <w:bCs/>
                <w:color w:val="ff0000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Среднегодовая численность населения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тыс. человек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29,176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Число </w:t>
            </w:r>
            <w:r>
              <w:rPr>
                <w:color w:val="auto"/>
                <w:sz w:val="20"/>
                <w:szCs w:val="20"/>
              </w:rPr>
              <w:t xml:space="preserve">родившихся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человек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141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123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248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Число </w:t>
            </w:r>
            <w:r>
              <w:rPr>
                <w:color w:val="auto"/>
                <w:sz w:val="20"/>
                <w:szCs w:val="20"/>
              </w:rPr>
              <w:t xml:space="preserve">умерших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человек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205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153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311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Естественный прирост (убыль)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человек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-64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-30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-63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Число </w:t>
            </w:r>
            <w:r>
              <w:rPr>
                <w:color w:val="auto"/>
                <w:sz w:val="20"/>
                <w:szCs w:val="20"/>
              </w:rPr>
              <w:t xml:space="preserve">прибывших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человек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429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395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782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Число </w:t>
            </w:r>
            <w:r>
              <w:rPr>
                <w:color w:val="auto"/>
                <w:sz w:val="20"/>
                <w:szCs w:val="20"/>
              </w:rPr>
              <w:t xml:space="preserve">выбывших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человек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762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771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1 632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Миграционный прирост (убыль)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человек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-333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-376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-850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 xml:space="preserve">2. Производство товаров и услуг</w:t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gridSpan w:val="2"/>
            <w:tcW w:w="5777" w:type="dxa"/>
            <w:textDirection w:val="lrTb"/>
            <w:noWrap/>
          </w:tcPr>
          <w:p>
            <w:pPr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Объем отгруженных товаров собственного производства, выполненных работ и услуг собственными силами, по виду деятельности, относящимся к промышленному производству по крупным и средним предприятиям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  <w:vertAlign w:val="superscript"/>
              </w:rPr>
            </w:pPr>
            <w:r>
              <w:rPr>
                <w:color w:val="ff0000"/>
                <w:sz w:val="20"/>
                <w:szCs w:val="20"/>
                <w:vertAlign w:val="superscript"/>
              </w:rPr>
            </w:r>
            <w:r>
              <w:rPr>
                <w:color w:val="ff0000"/>
                <w:sz w:val="20"/>
                <w:szCs w:val="20"/>
                <w:vertAlign w:val="superscript"/>
              </w:rPr>
            </w:r>
            <w:r>
              <w:rPr>
                <w:color w:val="ff0000"/>
                <w:sz w:val="20"/>
                <w:szCs w:val="20"/>
                <w:vertAlign w:val="superscript"/>
              </w:rPr>
            </w:r>
          </w:p>
        </w:tc>
      </w:tr>
      <w:tr>
        <w:tblPrEx/>
        <w:trPr>
          <w:trHeight w:val="919"/>
        </w:trPr>
        <w:tc>
          <w:tcPr>
            <w:tcW w:w="3793" w:type="dxa"/>
            <w:textDirection w:val="lrTb"/>
            <w:noWrap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Раздел</w:t>
            </w:r>
            <w:r>
              <w:rPr>
                <w:color w:val="auto"/>
                <w:sz w:val="20"/>
                <w:szCs w:val="20"/>
              </w:rPr>
              <w:t xml:space="preserve"> В</w:t>
            </w:r>
            <w:r>
              <w:rPr>
                <w:color w:val="auto"/>
                <w:sz w:val="20"/>
                <w:szCs w:val="20"/>
              </w:rPr>
              <w:t xml:space="preserve">: добыча полезных ископаемых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/>
          </w:tcPr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-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1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-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1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36 267,5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2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tcW w:w="3793" w:type="dxa"/>
            <w:textDirection w:val="lrTb"/>
            <w:noWrap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Темп роста – раздел</w:t>
            </w:r>
            <w:r>
              <w:rPr>
                <w:color w:val="auto"/>
                <w:sz w:val="20"/>
                <w:szCs w:val="20"/>
              </w:rPr>
              <w:t xml:space="preserve"> В</w:t>
            </w:r>
            <w:r>
              <w:rPr>
                <w:color w:val="auto"/>
                <w:sz w:val="20"/>
                <w:szCs w:val="20"/>
              </w:rPr>
              <w:t xml:space="preserve">: добыча полезных ископаемых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/>
          </w:tcPr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</w:t>
            </w:r>
            <w:r>
              <w:rPr>
                <w:color w:val="auto"/>
                <w:sz w:val="20"/>
                <w:szCs w:val="20"/>
              </w:rPr>
              <w:t xml:space="preserve"> % </w:t>
            </w:r>
            <w:r>
              <w:rPr>
                <w:color w:val="auto"/>
                <w:sz w:val="20"/>
                <w:szCs w:val="20"/>
              </w:rPr>
              <w:t xml:space="preserve">к</w:t>
            </w:r>
            <w:r>
              <w:rPr>
                <w:color w:val="auto"/>
                <w:sz w:val="20"/>
                <w:szCs w:val="20"/>
              </w:rPr>
              <w:t xml:space="preserve"> предыдущему году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83,0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71,4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100,1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tcW w:w="3793" w:type="dxa"/>
            <w:textDirection w:val="lrTb"/>
            <w:noWrap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Раздел C: обрабатывающие производства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/>
          </w:tcPr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1 800,1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  <w:vertAlign w:val="superscript"/>
              </w:rPr>
            </w:pPr>
            <w:r>
              <w:rPr>
                <w:color w:val="auto"/>
                <w:sz w:val="20"/>
                <w:szCs w:val="20"/>
              </w:rPr>
              <w:t xml:space="preserve">-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1</w:t>
            </w:r>
            <w:r>
              <w:rPr>
                <w:color w:val="auto"/>
                <w:sz w:val="20"/>
                <w:szCs w:val="20"/>
                <w:vertAlign w:val="superscript"/>
              </w:rPr>
            </w:r>
            <w:r>
              <w:rPr>
                <w:color w:val="auto"/>
                <w:sz w:val="20"/>
                <w:szCs w:val="20"/>
                <w:vertAlign w:val="superscript"/>
              </w:rPr>
            </w:r>
          </w:p>
        </w:tc>
        <w:tc>
          <w:tcPr>
            <w:tcW w:w="113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  <w:vertAlign w:val="superscript"/>
              </w:rPr>
            </w:pPr>
            <w:r>
              <w:rPr>
                <w:color w:val="auto"/>
                <w:sz w:val="20"/>
                <w:szCs w:val="20"/>
              </w:rPr>
              <w:t xml:space="preserve">3 955,5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2</w:t>
            </w:r>
            <w:r>
              <w:rPr>
                <w:color w:val="auto"/>
                <w:sz w:val="20"/>
                <w:szCs w:val="20"/>
                <w:vertAlign w:val="superscript"/>
              </w:rPr>
            </w:r>
            <w:r>
              <w:rPr>
                <w:color w:val="auto"/>
                <w:sz w:val="20"/>
                <w:szCs w:val="20"/>
                <w:vertAlign w:val="superscript"/>
              </w:rPr>
            </w:r>
          </w:p>
        </w:tc>
      </w:tr>
      <w:tr>
        <w:tblPrEx/>
        <w:trPr>
          <w:trHeight w:val="300"/>
        </w:trPr>
        <w:tc>
          <w:tcPr>
            <w:tcW w:w="3793" w:type="dxa"/>
            <w:textDirection w:val="lrTb"/>
            <w:noWrap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Темп роста – раздел C: обрабатывающие производства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/>
          </w:tcPr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</w:t>
            </w:r>
            <w:r>
              <w:rPr>
                <w:color w:val="auto"/>
                <w:sz w:val="20"/>
                <w:szCs w:val="20"/>
              </w:rPr>
              <w:t xml:space="preserve"> % </w:t>
            </w:r>
            <w:r>
              <w:rPr>
                <w:color w:val="auto"/>
                <w:sz w:val="20"/>
                <w:szCs w:val="20"/>
              </w:rPr>
              <w:t xml:space="preserve">к</w:t>
            </w:r>
            <w:r>
              <w:rPr>
                <w:color w:val="auto"/>
                <w:sz w:val="20"/>
                <w:szCs w:val="20"/>
              </w:rPr>
              <w:t xml:space="preserve"> предыдущему году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103,4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  <w:vertAlign w:val="superscript"/>
              </w:rPr>
            </w:pPr>
            <w:r>
              <w:rPr>
                <w:color w:val="auto"/>
                <w:sz w:val="20"/>
                <w:szCs w:val="20"/>
              </w:rPr>
              <w:t xml:space="preserve">-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1</w:t>
            </w:r>
            <w:r>
              <w:rPr>
                <w:color w:val="auto"/>
                <w:sz w:val="20"/>
                <w:szCs w:val="20"/>
                <w:vertAlign w:val="superscript"/>
              </w:rPr>
            </w:r>
            <w:r>
              <w:rPr>
                <w:color w:val="auto"/>
                <w:sz w:val="20"/>
                <w:szCs w:val="20"/>
                <w:vertAlign w:val="superscript"/>
              </w:rPr>
            </w:r>
          </w:p>
        </w:tc>
        <w:tc>
          <w:tcPr>
            <w:tcW w:w="113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  <w:vertAlign w:val="superscript"/>
              </w:rPr>
            </w:pPr>
            <w:r>
              <w:rPr>
                <w:color w:val="auto"/>
                <w:sz w:val="20"/>
                <w:szCs w:val="20"/>
              </w:rPr>
              <w:t xml:space="preserve">102,0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2</w:t>
            </w:r>
            <w:r>
              <w:rPr>
                <w:color w:val="auto"/>
                <w:sz w:val="20"/>
                <w:szCs w:val="20"/>
                <w:vertAlign w:val="superscript"/>
              </w:rPr>
            </w:r>
            <w:r>
              <w:rPr>
                <w:color w:val="auto"/>
                <w:sz w:val="20"/>
                <w:szCs w:val="20"/>
                <w:vertAlign w:val="superscript"/>
              </w:rPr>
            </w:r>
          </w:p>
        </w:tc>
      </w:tr>
      <w:tr>
        <w:tblPrEx/>
        <w:trPr>
          <w:trHeight w:val="300"/>
        </w:trPr>
        <w:tc>
          <w:tcPr>
            <w:tcW w:w="3793" w:type="dxa"/>
            <w:textDirection w:val="lrTb"/>
            <w:noWrap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Раздел D: обеспечение электрической энергией, газом и паром; кондиционирование воздуха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/>
          </w:tcPr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1 421,0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1 388,4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3 379,2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tcW w:w="3793" w:type="dxa"/>
            <w:textDirection w:val="lrTb"/>
            <w:noWrap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Темп роста - раздел D: обеспечение электрической энергией, газом и паром; кондиционирование воздуха 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/>
          </w:tcPr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</w:t>
            </w:r>
            <w:r>
              <w:rPr>
                <w:color w:val="auto"/>
                <w:sz w:val="20"/>
                <w:szCs w:val="20"/>
              </w:rPr>
              <w:t xml:space="preserve"> % </w:t>
            </w:r>
            <w:r>
              <w:rPr>
                <w:color w:val="auto"/>
                <w:sz w:val="20"/>
                <w:szCs w:val="20"/>
              </w:rPr>
              <w:t xml:space="preserve">к</w:t>
            </w:r>
            <w:r>
              <w:rPr>
                <w:color w:val="auto"/>
                <w:sz w:val="20"/>
                <w:szCs w:val="20"/>
              </w:rPr>
              <w:t xml:space="preserve"> предыдущему году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59,1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97,7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119,3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tcW w:w="3793" w:type="dxa"/>
            <w:textDirection w:val="lrTb"/>
            <w:noWrap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rFonts w:eastAsia="Arial Unicode MS"/>
                <w:color w:val="auto"/>
                <w:sz w:val="20"/>
                <w:szCs w:val="20"/>
              </w:rPr>
              <w:t xml:space="preserve">Раздел E: водоснабжение; водоотведение, организация сбора и утилизации отходов, деятельность по ликвидации загрязнений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/>
          </w:tcPr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162,7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153,3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254,3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tcW w:w="3793" w:type="dxa"/>
            <w:textDirection w:val="lrTb"/>
            <w:noWrap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Темп роста – раздел E: водоснабжение; водоотведение, организация сбора и утилизации отходов, деятельность по ликвидации загрязнений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/>
          </w:tcPr>
          <w:p>
            <w:pPr>
              <w:ind w:left="-1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</w:t>
            </w:r>
            <w:r>
              <w:rPr>
                <w:color w:val="auto"/>
                <w:sz w:val="20"/>
                <w:szCs w:val="20"/>
              </w:rPr>
              <w:t xml:space="preserve"> % </w:t>
            </w:r>
            <w:r>
              <w:rPr>
                <w:color w:val="auto"/>
                <w:sz w:val="20"/>
                <w:szCs w:val="20"/>
              </w:rPr>
              <w:t xml:space="preserve">к</w:t>
            </w:r>
            <w:r>
              <w:rPr>
                <w:color w:val="auto"/>
                <w:sz w:val="20"/>
                <w:szCs w:val="20"/>
              </w:rPr>
              <w:t xml:space="preserve"> предыдущему году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70,1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94,2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94,2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tcW w:w="3793" w:type="dxa"/>
            <w:textDirection w:val="lrTb"/>
            <w:noWrap/>
          </w:tcPr>
          <w:p>
            <w:pPr>
              <w:spacing w:after="0" w:afterAutospacing="0" w:line="240" w:lineRule="auto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 xml:space="preserve">3. Рынок товаров и услуг</w:t>
            </w:r>
            <w:r>
              <w:rPr>
                <w:b/>
                <w:bCs/>
                <w:color w:val="ff0000"/>
                <w:sz w:val="20"/>
                <w:szCs w:val="20"/>
              </w:rPr>
            </w:r>
            <w:r>
              <w:rPr>
                <w:b/>
                <w:bCs/>
                <w:color w:val="ff0000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300"/>
        </w:trPr>
        <w:tc>
          <w:tcPr>
            <w:tcW w:w="3793" w:type="dxa"/>
            <w:textDirection w:val="lrTb"/>
            <w:noWrap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Оборот розничной торговли 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2 467,0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2 895,2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/>
          </w:tcPr>
          <w:p>
            <w:pPr>
              <w:ind w:left="-98" w:right="-113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5 010,2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4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Оборот общественного питания 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445,8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82,4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ind w:left="-98" w:right="-113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1 230,6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4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Объем платных услуг населению 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225,5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231,9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left="-98" w:right="-113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1 562,6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4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 xml:space="preserve">4. Малое и среднее предпринимательство</w:t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Количество малых предпри</w:t>
            </w:r>
            <w:r>
              <w:rPr>
                <w:color w:val="auto"/>
                <w:sz w:val="20"/>
                <w:szCs w:val="20"/>
              </w:rPr>
              <w:t xml:space="preserve">ятий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единиц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133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148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149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Численность индивидуальных предпринимателей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человек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612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684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708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286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 xml:space="preserve">5. Инвестиции и строительство</w:t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630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b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Объем инвестиций в основной капитал (за исключением бюджетных средств) </w:t>
            </w:r>
            <w:r>
              <w:rPr>
                <w:b/>
                <w:color w:val="auto"/>
                <w:sz w:val="20"/>
                <w:szCs w:val="20"/>
              </w:rPr>
            </w:r>
            <w:r>
              <w:rPr>
                <w:b/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1 454,0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2 638,5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11 695,0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4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630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Объем инвестиций (в основной капитал) за счет всех источников финансирования – всего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1 514,3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2 755,9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left="-103" w:right="-110"/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14 013,1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4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170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из них: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бюджетные средства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60,3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117,4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318,1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170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собственные средства предприятий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n-US"/>
              </w:rPr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1 449,8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2 632,5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3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13</w:t>
            </w:r>
            <w:r>
              <w:rPr>
                <w:color w:val="auto"/>
                <w:sz w:val="20"/>
                <w:szCs w:val="20"/>
              </w:rPr>
              <w:t xml:space="preserve"> 608,5</w:t>
            </w:r>
            <w:r>
              <w:rPr>
                <w:color w:val="auto"/>
                <w:sz w:val="20"/>
                <w:szCs w:val="20"/>
                <w:vertAlign w:val="superscript"/>
              </w:rPr>
              <w:t xml:space="preserve">4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170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 xml:space="preserve">6. Сальдированный финансовый результат (прибыль, убыток) деятельности крупных и средних предприятий</w:t>
            </w:r>
            <w:r>
              <w:rPr>
                <w:b/>
                <w:color w:val="ffffff" w:themeColor="background1"/>
                <w:sz w:val="20"/>
                <w:szCs w:val="20"/>
                <w:vertAlign w:val="superscript"/>
              </w:rPr>
              <w:footnoteReference w:id="2"/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млн. руб.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в ценах </w:t>
            </w:r>
            <w:r>
              <w:rPr>
                <w:color w:val="auto"/>
                <w:sz w:val="20"/>
                <w:szCs w:val="20"/>
              </w:rPr>
              <w:t xml:space="preserve">соответст-вующих</w:t>
            </w:r>
            <w:r>
              <w:rPr>
                <w:color w:val="auto"/>
                <w:sz w:val="20"/>
                <w:szCs w:val="20"/>
              </w:rPr>
              <w:t xml:space="preserve"> лет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2 314,6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-1 968,4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3 449,8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170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 xml:space="preserve">7. Труд и занятость</w:t>
            </w:r>
            <w:r>
              <w:rPr>
                <w:b/>
                <w:bCs/>
                <w:color w:val="ff0000"/>
                <w:sz w:val="20"/>
                <w:szCs w:val="20"/>
              </w:rPr>
            </w:r>
            <w:r>
              <w:rPr>
                <w:b/>
                <w:bCs/>
                <w:color w:val="ff0000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170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Численность населения в трудоспособном возрасте (среднегодовая)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тыс. человек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18,632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170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Численность безработных, зарегистрированных в службах занятости, в среднем за год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тыс. человек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0,120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170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Уровень зарегистрированной безработицы (к трудоспособному </w:t>
            </w:r>
            <w:r>
              <w:rPr>
                <w:color w:val="auto"/>
                <w:sz w:val="20"/>
                <w:szCs w:val="20"/>
              </w:rPr>
              <w:t xml:space="preserve">населению)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%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х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0,6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  <w:tr>
        <w:tblPrEx/>
        <w:trPr>
          <w:trHeight w:val="170"/>
        </w:trPr>
        <w:tc>
          <w:tcPr>
            <w:tcW w:w="3793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Среднесписочная численность работников организаций (без субъектов малого предпринимательства) 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тыс. человек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 xml:space="preserve">10</w:t>
            </w:r>
            <w:r>
              <w:rPr>
                <w:color w:val="auto"/>
                <w:sz w:val="20"/>
                <w:szCs w:val="20"/>
              </w:rPr>
              <w:t xml:space="preserve">,</w:t>
            </w:r>
            <w:r>
              <w:rPr>
                <w:color w:val="auto"/>
                <w:sz w:val="20"/>
                <w:szCs w:val="20"/>
                <w:lang w:val="en-US"/>
              </w:rPr>
              <w:t xml:space="preserve">192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9,438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ind w:left="-111" w:right="-108"/>
              <w:jc w:val="center"/>
              <w:spacing w:after="0" w:afterAutospacing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9,438</w:t>
            </w:r>
            <w:r>
              <w:rPr>
                <w:color w:val="auto"/>
                <w:sz w:val="20"/>
                <w:szCs w:val="20"/>
              </w:rPr>
            </w:r>
            <w:r>
              <w:rPr>
                <w:color w:val="auto"/>
                <w:sz w:val="20"/>
                <w:szCs w:val="20"/>
              </w:rPr>
            </w:r>
          </w:p>
        </w:tc>
      </w:tr>
    </w:tbl>
    <w:p>
      <w:pPr>
        <w:pStyle w:val="934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pStyle w:val="934"/>
        <w:jc w:val="both"/>
        <w:spacing w:after="0" w:afterAutospacing="0" w:line="240" w:lineRule="auto"/>
        <w:rPr>
          <w:sz w:val="20"/>
          <w:szCs w:val="20"/>
          <w:highlight w:val="none"/>
        </w:rPr>
      </w:pPr>
      <w:r>
        <w:rPr>
          <w:sz w:val="20"/>
          <w:szCs w:val="20"/>
          <w:vertAlign w:val="superscript"/>
        </w:rPr>
        <w:t xml:space="preserve">1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Администрация </w:t>
      </w:r>
      <w:r>
        <w:rPr>
          <w:sz w:val="20"/>
          <w:szCs w:val="20"/>
        </w:rPr>
        <w:t xml:space="preserve">Печенгского</w:t>
      </w:r>
      <w:r>
        <w:rPr>
          <w:sz w:val="20"/>
          <w:szCs w:val="20"/>
        </w:rPr>
        <w:t xml:space="preserve"> муниципального округа данными не располагает. Сведения </w:t>
      </w:r>
      <w:r>
        <w:rPr>
          <w:sz w:val="20"/>
          <w:szCs w:val="20"/>
        </w:rPr>
        <w:t xml:space="preserve">Мурманскстатом</w:t>
      </w:r>
      <w:r>
        <w:rPr>
          <w:sz w:val="20"/>
          <w:szCs w:val="20"/>
        </w:rPr>
        <w:t xml:space="preserve"> не публикуются в целях обеспечения конфи</w:t>
      </w:r>
      <w:r>
        <w:rPr>
          <w:sz w:val="20"/>
          <w:szCs w:val="20"/>
        </w:rPr>
        <w:t xml:space="preserve">денциальности первичных статистических данных, полученных от организаций, в соответствии с Федеральным законом от 29.11.2007 № 282-ФЗ «Об официальном статистическом учёте и системе государственной статистики в Российской Федерации» (ст. 4 п. 5; ст. 9 п. 1)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pStyle w:val="934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pStyle w:val="934"/>
        <w:jc w:val="both"/>
        <w:spacing w:after="0" w:afterAutospacing="0" w:line="240" w:lineRule="auto"/>
        <w:rPr>
          <w:sz w:val="20"/>
          <w:szCs w:val="20"/>
          <w:highlight w:val="none"/>
        </w:rPr>
      </w:pPr>
      <w:r>
        <w:rPr>
          <w:sz w:val="20"/>
          <w:szCs w:val="20"/>
          <w:vertAlign w:val="superscript"/>
        </w:rPr>
        <w:t xml:space="preserve">2 </w:t>
      </w:r>
      <w:r>
        <w:rPr>
          <w:sz w:val="20"/>
          <w:szCs w:val="20"/>
        </w:rPr>
        <w:t xml:space="preserve">Статистические данные отсутствуют. При расчете применена экспертная оценка.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pStyle w:val="934"/>
        <w:jc w:val="both"/>
        <w:spacing w:after="0" w:afterAutospacing="0" w:line="240" w:lineRule="auto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pStyle w:val="934"/>
        <w:jc w:val="both"/>
        <w:spacing w:after="0" w:afterAutospacing="0" w:line="240" w:lineRule="auto"/>
        <w:rPr>
          <w:sz w:val="20"/>
          <w:szCs w:val="20"/>
          <w:highlight w:val="none"/>
        </w:rPr>
      </w:pPr>
      <w:r>
        <w:rPr>
          <w:sz w:val="20"/>
          <w:szCs w:val="20"/>
          <w:vertAlign w:val="superscript"/>
        </w:rPr>
        <w:t xml:space="preserve">3</w:t>
      </w:r>
      <w:r>
        <w:rPr>
          <w:sz w:val="20"/>
          <w:szCs w:val="20"/>
        </w:rPr>
        <w:t xml:space="preserve">По юридическим лицам, кроме субъектов малого предпринимательства, кредитных организаций, государственных (муниципальных) учреждений, </w:t>
      </w:r>
      <w:r>
        <w:rPr>
          <w:sz w:val="20"/>
          <w:szCs w:val="20"/>
        </w:rPr>
        <w:t xml:space="preserve">некредитных</w:t>
      </w:r>
      <w:r>
        <w:rPr>
          <w:sz w:val="20"/>
          <w:szCs w:val="20"/>
        </w:rPr>
        <w:t xml:space="preserve"> финансовых организаций, а также организаций, у которых в течение двух предыдущих лет средняя численность работников не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превышает 15 человек, включая работающих по совместительству и договорам  гражданско-правового характера, и в течение двух предыдущих лет годовой оборот организации не превышает 800 млн. рублей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jc w:val="both"/>
        <w:spacing w:after="0" w:afterAutospacing="0" w:line="240" w:lineRule="auto"/>
        <w:rPr>
          <w:color w:val="ff0000"/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color w:val="ff0000"/>
          <w:sz w:val="20"/>
          <w:szCs w:val="20"/>
        </w:rPr>
      </w:r>
    </w:p>
    <w:p>
      <w:pPr>
        <w:jc w:val="both"/>
        <w:spacing w:after="0" w:afterAutospacing="0" w:line="240" w:lineRule="auto"/>
        <w:rPr>
          <w:sz w:val="20"/>
          <w:szCs w:val="20"/>
          <w:highlight w:val="none"/>
        </w:rPr>
      </w:pPr>
      <w:r>
        <w:rPr>
          <w:sz w:val="20"/>
          <w:szCs w:val="20"/>
          <w:vertAlign w:val="superscript"/>
        </w:rPr>
        <w:t xml:space="preserve">4</w:t>
      </w:r>
      <w:r>
        <w:rPr>
          <w:sz w:val="20"/>
          <w:szCs w:val="20"/>
        </w:rPr>
        <w:t xml:space="preserve">При </w:t>
      </w:r>
      <w:r>
        <w:rPr>
          <w:sz w:val="20"/>
          <w:szCs w:val="20"/>
        </w:rPr>
        <w:t xml:space="preserve">расчете</w:t>
      </w:r>
      <w:r>
        <w:rPr>
          <w:sz w:val="20"/>
          <w:szCs w:val="20"/>
        </w:rPr>
        <w:t xml:space="preserve"> применена экспертная оценка с учетом </w:t>
      </w:r>
      <w:r>
        <w:rPr>
          <w:sz w:val="20"/>
          <w:szCs w:val="20"/>
        </w:rPr>
        <w:t xml:space="preserve">досчета</w:t>
      </w:r>
      <w:r>
        <w:rPr>
          <w:sz w:val="20"/>
          <w:szCs w:val="20"/>
        </w:rPr>
        <w:t xml:space="preserve"> по субъектам малого предпринимательства</w:t>
      </w:r>
      <w:r>
        <w:rPr>
          <w:sz w:val="20"/>
          <w:szCs w:val="20"/>
        </w:rPr>
        <w:t xml:space="preserve">.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center"/>
        <w:spacing w:after="0" w:afterAutospacing="0" w:line="240" w:lineRule="auto"/>
        <w:widowControl w:val="off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ПОЯСНИТЕЛЬНАЯ ЗАПИСКА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spacing w:after="0" w:afterAutospacing="0" w:line="240" w:lineRule="auto"/>
        <w:widowControl w:val="off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к предварительным итогам социально-экономического развития</w:t>
      </w:r>
      <w:r>
        <w:rPr>
          <w:b w:val="0"/>
          <w:bCs w:val="0"/>
          <w:color w:val="auto"/>
          <w:sz w:val="24"/>
          <w:szCs w:val="24"/>
        </w:rPr>
      </w:r>
      <w:r>
        <w:rPr>
          <w:b w:val="0"/>
          <w:bCs w:val="0"/>
          <w:color w:val="auto"/>
          <w:sz w:val="24"/>
          <w:szCs w:val="24"/>
        </w:rPr>
      </w:r>
    </w:p>
    <w:p>
      <w:pPr>
        <w:jc w:val="center"/>
        <w:spacing w:after="0" w:afterAutospacing="0" w:line="240" w:lineRule="auto"/>
        <w:widowControl w:val="off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Печенгского</w:t>
      </w:r>
      <w:r>
        <w:rPr>
          <w:b w:val="0"/>
          <w:bCs w:val="0"/>
          <w:color w:val="auto"/>
          <w:sz w:val="24"/>
          <w:szCs w:val="24"/>
        </w:rPr>
        <w:t xml:space="preserve"> муниципального округа в 1 полугодии 2024 года </w:t>
      </w:r>
      <w:r>
        <w:rPr>
          <w:b w:val="0"/>
          <w:bCs w:val="0"/>
          <w:color w:val="auto"/>
          <w:sz w:val="24"/>
          <w:szCs w:val="24"/>
        </w:rPr>
        <w:t xml:space="preserve">и ожидаемым итогам социально-экономического развития </w:t>
      </w:r>
      <w:r>
        <w:rPr>
          <w:b w:val="0"/>
          <w:bCs w:val="0"/>
          <w:color w:val="auto"/>
          <w:sz w:val="24"/>
          <w:szCs w:val="24"/>
        </w:rPr>
        <w:t xml:space="preserve">Печенгского</w:t>
      </w:r>
      <w:r>
        <w:rPr>
          <w:b w:val="0"/>
          <w:bCs w:val="0"/>
          <w:color w:val="auto"/>
          <w:sz w:val="24"/>
          <w:szCs w:val="24"/>
        </w:rPr>
        <w:t xml:space="preserve"> муниципального округа за 2024 год</w:t>
      </w:r>
      <w:r>
        <w:rPr>
          <w:b w:val="0"/>
          <w:bCs w:val="0"/>
          <w:color w:val="auto"/>
          <w:sz w:val="24"/>
          <w:szCs w:val="24"/>
        </w:rPr>
      </w:r>
      <w:r>
        <w:rPr>
          <w:b w:val="0"/>
          <w:bCs w:val="0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pStyle w:val="902"/>
        <w:numPr>
          <w:ilvl w:val="0"/>
          <w:numId w:val="24"/>
        </w:numPr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Демографические показатели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spacing w:after="0" w:afterAutospacing="0" w:line="240" w:lineRule="auto"/>
        <w:rPr>
          <w:b/>
          <w:color w:val="ff0000"/>
          <w:sz w:val="24"/>
          <w:szCs w:val="24"/>
          <w:highlight w:val="yellow"/>
        </w:rPr>
      </w:pPr>
      <w:r>
        <w:rPr>
          <w:b/>
          <w:color w:val="ff0000"/>
          <w:sz w:val="24"/>
          <w:szCs w:val="24"/>
          <w:highlight w:val="yellow"/>
        </w:rPr>
      </w:r>
      <w:r>
        <w:rPr>
          <w:b/>
          <w:color w:val="ff0000"/>
          <w:sz w:val="24"/>
          <w:szCs w:val="24"/>
          <w:highlight w:val="yellow"/>
        </w:rPr>
      </w:r>
      <w:r>
        <w:rPr>
          <w:b/>
          <w:color w:val="ff0000"/>
          <w:sz w:val="24"/>
          <w:szCs w:val="24"/>
          <w:highlight w:val="yellow"/>
        </w:rPr>
      </w:r>
    </w:p>
    <w:p>
      <w:pPr>
        <w:pStyle w:val="931"/>
        <w:ind w:firstLine="851"/>
        <w:jc w:val="both"/>
        <w:spacing w:after="0" w:afterAutospacing="0" w:line="240" w:lineRule="auto"/>
        <w:rPr>
          <w:color w:val="auto"/>
          <w:sz w:val="24"/>
          <w:szCs w:val="24"/>
          <w:highlight w:val="yellow"/>
        </w:rPr>
      </w:pPr>
      <w:r>
        <w:rPr>
          <w:color w:val="auto"/>
          <w:sz w:val="24"/>
          <w:szCs w:val="24"/>
        </w:rPr>
        <w:t xml:space="preserve">Демографическая ситуация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 в 2023 году характеризовалась естественной и миграционной убылью населения. </w:t>
      </w:r>
      <w:r>
        <w:rPr>
          <w:color w:val="auto"/>
          <w:sz w:val="24"/>
          <w:szCs w:val="24"/>
          <w:highlight w:val="yellow"/>
        </w:rPr>
      </w:r>
      <w:r>
        <w:rPr>
          <w:color w:val="auto"/>
          <w:sz w:val="24"/>
          <w:szCs w:val="24"/>
          <w:highlight w:val="yellow"/>
        </w:rPr>
      </w:r>
    </w:p>
    <w:p>
      <w:pPr>
        <w:pStyle w:val="931"/>
        <w:ind w:firstLine="851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данным Росстата в 2023 году родилось 262 ребенка, что на 13,5 % (41 ребенк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) меньше, чем в 2022 году. </w:t>
      </w:r>
      <w:r>
        <w:rPr>
          <w:color w:val="auto"/>
          <w:sz w:val="24"/>
          <w:szCs w:val="24"/>
        </w:rPr>
        <w:t xml:space="preserve">Численность новорожденных в городских населенных пунктах округа в 2023 году составила 250 человек, в сельских – 12 (в 2022 году – 281 и 22 человека соответственно).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Показатель рождаемости составил 8,7 </w:t>
      </w:r>
      <w:r>
        <w:rPr>
          <w:color w:val="auto"/>
          <w:sz w:val="24"/>
          <w:szCs w:val="24"/>
        </w:rPr>
        <w:t xml:space="preserve">родившихся</w:t>
      </w:r>
      <w:r>
        <w:rPr>
          <w:color w:val="auto"/>
          <w:sz w:val="24"/>
          <w:szCs w:val="24"/>
        </w:rPr>
        <w:t xml:space="preserve"> в расчёте на 1 000 населения (аналогичный показатель 2022 года – 9,7 родившихся в расчёте на 1000 населения), и, как и в 2022 году, остается выше уровня </w:t>
      </w:r>
      <w:r>
        <w:rPr>
          <w:color w:val="auto"/>
          <w:sz w:val="24"/>
          <w:szCs w:val="24"/>
        </w:rPr>
        <w:t xml:space="preserve">среднеобластного</w:t>
      </w:r>
      <w:r>
        <w:rPr>
          <w:color w:val="auto"/>
          <w:sz w:val="24"/>
          <w:szCs w:val="24"/>
        </w:rPr>
        <w:t xml:space="preserve"> значения (8,3). 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851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Средний возраст матери при рождении ребенка в 2023 году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 </w:t>
      </w:r>
      <w:r>
        <w:rPr>
          <w:color w:val="auto"/>
          <w:sz w:val="24"/>
          <w:szCs w:val="24"/>
        </w:rPr>
        <w:t xml:space="preserve">составил 28 лет, суммарный коэффициент рождаемости</w:t>
      </w:r>
      <w:r>
        <w:rPr>
          <w:color w:val="1a1a1a"/>
          <w:spacing w:val="-6"/>
          <w:sz w:val="24"/>
          <w:szCs w:val="24"/>
          <w:shd w:val="clear" w:color="auto" w:fill="ffffff"/>
        </w:rPr>
        <w:t xml:space="preserve"> </w:t>
      </w:r>
      <w:r>
        <w:rPr>
          <w:color w:val="1a1a1a"/>
          <w:spacing w:val="-6"/>
          <w:sz w:val="24"/>
          <w:szCs w:val="24"/>
          <w:shd w:val="clear" w:color="auto" w:fill="ffffff"/>
        </w:rPr>
        <w:t xml:space="preserve">(число детей, рожденных в среднем одной женщиной за всю жизнь)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превысил областной (1,45) и составил</w:t>
      </w:r>
      <w:r>
        <w:rPr>
          <w:color w:val="auto"/>
          <w:sz w:val="24"/>
          <w:szCs w:val="24"/>
        </w:rPr>
        <w:t xml:space="preserve"> 1,53</w:t>
      </w:r>
      <w:r>
        <w:rPr>
          <w:color w:val="auto"/>
          <w:sz w:val="24"/>
          <w:szCs w:val="24"/>
        </w:rPr>
        <w:t xml:space="preserve">.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931"/>
        <w:ind w:firstLine="851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В 2023 году умерло 374 человека</w:t>
      </w:r>
      <w:r>
        <w:rPr>
          <w:color w:val="auto"/>
          <w:sz w:val="24"/>
          <w:szCs w:val="24"/>
        </w:rPr>
        <w:t xml:space="preserve">, что </w:t>
      </w:r>
      <w:r>
        <w:rPr>
          <w:color w:val="auto"/>
          <w:sz w:val="24"/>
          <w:szCs w:val="24"/>
        </w:rPr>
        <w:t xml:space="preserve">выше уровня предыдущего года на 7,8 % (347 смертей в 2022 году). </w:t>
      </w:r>
      <w:r>
        <w:rPr>
          <w:color w:val="auto"/>
          <w:sz w:val="24"/>
          <w:szCs w:val="24"/>
        </w:rPr>
        <w:t xml:space="preserve">Смертность среди городского населения округа в 2023 году составила 359 человек, сельского – 15 человек (в 2022 году – 339 и 8 смертей соответственно). </w:t>
      </w:r>
      <w:r>
        <w:rPr>
          <w:color w:val="auto"/>
          <w:sz w:val="24"/>
          <w:szCs w:val="24"/>
        </w:rPr>
        <w:t xml:space="preserve">Общий коэффициент смертности в 2023 году составил 12,4 </w:t>
      </w:r>
      <w:r>
        <w:rPr>
          <w:color w:val="auto"/>
          <w:sz w:val="24"/>
          <w:szCs w:val="24"/>
        </w:rPr>
        <w:t xml:space="preserve">умерших</w:t>
      </w:r>
      <w:r>
        <w:rPr>
          <w:color w:val="auto"/>
          <w:sz w:val="24"/>
          <w:szCs w:val="24"/>
        </w:rPr>
        <w:t xml:space="preserve"> на 1 000 населения (в 2022 году – 11,1), что ниже уровня </w:t>
      </w:r>
      <w:r>
        <w:rPr>
          <w:color w:val="auto"/>
          <w:sz w:val="24"/>
          <w:szCs w:val="24"/>
        </w:rPr>
        <w:t xml:space="preserve">среднеобластного</w:t>
      </w:r>
      <w:r>
        <w:rPr>
          <w:color w:val="auto"/>
          <w:sz w:val="24"/>
          <w:szCs w:val="24"/>
        </w:rPr>
        <w:t xml:space="preserve"> значения (12,7). 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931"/>
        <w:ind w:firstLine="851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По итогам 2023 года 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четвертый год подряд после более чем десятилетнего периода естественного прироста, </w:t>
      </w:r>
      <w:r>
        <w:rPr>
          <w:color w:val="auto"/>
          <w:sz w:val="24"/>
          <w:szCs w:val="24"/>
        </w:rPr>
        <w:t xml:space="preserve">отмечается естественная убыль населения  – 112 человек</w:t>
      </w:r>
      <w:r>
        <w:rPr>
          <w:color w:val="auto"/>
          <w:sz w:val="24"/>
          <w:szCs w:val="24"/>
        </w:rPr>
        <w:t xml:space="preserve"> (в 2022 году </w:t>
      </w:r>
      <w:r>
        <w:rPr>
          <w:color w:val="auto"/>
          <w:sz w:val="24"/>
          <w:szCs w:val="24"/>
        </w:rPr>
        <w:t xml:space="preserve">–</w:t>
      </w:r>
      <w:r>
        <w:rPr>
          <w:color w:val="auto"/>
          <w:sz w:val="24"/>
          <w:szCs w:val="24"/>
        </w:rPr>
        <w:t xml:space="preserve"> -44 человека)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При этом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показатель естественной убыли городского населения – 109 человек, сельского – 3 человека. </w:t>
      </w:r>
      <w:r>
        <w:rPr>
          <w:color w:val="auto"/>
          <w:sz w:val="24"/>
          <w:szCs w:val="24"/>
        </w:rPr>
        <w:t xml:space="preserve">Коэффициент естественной убыли населения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  <w:t xml:space="preserve">за 2023 год составил 3,7 человека на 1 000 населения, против аналогичного показателя за 2022 год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равного 1,4 человека на 1 000 населения.</w:t>
      </w:r>
      <w:r>
        <w:rPr>
          <w:color w:val="auto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931"/>
        <w:ind w:firstLine="851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202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году отмечено </w:t>
      </w:r>
      <w:r>
        <w:rPr>
          <w:color w:val="auto"/>
          <w:sz w:val="24"/>
          <w:szCs w:val="24"/>
        </w:rPr>
        <w:t xml:space="preserve">замедление</w:t>
      </w:r>
      <w:r>
        <w:rPr>
          <w:color w:val="auto"/>
          <w:sz w:val="24"/>
          <w:szCs w:val="24"/>
        </w:rPr>
        <w:t xml:space="preserve"> миграционной убыли населения. В 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муниципальный округ в 2023 году прибыло 868 человек ‒ на 7,4 % (69 человек) меньше, чем в 2022 году, убыло 1 715 человек ‒ на 15,8 % (323 человека) меньше, чем в 2022 году.</w:t>
      </w:r>
      <w:r>
        <w:rPr>
          <w:color w:val="auto"/>
          <w:sz w:val="24"/>
          <w:szCs w:val="24"/>
        </w:rPr>
        <w:t xml:space="preserve"> Показатель миграционной убыли, как и в 2022 году, сложился в основном за счет населения в трудоспособном возрасте.  К</w:t>
      </w:r>
      <w:r>
        <w:rPr>
          <w:color w:val="auto"/>
          <w:sz w:val="24"/>
          <w:szCs w:val="24"/>
        </w:rPr>
        <w:t xml:space="preserve">оэффициент миграционной убыли снизился с 35,3 в 2022 году до -28,1 человек на 1000 населения в 2023</w:t>
      </w:r>
      <w:r>
        <w:rPr>
          <w:color w:val="auto"/>
          <w:sz w:val="24"/>
          <w:szCs w:val="24"/>
        </w:rPr>
        <w:t xml:space="preserve"> году.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931"/>
        <w:ind w:firstLine="851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Миграционная и естественная убыли обусловили дальнейшее сокращение численности населения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округа. Среднегодовая численность населения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в 2023 году составила 30 112 человек, численность населения на 1 января 2024 года составила 29 632 человека.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851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предварительным данным в 1 полугодии 2024 года родилось 123 ребенка (за аналогичный период 2023 года – 141 ребенок). Коэффициент рождаемости составил 8,3 </w:t>
      </w:r>
      <w:r>
        <w:rPr>
          <w:color w:val="auto"/>
          <w:sz w:val="24"/>
          <w:szCs w:val="24"/>
        </w:rPr>
        <w:t xml:space="preserve">родившихся</w:t>
      </w:r>
      <w:r>
        <w:rPr>
          <w:color w:val="auto"/>
          <w:sz w:val="24"/>
          <w:szCs w:val="24"/>
        </w:rPr>
        <w:t xml:space="preserve"> на 1000 </w:t>
      </w:r>
      <w:r>
        <w:rPr>
          <w:color w:val="auto"/>
          <w:sz w:val="24"/>
          <w:szCs w:val="24"/>
        </w:rPr>
        <w:t xml:space="preserve">населения (в январе – июне 2023 года – 9,3). </w:t>
      </w:r>
      <w:r>
        <w:rPr>
          <w:color w:val="auto"/>
          <w:sz w:val="24"/>
          <w:szCs w:val="24"/>
        </w:rPr>
        <w:t xml:space="preserve">В целом за год общее число рождений ожидается на </w:t>
      </w:r>
      <w:r>
        <w:rPr>
          <w:color w:val="auto"/>
          <w:sz w:val="24"/>
          <w:szCs w:val="24"/>
        </w:rPr>
        <w:t xml:space="preserve">уровне 248 человек, а коэффициент рождаемости составит 2024 году 8,5 родившихся на 1000 нас</w:t>
      </w:r>
      <w:r>
        <w:rPr>
          <w:color w:val="auto"/>
          <w:sz w:val="24"/>
          <w:szCs w:val="24"/>
        </w:rPr>
        <w:t xml:space="preserve">еления.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851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связи со стабильной эпидемиологической ситуацией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 наблюдается снижение смертности населения. </w:t>
      </w:r>
      <w:r>
        <w:rPr>
          <w:color w:val="auto"/>
          <w:sz w:val="24"/>
          <w:szCs w:val="24"/>
        </w:rPr>
        <w:t xml:space="preserve">Число умерших в 1 полугодии 2024 года составило 153 человека (в аналогичном периоде 2023 года – 205 человек). </w:t>
      </w:r>
      <w:r>
        <w:rPr>
          <w:color w:val="auto"/>
          <w:sz w:val="24"/>
          <w:szCs w:val="24"/>
        </w:rPr>
        <w:t xml:space="preserve">Коэффициент смертности составил 10,3 </w:t>
      </w:r>
      <w:r>
        <w:rPr>
          <w:color w:val="auto"/>
          <w:sz w:val="24"/>
          <w:szCs w:val="24"/>
        </w:rPr>
        <w:t xml:space="preserve">умерших</w:t>
      </w:r>
      <w:r>
        <w:rPr>
          <w:color w:val="auto"/>
          <w:sz w:val="24"/>
          <w:szCs w:val="24"/>
        </w:rPr>
        <w:t xml:space="preserve"> на 1000 населения </w:t>
      </w:r>
      <w:r>
        <w:rPr>
          <w:color w:val="auto"/>
          <w:sz w:val="24"/>
          <w:szCs w:val="24"/>
        </w:rPr>
        <w:t xml:space="preserve">против </w:t>
      </w:r>
      <w:r>
        <w:rPr>
          <w:color w:val="auto"/>
          <w:sz w:val="24"/>
          <w:szCs w:val="24"/>
        </w:rPr>
        <w:t xml:space="preserve">13,5 в январе – июне 2023 года. В целом в 2024 году смертность ожидается на уровне 311 человек или 10,7 умерших на 1000 населения (в 2023 году – 12,4).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  <w:highlight w:val="yellow"/>
        </w:rPr>
      </w:pP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 отмечается снижение естественной убыли населения, которая по и</w:t>
      </w:r>
      <w:r>
        <w:rPr>
          <w:color w:val="auto"/>
          <w:sz w:val="24"/>
          <w:szCs w:val="24"/>
        </w:rPr>
        <w:t xml:space="preserve">тогам 1 полугодия 2024 года составила 30 человек и сократилась в сравнении с аналогичным периода прошлого года </w:t>
      </w:r>
      <w:r>
        <w:rPr>
          <w:color w:val="auto"/>
          <w:sz w:val="24"/>
          <w:szCs w:val="24"/>
        </w:rPr>
        <w:t xml:space="preserve">на 34 человека </w:t>
      </w:r>
      <w:r>
        <w:rPr>
          <w:color w:val="auto"/>
          <w:sz w:val="24"/>
          <w:szCs w:val="24"/>
        </w:rPr>
        <w:t xml:space="preserve">(64 человека в 1 полугодии 2023 года).</w:t>
      </w:r>
      <w:r>
        <w:rPr>
          <w:color w:val="auto"/>
          <w:sz w:val="24"/>
          <w:szCs w:val="24"/>
        </w:rPr>
        <w:t xml:space="preserve"> Коэффициент естественной убыли составил -2,0 человека на 1000 населения (в 1 полугодии 2023 года – -4,2). </w:t>
      </w:r>
      <w:r>
        <w:rPr>
          <w:color w:val="auto"/>
          <w:sz w:val="24"/>
          <w:szCs w:val="24"/>
        </w:rPr>
        <w:t xml:space="preserve">На конец</w:t>
      </w:r>
      <w:r>
        <w:rPr>
          <w:color w:val="auto"/>
          <w:sz w:val="24"/>
          <w:szCs w:val="24"/>
        </w:rPr>
        <w:t xml:space="preserve"> 2024 года естественная убыль ожидается на уровне 63 человек. Коэффициент естественной убыли составит –2,2. </w:t>
      </w:r>
      <w:r>
        <w:rPr>
          <w:color w:val="auto"/>
          <w:sz w:val="24"/>
          <w:szCs w:val="24"/>
          <w:highlight w:val="yellow"/>
        </w:rPr>
      </w:r>
      <w:r>
        <w:rPr>
          <w:color w:val="auto"/>
          <w:sz w:val="24"/>
          <w:szCs w:val="24"/>
          <w:highlight w:val="yellow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Миграционная убыль населения за 1 полугодие 2024 года по сравнению с аналогичным периодом 2023 года возросла на 12,9 %, и составила 376 человек (прибыло 395 человек,</w:t>
      </w:r>
      <w:r>
        <w:rPr>
          <w:color w:val="auto"/>
          <w:sz w:val="24"/>
          <w:szCs w:val="24"/>
        </w:rPr>
        <w:t xml:space="preserve"> убыл 771 человек, против 429 и 762 человек соответственно в 1 полугодии 2023 года). По сравнению с аналогичным периодом 2023 года прибыло на 7,9 % меньше, а  уехало - на 1,2 % больше. В целом за 2024 год ожидается миграционная убыль на уровне -850 человек</w:t>
      </w:r>
      <w:r>
        <w:rPr>
          <w:color w:val="auto"/>
          <w:sz w:val="24"/>
          <w:szCs w:val="24"/>
        </w:rPr>
        <w:t xml:space="preserve">, из них в трудоспособном возрасте – 588 человек</w:t>
      </w:r>
      <w:r>
        <w:rPr>
          <w:color w:val="auto"/>
          <w:sz w:val="24"/>
          <w:szCs w:val="24"/>
        </w:rPr>
        <w:t xml:space="preserve">. Коэффициент миграционной убыли составит -29,1 человек на 1000 населения (-28,1 – в 2023 году).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среднем за 2024 год</w:t>
      </w:r>
      <w:r>
        <w:rPr>
          <w:color w:val="auto"/>
          <w:sz w:val="24"/>
          <w:szCs w:val="24"/>
        </w:rPr>
        <w:t xml:space="preserve"> ожидаемая численность населения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составит 29 176 человек, или 96,9 % к уровню 2023 года.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pStyle w:val="902"/>
        <w:numPr>
          <w:ilvl w:val="0"/>
          <w:numId w:val="24"/>
        </w:numPr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Производство товаров и услуг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spacing w:after="0" w:afterAutospacing="0" w:line="240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2.1. Промышленное производство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8"/>
        <w:jc w:val="both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ind w:firstLine="708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Основой экономики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является АО «Кольская ГМК».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2023 году объемы промышленного производства, выполнение работ и услуг собственными силами крупных и средних организаций по </w:t>
      </w:r>
      <w:r>
        <w:rPr>
          <w:color w:val="auto"/>
          <w:sz w:val="24"/>
          <w:szCs w:val="24"/>
        </w:rPr>
        <w:t xml:space="preserve">Печенгскому</w:t>
      </w:r>
      <w:r>
        <w:rPr>
          <w:color w:val="auto"/>
          <w:sz w:val="24"/>
          <w:szCs w:val="24"/>
        </w:rPr>
        <w:t xml:space="preserve"> муниципальному округу составили 43 212,0 млн. рублей (106,9 % от уровня 2022 года).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Присутствие 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производственных мощностей АО «Кольская ГМК» по-прежнему оказывает значительное </w:t>
      </w:r>
      <w:r>
        <w:rPr>
          <w:color w:val="auto"/>
          <w:sz w:val="24"/>
          <w:szCs w:val="24"/>
        </w:rPr>
        <w:t xml:space="preserve">влияние на динамику объемов производства смежных и обслуживающих отраслей, так как градообразующее предприятие является основным заказчиком продукции, работ и услуг у предприятий промышленного и строительного комплекса, расположенных на территории округа.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предварительной оценке, объемы промышленного производства, выполнение работ и услуг собственными силами предприятий и организаций по </w:t>
      </w:r>
      <w:r>
        <w:rPr>
          <w:color w:val="auto"/>
          <w:sz w:val="24"/>
          <w:szCs w:val="24"/>
        </w:rPr>
        <w:t xml:space="preserve">Печенгскому</w:t>
      </w:r>
      <w:r>
        <w:rPr>
          <w:color w:val="auto"/>
          <w:sz w:val="24"/>
          <w:szCs w:val="24"/>
        </w:rPr>
        <w:t xml:space="preserve"> муниципальному округу за 2024</w:t>
      </w:r>
      <w:r>
        <w:rPr>
          <w:i/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год составят 43 856,5 млн. рублей, что составляет 101,5%  показателей прошлого года, в том числе: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- в соответствии с экспертной оценкой в 2024 году объем отгруженных товаров крупных и средних организаций по </w:t>
      </w:r>
      <w:r>
        <w:rPr>
          <w:color w:val="auto"/>
          <w:sz w:val="24"/>
          <w:szCs w:val="24"/>
        </w:rPr>
        <w:t xml:space="preserve">Печенгскому</w:t>
      </w:r>
      <w:r>
        <w:rPr>
          <w:color w:val="auto"/>
          <w:sz w:val="24"/>
          <w:szCs w:val="24"/>
        </w:rPr>
        <w:t xml:space="preserve"> муниципальному округу по виду экономической деятельности «Добыча полезных ископаемых» составит 36 267,5 млн. рублей (138,3 % в сравнении с  показателем 2023 года), доля добывающей промышленности в общем объеме промышленного производства – 82,7 %;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</w:t>
      </w:r>
      <w:r>
        <w:rPr>
          <w:color w:val="ff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соответствии с экспертной оценкой в 2024 году объем отгруженных товаров крупных и средних организаций по </w:t>
      </w:r>
      <w:r>
        <w:rPr>
          <w:color w:val="auto"/>
          <w:sz w:val="24"/>
          <w:szCs w:val="24"/>
        </w:rPr>
        <w:t xml:space="preserve">Печенгскому</w:t>
      </w:r>
      <w:r>
        <w:rPr>
          <w:color w:val="auto"/>
          <w:sz w:val="24"/>
          <w:szCs w:val="24"/>
        </w:rPr>
        <w:t xml:space="preserve"> муниципальному округу по виду экономической </w:t>
      </w:r>
      <w:r>
        <w:rPr>
          <w:color w:val="auto"/>
          <w:sz w:val="24"/>
          <w:szCs w:val="24"/>
        </w:rPr>
        <w:t xml:space="preserve">деятельности «Обрабатывающие производства» составит 3 955,5 млн. рублей, что к уровню аналогичного периода прошлого года составляет 102,0 %</w:t>
      </w:r>
      <w:r>
        <w:rPr>
          <w:color w:val="auto"/>
          <w:sz w:val="24"/>
          <w:szCs w:val="24"/>
        </w:rPr>
        <w:t xml:space="preserve">,</w:t>
      </w:r>
      <w:r>
        <w:rPr>
          <w:color w:val="ff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доля обрабатывающей промышленности в общем объеме промышленного производства – 9,0 %;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в 1 полугодии 2024 года объемы отгруженных товаров крупных и средних организаций по </w:t>
      </w:r>
      <w:r>
        <w:rPr>
          <w:color w:val="auto"/>
          <w:sz w:val="24"/>
          <w:szCs w:val="24"/>
        </w:rPr>
        <w:t xml:space="preserve">Печенгскому</w:t>
      </w:r>
      <w:r>
        <w:rPr>
          <w:color w:val="auto"/>
          <w:sz w:val="24"/>
          <w:szCs w:val="24"/>
        </w:rPr>
        <w:t xml:space="preserve"> муниципальному округу по виду экономической деятельности «Обеспечение электрической энергией, газом и паром; кондиционирование воздуха» достигли 1 388,4 млн. рублей, что к уровню аналогичного периода прошлого года составляет 97,7 %.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1418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оценке в 2024 году данн</w:t>
      </w:r>
      <w:r>
        <w:rPr>
          <w:color w:val="auto"/>
          <w:sz w:val="24"/>
          <w:szCs w:val="24"/>
        </w:rPr>
        <w:t xml:space="preserve">ый показатель составит 3 379,2 млн. рублей (в ценах соответствующих лет), что выше уровня аналогичного периода прошлого года на 19,3 %, доля производства по обеспечению электрической энергией, газом и паром в общем объеме промышленного производства – 7,7 %</w:t>
      </w:r>
      <w:r>
        <w:rPr>
          <w:color w:val="auto"/>
          <w:sz w:val="24"/>
          <w:szCs w:val="24"/>
        </w:rPr>
        <w:t xml:space="preserve">. Ожидается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рост объема производства тепловой энергии, а также </w:t>
      </w:r>
      <w:r>
        <w:rPr>
          <w:color w:val="auto"/>
          <w:sz w:val="24"/>
          <w:szCs w:val="24"/>
        </w:rPr>
        <w:t xml:space="preserve">снижение объемов экспортных поставок электроэнергии</w:t>
      </w:r>
      <w:r>
        <w:rPr>
          <w:color w:val="auto"/>
          <w:sz w:val="24"/>
          <w:szCs w:val="24"/>
        </w:rPr>
        <w:t xml:space="preserve"> (</w:t>
      </w:r>
      <w:r>
        <w:rPr>
          <w:color w:val="auto"/>
          <w:sz w:val="24"/>
          <w:szCs w:val="24"/>
        </w:rPr>
        <w:t xml:space="preserve">что ведет к отрицательному темпу роста реализации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в 1 полугодии 2024 года объемы отгруженных товаров крупных и средних организаций по </w:t>
      </w:r>
      <w:r>
        <w:rPr>
          <w:color w:val="auto"/>
          <w:sz w:val="24"/>
          <w:szCs w:val="24"/>
        </w:rPr>
        <w:t xml:space="preserve">Печенгскому</w:t>
      </w:r>
      <w:r>
        <w:rPr>
          <w:color w:val="auto"/>
          <w:sz w:val="24"/>
          <w:szCs w:val="24"/>
        </w:rPr>
        <w:t xml:space="preserve"> муници</w:t>
      </w:r>
      <w:r>
        <w:rPr>
          <w:color w:val="auto"/>
          <w:sz w:val="24"/>
          <w:szCs w:val="24"/>
        </w:rPr>
        <w:t xml:space="preserve">пальному округу по виду экономической деятельности «Водоснабжение; водоотведение, организация сбора и утилизация отходов, деятельность по ликвидации загрязнений» составили 153,3 млн. рублей, что к уровню аналогичного периода прошлого года составляет 94,2%.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1418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оценке в 2024 году объем производства по водоснабжению, вод</w:t>
      </w:r>
      <w:r>
        <w:rPr>
          <w:color w:val="auto"/>
          <w:sz w:val="24"/>
          <w:szCs w:val="24"/>
        </w:rPr>
        <w:t xml:space="preserve">оотведению, организации сбора и утилизации отходов составит 254,3 млн. рублей, что ниже показателя прошлого года на 5,8 %, доля производства по водоснабжению, водоотведению, организации сбора и утилизации отходов в общем объеме промышленного производства –</w:t>
      </w:r>
      <w:r>
        <w:rPr>
          <w:color w:val="auto"/>
          <w:sz w:val="24"/>
          <w:szCs w:val="24"/>
          <w:highlight w:val="yellow"/>
        </w:rPr>
        <w:t xml:space="preserve"> </w:t>
      </w:r>
      <w:r>
        <w:rPr>
          <w:color w:val="auto"/>
          <w:sz w:val="24"/>
          <w:szCs w:val="24"/>
        </w:rPr>
        <w:t xml:space="preserve">0,6 %.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jc w:val="both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sz w:val="24"/>
          <w:szCs w:val="24"/>
        </w:rPr>
      </w:r>
      <w:bookmarkStart w:id="5" w:name="_Toc106522156"/>
      <w:r>
        <w:rPr>
          <w:sz w:val="24"/>
          <w:szCs w:val="24"/>
        </w:rPr>
      </w:r>
      <w:bookmarkStart w:id="6" w:name="_Toc106522206"/>
      <w:r>
        <w:rPr>
          <w:sz w:val="24"/>
          <w:szCs w:val="24"/>
        </w:rPr>
      </w:r>
      <w:bookmarkStart w:id="7" w:name="_Toc106522351"/>
      <w:r>
        <w:rPr>
          <w:sz w:val="24"/>
          <w:szCs w:val="24"/>
        </w:rPr>
      </w:r>
      <w:bookmarkStart w:id="8" w:name="_Toc106522952"/>
      <w:r>
        <w:rPr>
          <w:sz w:val="24"/>
          <w:szCs w:val="24"/>
        </w:rPr>
      </w:r>
      <w:bookmarkStart w:id="9" w:name="_Toc106526618"/>
      <w:r>
        <w:rPr>
          <w:b/>
          <w:color w:val="auto"/>
          <w:sz w:val="24"/>
          <w:szCs w:val="24"/>
        </w:rPr>
        <w:t xml:space="preserve">3. Рынок товаров и услуг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tabs>
          <w:tab w:val="num" w:pos="360" w:leader="none"/>
        </w:tabs>
        <w:rPr>
          <w:bCs/>
          <w:color w:val="ff0000"/>
          <w:sz w:val="24"/>
          <w:szCs w:val="24"/>
          <w:highlight w:val="yellow"/>
        </w:rPr>
      </w:pPr>
      <w:r>
        <w:rPr>
          <w:bCs/>
          <w:color w:val="ff0000"/>
          <w:sz w:val="24"/>
          <w:szCs w:val="24"/>
          <w:highlight w:val="yellow"/>
        </w:rPr>
      </w:r>
      <w:r>
        <w:rPr>
          <w:bCs/>
          <w:color w:val="ff0000"/>
          <w:sz w:val="24"/>
          <w:szCs w:val="24"/>
          <w:highlight w:val="yellow"/>
        </w:rPr>
      </w:r>
      <w:r>
        <w:rPr>
          <w:bCs/>
          <w:color w:val="ff0000"/>
          <w:sz w:val="24"/>
          <w:szCs w:val="24"/>
          <w:highlight w:val="yellow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Рынок товаров и услуг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в 2023 году </w:t>
      </w:r>
      <w:r>
        <w:rPr>
          <w:color w:val="auto"/>
          <w:sz w:val="24"/>
          <w:szCs w:val="24"/>
        </w:rPr>
        <w:t xml:space="preserve">характеризовался ростом физических объемов оборота розничной торговли, и снижением физических объемов оборота общественного питания и платных услуг населению. 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соответствии с экспертной оценкой оборот розничной торговли по полному кругу организаций за 202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год составил 5 445,6 млн. рублей и в сопоставимых ценах вырос на 14,8 % по сравнению с 2022 годом. </w:t>
      </w:r>
      <w:r>
        <w:rPr>
          <w:color w:val="auto"/>
          <w:sz w:val="24"/>
          <w:szCs w:val="24"/>
        </w:rPr>
        <w:t xml:space="preserve">Объем всех продовольственных товаров, </w:t>
      </w:r>
      <w:r>
        <w:rPr>
          <w:color w:val="auto"/>
          <w:sz w:val="24"/>
          <w:szCs w:val="24"/>
        </w:rPr>
        <w:t xml:space="preserve">реализованных за 2023 год по </w:t>
      </w:r>
      <w:r>
        <w:rPr>
          <w:color w:val="auto"/>
          <w:sz w:val="24"/>
          <w:szCs w:val="24"/>
        </w:rPr>
        <w:t xml:space="preserve">Печенгскому</w:t>
      </w:r>
      <w:r>
        <w:rPr>
          <w:color w:val="auto"/>
          <w:sz w:val="24"/>
          <w:szCs w:val="24"/>
        </w:rPr>
        <w:t xml:space="preserve"> муниципальному округу, составил  2 887,0 млн. рублей, что на 5,3 % (144,5 млн. рублей) больше уровня 2022 года.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ff0000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В 2023 году</w:t>
      </w:r>
      <w:r>
        <w:rPr>
          <w:color w:val="auto"/>
          <w:sz w:val="24"/>
          <w:szCs w:val="24"/>
        </w:rPr>
        <w:t xml:space="preserve"> по экспертной оценке</w:t>
      </w:r>
      <w:r>
        <w:rPr>
          <w:color w:val="auto"/>
          <w:sz w:val="24"/>
          <w:szCs w:val="24"/>
        </w:rPr>
        <w:t xml:space="preserve"> объем оборота общественного питания по полному кругу </w:t>
      </w:r>
      <w:r>
        <w:rPr>
          <w:color w:val="auto"/>
          <w:sz w:val="24"/>
          <w:szCs w:val="24"/>
        </w:rPr>
        <w:t xml:space="preserve">организаций составил 1 253,9 млн. рублей и возрос в сопоставимых ценах на 0,05% к 2022 году, объем платных услуг - составил 1 556,1 млн. рублей, что выше уровня 2022 года на 6,9 % в сопоставимых ценах. 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По данным официальной статистики оборот розничной торговли (без субъектов малого предпринимательства) за 1 полугодие 2024 года увеличился на 17,4 % по сравнению</w:t>
      </w:r>
      <w:r>
        <w:rPr>
          <w:color w:val="auto"/>
          <w:sz w:val="24"/>
          <w:szCs w:val="24"/>
        </w:rPr>
        <w:t xml:space="preserve"> с аналогичным периодом прошлого года и составил 2 895,2 млн. рублей. Оборот общественного питания (без субъектов малого предпринимательства) в 1 полугодии 2024 года в соответствии со статистическими данными сократился на 81,5 % и составил 82,4 млн. рублей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</w:t>
      </w:r>
      <w:r>
        <w:rPr>
          <w:color w:val="auto"/>
          <w:sz w:val="24"/>
          <w:szCs w:val="24"/>
        </w:rPr>
        <w:t xml:space="preserve">По данным </w:t>
      </w:r>
      <w:r>
        <w:rPr>
          <w:color w:val="auto"/>
          <w:sz w:val="24"/>
          <w:szCs w:val="24"/>
        </w:rPr>
        <w:t xml:space="preserve">Мурманскстата</w:t>
      </w:r>
      <w:r>
        <w:rPr>
          <w:color w:val="auto"/>
          <w:sz w:val="24"/>
          <w:szCs w:val="24"/>
        </w:rPr>
        <w:t xml:space="preserve"> т</w:t>
      </w:r>
      <w:r>
        <w:rPr>
          <w:sz w:val="24"/>
          <w:szCs w:val="24"/>
        </w:rPr>
        <w:t xml:space="preserve">емпы снижения показателей связаны с сокращением деловой активности, а также изменением круга респондентов</w:t>
      </w:r>
      <w:r>
        <w:rPr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  Объем платных услуг населению (без субъектов малого предпринимательства) за 1 полугодие 2024 года увеличился на 2,8 % по сравнению с аналогичным периодом 2022 года, и составил 2319 млн. рублей.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По итогам 2024 года, несмотря на переориентирование </w:t>
      </w:r>
      <w:r>
        <w:rPr>
          <w:color w:val="auto"/>
          <w:sz w:val="24"/>
          <w:szCs w:val="24"/>
        </w:rPr>
        <w:t xml:space="preserve">потребителей</w:t>
      </w:r>
      <w:r>
        <w:rPr>
          <w:color w:val="auto"/>
          <w:sz w:val="24"/>
          <w:szCs w:val="24"/>
        </w:rPr>
        <w:t xml:space="preserve"> на осуществление покупок в Интернет-магазинах, ожидается увеличение оборота розничной </w:t>
      </w:r>
      <w:r>
        <w:rPr>
          <w:color w:val="auto"/>
          <w:sz w:val="24"/>
          <w:szCs w:val="24"/>
        </w:rPr>
        <w:t xml:space="preserve">торговли до 6 018,2 млн. рублей.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rFonts w:eastAsia="Calibri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rFonts w:eastAsia="Calibri"/>
          <w:sz w:val="24"/>
          <w:szCs w:val="24"/>
        </w:rPr>
        <w:t xml:space="preserve">Ценовая ситуация на продовольственно</w:t>
      </w:r>
      <w:r>
        <w:rPr>
          <w:rFonts w:eastAsia="Calibri"/>
          <w:sz w:val="24"/>
          <w:szCs w:val="24"/>
        </w:rPr>
        <w:t xml:space="preserve">м рынке находится под постоянным контролем администрации округа. В целях недопущения необоснованного роста цен на социально значимые продукты питания и лекарственные средства еженедельно осуществляется мониторинг цен на социально значимые продукты питания.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Сохраняется тенденция роста обеспеченности населения торговыми площадями. Увеличение показателя в 2024 году произойдет в связи с сокращением численности населения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Прогнозное значение оборота общественного питания возрастет по итогам 2024 года до 1 386,7 млн. рублей, объемы платных услуг населению – до 1 693,4 млн. рублей.</w:t>
      </w:r>
      <w:bookmarkEnd w:id="5"/>
      <w:r>
        <w:rPr>
          <w:sz w:val="24"/>
          <w:szCs w:val="24"/>
        </w:rPr>
      </w:r>
      <w:bookmarkEnd w:id="6"/>
      <w:r>
        <w:rPr>
          <w:sz w:val="24"/>
          <w:szCs w:val="24"/>
        </w:rPr>
      </w:r>
      <w:bookmarkEnd w:id="7"/>
      <w:r>
        <w:rPr>
          <w:sz w:val="24"/>
          <w:szCs w:val="24"/>
        </w:rPr>
      </w:r>
      <w:bookmarkEnd w:id="8"/>
      <w:r>
        <w:rPr>
          <w:sz w:val="24"/>
          <w:szCs w:val="24"/>
        </w:rPr>
      </w:r>
      <w:bookmarkEnd w:id="9"/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Инфраструктура гостеприимства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данным официальной статистики </w:t>
      </w:r>
      <w:r>
        <w:rPr>
          <w:sz w:val="24"/>
          <w:szCs w:val="24"/>
        </w:rPr>
        <w:t xml:space="preserve">включает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 объектов коллективного размещения (гостиницы, отели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хостелы</w:t>
      </w:r>
      <w:r>
        <w:rPr>
          <w:sz w:val="24"/>
          <w:szCs w:val="24"/>
        </w:rPr>
        <w:t xml:space="preserve"> и пр.</w:t>
      </w:r>
      <w:r>
        <w:rPr>
          <w:sz w:val="24"/>
          <w:szCs w:val="24"/>
        </w:rPr>
        <w:t xml:space="preserve">). </w:t>
      </w:r>
      <w:r>
        <w:rPr>
          <w:color w:val="auto"/>
          <w:sz w:val="24"/>
          <w:szCs w:val="24"/>
        </w:rPr>
        <w:t xml:space="preserve">Число размещенных в них туристов в 2023 году составило 10 885 человек (+27,3 % к уровню 2022 года) (8 554 человека в 2022 году).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ff0000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contextualSpacing/>
        <w:ind w:firstLine="709"/>
        <w:jc w:val="center"/>
        <w:spacing w:after="0" w:afterAutospacing="0" w:line="240" w:lineRule="auto"/>
        <w:widowControl w:val="off"/>
        <w:rPr>
          <w:b/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b/>
          <w:color w:val="auto"/>
          <w:sz w:val="24"/>
          <w:szCs w:val="24"/>
        </w:rPr>
        <w:t xml:space="preserve">4. Малое и среднее предпринимательство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ff0000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В соответствии с Единым реестром субъектов малого и среднего предпринимательства (далее – Единый реестр) количество индивидуальных предпринимателей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 на 10.01.202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года составило 696 единиц (118,2 % к 10.01.2023 года).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В соответствии с Единым реестром на 10.01.2024 года количество малых и </w:t>
      </w:r>
      <w:r>
        <w:rPr>
          <w:color w:val="auto"/>
          <w:sz w:val="24"/>
          <w:szCs w:val="24"/>
        </w:rPr>
        <w:t xml:space="preserve">микропредприятий</w:t>
      </w:r>
      <w:r>
        <w:rPr>
          <w:color w:val="auto"/>
          <w:sz w:val="24"/>
          <w:szCs w:val="24"/>
        </w:rPr>
        <w:t xml:space="preserve"> – юридических лиц составило </w:t>
      </w:r>
      <w:r>
        <w:rPr>
          <w:color w:val="auto"/>
          <w:sz w:val="24"/>
          <w:szCs w:val="24"/>
        </w:rPr>
        <w:t xml:space="preserve">144 (на 10.01.2023 года – 137).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bCs/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bCs/>
          <w:color w:val="auto"/>
          <w:sz w:val="24"/>
          <w:szCs w:val="24"/>
        </w:rPr>
        <w:t xml:space="preserve">По данным Единого реестра в </w:t>
      </w:r>
      <w:r>
        <w:rPr>
          <w:bCs/>
          <w:color w:val="auto"/>
          <w:sz w:val="24"/>
          <w:szCs w:val="24"/>
        </w:rPr>
        <w:t xml:space="preserve">Печенгском</w:t>
      </w:r>
      <w:r>
        <w:rPr>
          <w:bCs/>
          <w:color w:val="auto"/>
          <w:sz w:val="24"/>
          <w:szCs w:val="24"/>
        </w:rPr>
        <w:t xml:space="preserve"> муниципальном округе средние предприятия – субъекты </w:t>
      </w:r>
      <w:r>
        <w:rPr>
          <w:bCs/>
          <w:color w:val="auto"/>
          <w:sz w:val="24"/>
          <w:szCs w:val="24"/>
        </w:rPr>
        <w:t xml:space="preserve">МСП отсутствуют.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bCs/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bCs/>
          <w:color w:val="auto"/>
          <w:sz w:val="24"/>
          <w:szCs w:val="24"/>
        </w:rPr>
        <w:t xml:space="preserve">По состоянию на 10.07.2024 года численность малых и </w:t>
      </w:r>
      <w:r>
        <w:rPr>
          <w:bCs/>
          <w:color w:val="auto"/>
          <w:sz w:val="24"/>
          <w:szCs w:val="24"/>
        </w:rPr>
        <w:t xml:space="preserve">микропредприятий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–с</w:t>
      </w:r>
      <w:r>
        <w:rPr>
          <w:bCs/>
          <w:color w:val="auto"/>
          <w:sz w:val="24"/>
          <w:szCs w:val="24"/>
        </w:rPr>
        <w:t xml:space="preserve">убъектов малого и среднего предпринимательства составила</w:t>
      </w:r>
      <w:r>
        <w:rPr>
          <w:bCs/>
          <w:color w:val="ff0000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832 (на 01.07.2023 – 745).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В рамках реализации мероприятий муниципальной программы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«Экономический потенциал» в 2023 году субъектам МСП оказывалась информационно-консультационная и имущественная поддержка.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В рамках оказания имущественной поддержки в 2023 году: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- количество муниципальных объектов, переданных субъектам МСП в качестве имущественной поддержки, составило 58 единиц;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- количество новых объектов, включенных в перечень муниципального имущества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предназначенного для оказания имущественной поддержки субъек</w:t>
      </w:r>
      <w:r>
        <w:rPr>
          <w:sz w:val="24"/>
          <w:szCs w:val="24"/>
        </w:rPr>
        <w:t xml:space="preserve">там МСП и </w:t>
      </w:r>
      <w:r>
        <w:rPr>
          <w:sz w:val="24"/>
          <w:szCs w:val="24"/>
        </w:rPr>
        <w:t xml:space="preserve">самозанятым</w:t>
      </w:r>
      <w:r>
        <w:rPr>
          <w:sz w:val="24"/>
          <w:szCs w:val="24"/>
        </w:rPr>
        <w:t xml:space="preserve"> гражданам</w:t>
      </w:r>
      <w:r>
        <w:rPr>
          <w:sz w:val="24"/>
          <w:szCs w:val="24"/>
        </w:rPr>
        <w:t xml:space="preserve">, составило 5 единиц;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- количество новых договоров, заключенных с субъектами МСП в качестве имущественной поддержки, составило 14 единиц.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bCs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Администрацией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проводится работа по информированию предпринимателей через </w:t>
      </w:r>
      <w:r>
        <w:rPr>
          <w:bCs/>
          <w:sz w:val="24"/>
          <w:szCs w:val="24"/>
        </w:rPr>
        <w:t xml:space="preserve">средства массовой информации, официальный сайт муниципального образования, чат, созданный для оперативного информирования бизнес-сообще</w:t>
      </w:r>
      <w:r>
        <w:rPr>
          <w:bCs/>
          <w:sz w:val="24"/>
          <w:szCs w:val="24"/>
        </w:rPr>
        <w:t xml:space="preserve">ства, о действующих формах поддержки, кредитных продуктах, программах, опросах, конкурсах, об участии в семинарах, встречах, о тренингах, программах повышения квалификации и переподготовки кадров, о проводимых тематических форумах, конференциях, выставках.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В декабре 2023 года на территории округа </w:t>
      </w:r>
      <w:r>
        <w:rPr>
          <w:rFonts w:eastAsia="Calibri"/>
          <w:bCs/>
          <w:sz w:val="24"/>
          <w:szCs w:val="24"/>
        </w:rPr>
        <w:t xml:space="preserve">с целью создания праздничного облика </w:t>
      </w:r>
      <w:r>
        <w:rPr>
          <w:rFonts w:eastAsia="Calibri"/>
          <w:bCs/>
          <w:sz w:val="24"/>
          <w:szCs w:val="24"/>
        </w:rPr>
        <w:t xml:space="preserve">Печенгского</w:t>
      </w:r>
      <w:r>
        <w:rPr>
          <w:rFonts w:eastAsia="Calibri"/>
          <w:bCs/>
          <w:sz w:val="24"/>
          <w:szCs w:val="24"/>
        </w:rPr>
        <w:t xml:space="preserve"> муниципального округа, повышения эстетического и художественного уровня оформления объектов потребительского рынка во второй раз </w:t>
      </w:r>
      <w:r>
        <w:rPr>
          <w:sz w:val="24"/>
          <w:szCs w:val="24"/>
        </w:rPr>
        <w:t xml:space="preserve">организован муниципальный конкурс «Новогодняя мозаика». </w:t>
      </w:r>
      <w:r>
        <w:rPr>
          <w:bCs/>
          <w:sz w:val="24"/>
          <w:szCs w:val="24"/>
        </w:rPr>
        <w:t xml:space="preserve">В конкурсе, который проводился по трем номинациям: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«Лучшее праздничное новогоднее оформление» (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Никель), «Лучшее праздничное новогоднее оформление» (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.З</w:t>
      </w:r>
      <w:r>
        <w:rPr>
          <w:sz w:val="24"/>
          <w:szCs w:val="24"/>
        </w:rPr>
        <w:t xml:space="preserve">аполярный</w:t>
      </w:r>
      <w:r>
        <w:rPr>
          <w:sz w:val="24"/>
          <w:szCs w:val="24"/>
        </w:rPr>
        <w:t xml:space="preserve">), «Лучшее праздничное новогоднее оформление» (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Печенга,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Спутник,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Лиинахамари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Луостари</w:t>
      </w:r>
      <w:r>
        <w:rPr>
          <w:sz w:val="24"/>
          <w:szCs w:val="24"/>
        </w:rPr>
        <w:t xml:space="preserve"> и другие населенные пункты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округа), приняли участие 13 хозяйствующих субъектов, оказывающих услуги торговли и общественного питания, медицинские услуги.</w:t>
      </w:r>
      <w:r>
        <w:rPr>
          <w:sz w:val="24"/>
          <w:szCs w:val="24"/>
        </w:rPr>
        <w:t xml:space="preserve"> По результатам конкурса 10 участников </w:t>
      </w:r>
      <w:r>
        <w:rPr>
          <w:sz w:val="24"/>
          <w:szCs w:val="24"/>
        </w:rPr>
        <w:t xml:space="preserve">награждены</w:t>
      </w:r>
      <w:r>
        <w:rPr>
          <w:sz w:val="24"/>
          <w:szCs w:val="24"/>
        </w:rPr>
        <w:t xml:space="preserve"> подарочными сертификатами.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Пров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дится работа по привлечению хозяйствующих субъектов к выездной торговле при про</w:t>
      </w:r>
      <w:r>
        <w:rPr>
          <w:sz w:val="24"/>
          <w:szCs w:val="24"/>
        </w:rPr>
        <w:t xml:space="preserve">ведении праздничных мероприятий.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bCs/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bCs/>
          <w:color w:val="auto"/>
          <w:sz w:val="24"/>
          <w:szCs w:val="24"/>
        </w:rPr>
        <w:t xml:space="preserve">На территории </w:t>
      </w:r>
      <w:r>
        <w:rPr>
          <w:bCs/>
          <w:color w:val="auto"/>
          <w:sz w:val="24"/>
          <w:szCs w:val="24"/>
        </w:rPr>
        <w:t xml:space="preserve">Печенгского</w:t>
      </w:r>
      <w:r>
        <w:rPr>
          <w:bCs/>
          <w:color w:val="auto"/>
          <w:sz w:val="24"/>
          <w:szCs w:val="24"/>
        </w:rPr>
        <w:t xml:space="preserve"> муниципального округа действуют следующие налоговые льготы по земельному налогу и налогу на имущество физических лиц: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bCs/>
          <w:color w:val="auto"/>
          <w:sz w:val="24"/>
          <w:szCs w:val="24"/>
        </w:rPr>
        <w:t xml:space="preserve">1)</w:t>
      </w:r>
      <w:r>
        <w:rPr>
          <w:color w:val="auto"/>
          <w:sz w:val="24"/>
          <w:szCs w:val="24"/>
        </w:rPr>
        <w:t xml:space="preserve">освобождение от налогообложения земельным налогом в соответствии с решением Совета депутатов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 23.10.2020 № 39 «</w:t>
      </w:r>
      <w:r>
        <w:rPr>
          <w:color w:val="auto"/>
          <w:sz w:val="24"/>
          <w:szCs w:val="24"/>
        </w:rPr>
        <w:t xml:space="preserve">Об у</w:t>
      </w:r>
      <w:r>
        <w:rPr>
          <w:color w:val="auto"/>
          <w:sz w:val="24"/>
          <w:szCs w:val="24"/>
        </w:rPr>
        <w:t xml:space="preserve">становлении земельного налога на территории муниципального образования 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муниципальный округ Мурманской области»: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- субъекты инвестиционной деятельности - юридические лица и индивидуальные предприниматели, реализующие приоритетные инвестиционные проекты на территории муниципального образования 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муниципальный округ Мурманской области (на срок действия инвестиционного соглашения, заключаемого в целях реализации приоритетного инвестиционного проекта, но не более трех лет);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- индивидуальные предприниматели или являющиеся коммерческой организацией юридические лица, получившие статус резидента Арктической зоны Российской Федерации в соответствии с Федерал</w:t>
      </w:r>
      <w:r>
        <w:rPr>
          <w:color w:val="auto"/>
          <w:sz w:val="24"/>
          <w:szCs w:val="24"/>
        </w:rPr>
        <w:t xml:space="preserve">ьным законом от 13.07.2020 № 193-ФЗ «О государственной поддержке предпринимательской деятельности в Арктической зоне Российской Федерации»,  в отношении земельных участков, расположенных на территории Арктической зоны в границах муниципального образования 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 муниципальный округ, на три налоговых периода, начиная с первого числа месяца, следующего за</w:t>
      </w:r>
      <w:r>
        <w:rPr>
          <w:color w:val="auto"/>
          <w:sz w:val="24"/>
          <w:szCs w:val="24"/>
        </w:rPr>
        <w:t xml:space="preserve"> месяцем включения налогоплательщиков в реестр резидентов Арктической зоны;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rFonts w:eastAsiaTheme="minorHAnsi"/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)предоставление права на налоговые льготы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по налогу на имущество физических лиц</w:t>
      </w:r>
      <w:r>
        <w:rPr>
          <w:color w:val="auto"/>
          <w:sz w:val="24"/>
          <w:szCs w:val="24"/>
        </w:rPr>
        <w:t xml:space="preserve"> решением Совета депутатов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 23.10.2020 № 40 «</w:t>
      </w:r>
      <w:r>
        <w:rPr>
          <w:color w:val="auto"/>
          <w:sz w:val="24"/>
          <w:szCs w:val="24"/>
        </w:rPr>
        <w:t xml:space="preserve">Об у</w:t>
      </w:r>
      <w:r>
        <w:rPr>
          <w:color w:val="auto"/>
          <w:sz w:val="24"/>
          <w:szCs w:val="24"/>
        </w:rPr>
        <w:t xml:space="preserve">становлении налога на имущество физических лиц на территории муниципального образования 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муниципальный округ Мурманской области» начиная с 2021 года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индивидуальным предпринимателям, получившим статус резидента Арктической зоны в соответствии с Федеральным законом от 13.07.2020 № 193-ФЗ "О государственной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поддержке предпринимательской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деятельности в Арктической зоне Российской Ф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едерации" (далее - резиденты Арктической зоны Российской Федерации), в отношении имущества, созданного, приобретенного в собственность в течение срока действия соглашений об осуществлении инвестиционной деятельности в Арктической зоне Российской Федерации: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rFonts w:eastAsiaTheme="minorHAnsi"/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в размере подлежащей уплате налогоплательщиком сум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мы налога в отношении объекта налогообложения, находящегося в собственности налогоплательщика, на срок, составляющий пять лет, с 1-го числа месяца, в котором произошло возникновение права собственности на созданное, приобретенное в собственность имущество;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rFonts w:eastAsiaTheme="minorHAnsi"/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в размере 50 процентов от суммы налога, подлежащей уплате, в течение последующих пяти лет;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Среднесписочная численность работников субъектов малого и сре</w:t>
      </w:r>
      <w:r>
        <w:rPr>
          <w:color w:val="auto"/>
          <w:sz w:val="24"/>
          <w:szCs w:val="24"/>
        </w:rPr>
        <w:t xml:space="preserve">днего предпринимательства (далее ‒ субъекты МСП) – юридических лиц в связи с тем, что сплошное статистическое наблюдения за деятельностью малого и среднего бизнеса проводится раз в пять лет, рассчитана на основе данных Единого реестра, полученных на сайте </w:t>
      </w:r>
      <w:r>
        <w:rPr>
          <w:color w:val="auto"/>
          <w:sz w:val="24"/>
          <w:szCs w:val="24"/>
          <w:lang w:val="en-US"/>
        </w:rPr>
        <w:t xml:space="preserve">ofd</w:t>
      </w:r>
      <w:r>
        <w:rPr>
          <w:color w:val="auto"/>
          <w:sz w:val="24"/>
          <w:szCs w:val="24"/>
        </w:rPr>
        <w:t xml:space="preserve">.nalog.ru.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Среднесписочная численность работников (без внешних совместителей) по итогам 2023 года в малых предприятиях (в </w:t>
      </w:r>
      <w:r>
        <w:rPr>
          <w:color w:val="auto"/>
          <w:sz w:val="24"/>
          <w:szCs w:val="24"/>
        </w:rPr>
        <w:t xml:space="preserve">т.ч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микропредприятиях</w:t>
      </w:r>
      <w:r>
        <w:rPr>
          <w:color w:val="auto"/>
          <w:sz w:val="24"/>
          <w:szCs w:val="24"/>
        </w:rPr>
        <w:t xml:space="preserve">) составляла </w:t>
      </w:r>
      <w:r>
        <w:rPr>
          <w:color w:val="auto"/>
          <w:sz w:val="24"/>
          <w:szCs w:val="24"/>
        </w:rPr>
        <w:t xml:space="preserve">556 человек. Наиболее распространенными видами деятельности являются: розничная торговля, обрабатывающие производства, строительство, деятельность гостиниц и общественного питания. По оценке, среднесписочная численность работников малых предприятий </w:t>
      </w:r>
      <w:r>
        <w:rPr>
          <w:color w:val="auto"/>
          <w:sz w:val="24"/>
          <w:szCs w:val="24"/>
        </w:rPr>
        <w:t xml:space="preserve">на конец</w:t>
      </w:r>
      <w:r>
        <w:rPr>
          <w:color w:val="auto"/>
          <w:sz w:val="24"/>
          <w:szCs w:val="24"/>
        </w:rPr>
        <w:t xml:space="preserve"> 2024 года составит 551 человек.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Прогнозное количество юридических лиц – малых и </w:t>
      </w:r>
      <w:r>
        <w:rPr>
          <w:color w:val="auto"/>
          <w:sz w:val="24"/>
          <w:szCs w:val="24"/>
        </w:rPr>
        <w:t xml:space="preserve">микропредприятий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 конец</w:t>
      </w:r>
      <w:r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года составит </w:t>
      </w:r>
      <w:r>
        <w:rPr>
          <w:color w:val="auto"/>
          <w:sz w:val="24"/>
          <w:szCs w:val="24"/>
        </w:rPr>
        <w:t xml:space="preserve">149 единиц.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color w:val="ff0000"/>
          <w:sz w:val="24"/>
          <w:szCs w:val="24"/>
          <w:highlight w:val="yellow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Число индивидуальных предпринимателей </w:t>
      </w:r>
      <w:r>
        <w:rPr>
          <w:color w:val="auto"/>
          <w:sz w:val="24"/>
          <w:szCs w:val="24"/>
        </w:rPr>
        <w:t xml:space="preserve">на конец</w:t>
      </w:r>
      <w:r>
        <w:rPr>
          <w:color w:val="auto"/>
          <w:sz w:val="24"/>
          <w:szCs w:val="24"/>
        </w:rPr>
        <w:t xml:space="preserve"> 2024 года оценивается в количестве 708 единиц. </w:t>
      </w:r>
      <w:r>
        <w:rPr>
          <w:color w:val="ff0000"/>
          <w:sz w:val="24"/>
          <w:szCs w:val="24"/>
        </w:rPr>
        <w:t xml:space="preserve">    </w:t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contextualSpacing/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5. Инвестиции и строительство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rPr>
          <w:bCs/>
          <w:color w:val="ff0000"/>
          <w:sz w:val="24"/>
          <w:szCs w:val="24"/>
          <w:highlight w:val="yellow"/>
        </w:rPr>
      </w:pPr>
      <w:r>
        <w:rPr>
          <w:bCs/>
          <w:color w:val="ff0000"/>
          <w:sz w:val="24"/>
          <w:szCs w:val="24"/>
          <w:highlight w:val="yellow"/>
        </w:rPr>
      </w:r>
      <w:r>
        <w:rPr>
          <w:bCs/>
          <w:color w:val="ff0000"/>
          <w:sz w:val="24"/>
          <w:szCs w:val="24"/>
          <w:highlight w:val="yellow"/>
        </w:rPr>
      </w:r>
      <w:r>
        <w:rPr>
          <w:bCs/>
          <w:color w:val="ff0000"/>
          <w:sz w:val="24"/>
          <w:szCs w:val="24"/>
          <w:highlight w:val="yellow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предварительным данным с учетом экспертного </w:t>
      </w:r>
      <w:r>
        <w:rPr>
          <w:color w:val="auto"/>
          <w:sz w:val="24"/>
          <w:szCs w:val="24"/>
        </w:rPr>
        <w:t xml:space="preserve">досчета</w:t>
      </w:r>
      <w:r>
        <w:rPr>
          <w:color w:val="auto"/>
          <w:sz w:val="24"/>
          <w:szCs w:val="24"/>
        </w:rPr>
        <w:t xml:space="preserve"> по субъектам малого предпринимательства объем инвестиций в основной капитал за счет всех источников финансирования по полному кругу организаций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 за 202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год </w:t>
      </w:r>
      <w:r>
        <w:rPr>
          <w:color w:val="auto"/>
          <w:sz w:val="24"/>
          <w:szCs w:val="24"/>
        </w:rPr>
        <w:t xml:space="preserve">составил 7 599,0 млн. рублей, в том числе за счет бюджетных средств – 238,1 млн. рублей, собственных средств – 7 7 342,0 млн. рублей, за счет прочих источников – 18,9 млн. рублей.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Основные инвестиционные проекты реализующиеся (реализованные) в 202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году: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одноагрегатной малой гидроэлектростанции на реке Паз (период реализации 2021 -2026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реализация инвестиционного проекта «Оборудование многоквартирных жилых домов интеллектуальной системой учета» в рамках инвестиционной программы на 2023-2025 </w:t>
      </w:r>
      <w:r>
        <w:rPr>
          <w:color w:val="auto"/>
          <w:sz w:val="24"/>
          <w:szCs w:val="24"/>
        </w:rPr>
        <w:t xml:space="preserve">гг</w:t>
      </w:r>
      <w:r>
        <w:rPr>
          <w:color w:val="auto"/>
          <w:sz w:val="24"/>
          <w:szCs w:val="24"/>
        </w:rPr>
        <w:t xml:space="preserve"> АО «</w:t>
      </w:r>
      <w:r>
        <w:rPr>
          <w:color w:val="auto"/>
          <w:sz w:val="24"/>
          <w:szCs w:val="24"/>
        </w:rPr>
        <w:t xml:space="preserve">АтомЭнергоСбыт</w:t>
      </w:r>
      <w:r>
        <w:rPr>
          <w:color w:val="auto"/>
          <w:sz w:val="24"/>
          <w:szCs w:val="24"/>
        </w:rPr>
        <w:t xml:space="preserve">»;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индустриальный объект – рыбоводный (</w:t>
      </w:r>
      <w:r>
        <w:rPr>
          <w:color w:val="auto"/>
          <w:sz w:val="24"/>
          <w:szCs w:val="24"/>
        </w:rPr>
        <w:t xml:space="preserve">смолтовый</w:t>
      </w:r>
      <w:r>
        <w:rPr>
          <w:color w:val="auto"/>
          <w:sz w:val="24"/>
          <w:szCs w:val="24"/>
        </w:rPr>
        <w:t xml:space="preserve">) завод по выращиванию посадочного материала атлантического лосося и форели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районе Мурманской области (период реализации 2021-2025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комплекс объектов </w:t>
      </w:r>
      <w:r>
        <w:rPr>
          <w:color w:val="auto"/>
          <w:sz w:val="24"/>
          <w:szCs w:val="24"/>
        </w:rPr>
        <w:t xml:space="preserve">марикультуры</w:t>
      </w:r>
      <w:r>
        <w:rPr>
          <w:color w:val="auto"/>
          <w:sz w:val="24"/>
          <w:szCs w:val="24"/>
        </w:rPr>
        <w:t xml:space="preserve"> фабрики по убою и переработке атлантического лосося (срок реализации 2021-2024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база отдыха «Студеный берег» (срок реализации 2021-2023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административного здания базы отдыха «Гольфстрим» (срок реализации 2021-2024 гг.);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предприятие по смешиванию, фасовке и упаковке синтетических смол и двухкомпонентного полиэфирного состава в ампулах для механизированного крепления (</w:t>
      </w:r>
      <w:r>
        <w:rPr>
          <w:color w:val="auto"/>
          <w:sz w:val="24"/>
          <w:szCs w:val="24"/>
        </w:rPr>
        <w:t xml:space="preserve">предполагаемый </w:t>
      </w:r>
      <w:r>
        <w:rPr>
          <w:color w:val="auto"/>
          <w:sz w:val="24"/>
          <w:szCs w:val="24"/>
        </w:rPr>
        <w:t xml:space="preserve">срок реализации 2021-2025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туристического комплекса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округе (срок реализации 2022-2026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Центр обработки данных (срок реализации 2021-2026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туристический кластер «</w:t>
      </w:r>
      <w:r>
        <w:rPr>
          <w:color w:val="auto"/>
          <w:sz w:val="24"/>
          <w:szCs w:val="24"/>
        </w:rPr>
        <w:t xml:space="preserve">Валла-Тунтури</w:t>
      </w:r>
      <w:r>
        <w:rPr>
          <w:color w:val="auto"/>
          <w:sz w:val="24"/>
          <w:szCs w:val="24"/>
        </w:rPr>
        <w:t xml:space="preserve">» (срок реализации 2021-2026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r>
        <w:rPr>
          <w:color w:val="auto"/>
          <w:sz w:val="24"/>
          <w:szCs w:val="24"/>
        </w:rPr>
        <w:t xml:space="preserve">глэмпинга</w:t>
      </w:r>
      <w:r>
        <w:rPr>
          <w:color w:val="auto"/>
          <w:sz w:val="24"/>
          <w:szCs w:val="24"/>
        </w:rPr>
        <w:t xml:space="preserve"> и кафе на берегу озера </w:t>
      </w:r>
      <w:r>
        <w:rPr>
          <w:color w:val="auto"/>
          <w:sz w:val="24"/>
          <w:szCs w:val="24"/>
        </w:rPr>
        <w:t xml:space="preserve">Куэтсъярви</w:t>
      </w:r>
      <w:r>
        <w:rPr>
          <w:color w:val="auto"/>
          <w:sz w:val="24"/>
          <w:szCs w:val="24"/>
        </w:rPr>
        <w:t xml:space="preserve"> (срок реализации 2021-2025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реконструкция ДК «Восход»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Никель (срок реализации 2021-2025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строительство начальной школы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Печенга на 250 мест (срок реализации 2023-2024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r>
        <w:rPr>
          <w:color w:val="auto"/>
          <w:sz w:val="24"/>
          <w:szCs w:val="24"/>
        </w:rPr>
        <w:t xml:space="preserve">модульного</w:t>
      </w:r>
      <w:r>
        <w:rPr>
          <w:color w:val="auto"/>
          <w:sz w:val="24"/>
          <w:szCs w:val="24"/>
        </w:rPr>
        <w:t xml:space="preserve"> ФАП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Корзуново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r>
        <w:rPr>
          <w:color w:val="auto"/>
          <w:sz w:val="24"/>
          <w:szCs w:val="24"/>
        </w:rPr>
        <w:t xml:space="preserve">модульного</w:t>
      </w:r>
      <w:r>
        <w:rPr>
          <w:color w:val="auto"/>
          <w:sz w:val="24"/>
          <w:szCs w:val="24"/>
        </w:rPr>
        <w:t xml:space="preserve"> ФАП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Лиинахамари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модульной амбулатории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Печенга;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r>
        <w:rPr>
          <w:color w:val="auto"/>
          <w:sz w:val="24"/>
          <w:szCs w:val="24"/>
        </w:rPr>
        <w:t xml:space="preserve">модульного</w:t>
      </w:r>
      <w:r>
        <w:rPr>
          <w:color w:val="auto"/>
          <w:sz w:val="24"/>
          <w:szCs w:val="24"/>
        </w:rPr>
        <w:t xml:space="preserve"> ФАП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Спутник;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капитальный ремонт домов в поселке Спутник,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 Печенга, поселке 19 км;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rFonts w:eastAsiaTheme="minorHAnsi"/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троительство нового кладбища в МГОП Никель в районе                                          3 км автодороги 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Никель-Приречный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 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 района Мурманской области;</w:t>
      </w:r>
      <w:r>
        <w:rPr>
          <w:rFonts w:eastAsiaTheme="minorHAnsi"/>
          <w:bCs/>
          <w:color w:val="auto"/>
          <w:sz w:val="24"/>
          <w:szCs w:val="24"/>
        </w:rPr>
      </w:r>
      <w:r>
        <w:rPr>
          <w:rFonts w:eastAsiaTheme="minorHAnsi"/>
          <w:bCs/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благоустройство Площади металлургов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 Никель;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выполнение работ по благоустройству объекта «Тропа здоровья» в 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г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.З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аполярный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rFonts w:eastAsiaTheme="minorHAnsi"/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официальным статистическим данным о</w:t>
      </w:r>
      <w:r>
        <w:rPr>
          <w:color w:val="auto"/>
          <w:sz w:val="24"/>
          <w:szCs w:val="24"/>
        </w:rPr>
        <w:t xml:space="preserve">бъем инвестиций в основной капитал </w:t>
      </w:r>
      <w:r>
        <w:rPr>
          <w:color w:val="auto"/>
          <w:sz w:val="24"/>
          <w:szCs w:val="24"/>
        </w:rPr>
        <w:t xml:space="preserve">по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крупным</w:t>
      </w:r>
      <w:r>
        <w:rPr>
          <w:color w:val="auto"/>
          <w:sz w:val="24"/>
          <w:szCs w:val="24"/>
        </w:rPr>
        <w:t xml:space="preserve"> и средним организациям за 1 полугодие 2024 года по сравнению с соответствующим периодом 2023 года увеличился на 82,0 % и составил 2 755,9 млн. рублей. </w:t>
      </w:r>
      <w:r>
        <w:rPr>
          <w:rFonts w:eastAsiaTheme="minorHAnsi"/>
          <w:bCs/>
          <w:color w:val="auto"/>
          <w:sz w:val="24"/>
          <w:szCs w:val="24"/>
        </w:rPr>
      </w:r>
      <w:r>
        <w:rPr>
          <w:rFonts w:eastAsiaTheme="minorHAnsi"/>
          <w:bCs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Структура инвестиций в основной капитал крупных и средних</w:t>
      </w:r>
      <w:r>
        <w:rPr>
          <w:color w:val="auto"/>
          <w:sz w:val="24"/>
          <w:szCs w:val="24"/>
        </w:rPr>
        <w:t xml:space="preserve"> организаций за 1 полугодие 2024 года: 95,5 % – собственные средства, 4,5 % – привлеченные средства (из них бюджетные средства – 117,4 млн. рублей (95,2 % привлеченных средств), прочие привлеченные средства – 6,0 млн. рублей (4,8 % привлеченных средств)).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Основные инвестиционные проекты 2024 года: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продолжение строительства одноагрегатной малой гидроэлектростанции на реке Паз (период реализации 2021 -2026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реализация проекта по созданию </w:t>
      </w:r>
      <w:r>
        <w:rPr>
          <w:color w:val="auto"/>
          <w:sz w:val="24"/>
          <w:szCs w:val="24"/>
        </w:rPr>
        <w:t xml:space="preserve">комплексов инженерно-технических средств охраны объектов Каскада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Пазских</w:t>
      </w:r>
      <w:r>
        <w:rPr>
          <w:color w:val="auto"/>
          <w:sz w:val="24"/>
          <w:szCs w:val="24"/>
        </w:rPr>
        <w:t xml:space="preserve"> ГЭС (период реализации 2024-2027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реализация инвестиционного проекта «Оборудование многоквартирных жилых домов интеллектуальной системой учета» в рамках инвестиционной программы на 2023-2025 </w:t>
      </w:r>
      <w:r>
        <w:rPr>
          <w:color w:val="auto"/>
          <w:sz w:val="24"/>
          <w:szCs w:val="24"/>
        </w:rPr>
        <w:t xml:space="preserve">гг</w:t>
      </w:r>
      <w:r>
        <w:rPr>
          <w:color w:val="auto"/>
          <w:sz w:val="24"/>
          <w:szCs w:val="24"/>
        </w:rPr>
        <w:t xml:space="preserve"> АО «</w:t>
      </w:r>
      <w:r>
        <w:rPr>
          <w:color w:val="auto"/>
          <w:sz w:val="24"/>
          <w:szCs w:val="24"/>
        </w:rPr>
        <w:t xml:space="preserve">АтомЭнергоСбыт</w:t>
      </w:r>
      <w:r>
        <w:rPr>
          <w:color w:val="auto"/>
          <w:sz w:val="24"/>
          <w:szCs w:val="24"/>
        </w:rPr>
        <w:t xml:space="preserve">»;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- инвестиционные проекты, реализуемые АО «Кольская ГМК», 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(период реализации 2023-2027 гг.) (Вскрытие и отработка запасов руды до гор.-730 м рудника «Северный – Глубокий» - проходка горных выработок, работы по оснащению пройденных горных выработок, а также </w:t>
      </w:r>
      <w:r>
        <w:rPr>
          <w:color w:val="auto"/>
          <w:sz w:val="24"/>
          <w:szCs w:val="24"/>
        </w:rPr>
        <w:t xml:space="preserve">углубка</w:t>
      </w:r>
      <w:r>
        <w:rPr>
          <w:color w:val="auto"/>
          <w:sz w:val="24"/>
          <w:szCs w:val="24"/>
        </w:rPr>
        <w:t xml:space="preserve"> ЦВС; </w:t>
      </w:r>
      <w:r>
        <w:rPr>
          <w:color w:val="auto"/>
          <w:sz w:val="24"/>
          <w:szCs w:val="24"/>
        </w:rPr>
        <w:t xml:space="preserve">Вскрытие и отработка запасов руды до гор.-440 м рудника «Северный – Гл</w:t>
      </w:r>
      <w:r>
        <w:rPr>
          <w:color w:val="auto"/>
          <w:sz w:val="24"/>
          <w:szCs w:val="24"/>
        </w:rPr>
        <w:t xml:space="preserve">убокий» - строительство транспортной выработки Восточного участка гор.-440 м, строительство комплекса выработок разгрузки автосамосвалов и погрузочных камер Восточного участка откаточного горизонта -440 м; Реконструкция станции очистки шахтных вод рудника </w:t>
      </w:r>
      <w:r>
        <w:rPr>
          <w:color w:val="auto"/>
          <w:sz w:val="24"/>
          <w:szCs w:val="24"/>
        </w:rPr>
        <w:t xml:space="preserve">«Северный»);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индустриальный объект – рыбоводный (</w:t>
      </w:r>
      <w:r>
        <w:rPr>
          <w:color w:val="auto"/>
          <w:sz w:val="24"/>
          <w:szCs w:val="24"/>
        </w:rPr>
        <w:t xml:space="preserve">смолтовый</w:t>
      </w:r>
      <w:r>
        <w:rPr>
          <w:color w:val="auto"/>
          <w:sz w:val="24"/>
          <w:szCs w:val="24"/>
        </w:rPr>
        <w:t xml:space="preserve">) завод по выращиванию посадочного материала атлантического лосося и форели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районе Мурманской области (период реализации 2021-2025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комплекс объектов </w:t>
      </w:r>
      <w:r>
        <w:rPr>
          <w:color w:val="auto"/>
          <w:sz w:val="24"/>
          <w:szCs w:val="24"/>
        </w:rPr>
        <w:t xml:space="preserve">марикультуры</w:t>
      </w:r>
      <w:r>
        <w:rPr>
          <w:color w:val="auto"/>
          <w:sz w:val="24"/>
          <w:szCs w:val="24"/>
        </w:rPr>
        <w:t xml:space="preserve"> фабрики по убою и переработке атлантического лосося (срок реализации 2021-2024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административного здания базы отдыха «Гольфстрим» (срок реализации 2021-2024 гг.);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предприятие по смешиванию, фасовке и упаковке синтетических смол и двухкомпонентного полиэфирного состава в ампулах для механизированного крепления (</w:t>
      </w:r>
      <w:r>
        <w:rPr>
          <w:color w:val="auto"/>
          <w:sz w:val="24"/>
          <w:szCs w:val="24"/>
        </w:rPr>
        <w:t xml:space="preserve">предполагаемый </w:t>
      </w:r>
      <w:r>
        <w:rPr>
          <w:color w:val="auto"/>
          <w:sz w:val="24"/>
          <w:szCs w:val="24"/>
        </w:rPr>
        <w:t xml:space="preserve">срок реализации 2021-2025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туристического комплекса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округе (срок реализации 2022-2026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Центр обработки данных (срок реализации 2021-2026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туристический кластер «</w:t>
      </w:r>
      <w:r>
        <w:rPr>
          <w:color w:val="auto"/>
          <w:sz w:val="24"/>
          <w:szCs w:val="24"/>
        </w:rPr>
        <w:t xml:space="preserve">Валла-Тунтури</w:t>
      </w:r>
      <w:r>
        <w:rPr>
          <w:color w:val="auto"/>
          <w:sz w:val="24"/>
          <w:szCs w:val="24"/>
        </w:rPr>
        <w:t xml:space="preserve">» (срок реализации 2021-2026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r>
        <w:rPr>
          <w:color w:val="auto"/>
          <w:sz w:val="24"/>
          <w:szCs w:val="24"/>
        </w:rPr>
        <w:t xml:space="preserve">глэмпинга</w:t>
      </w:r>
      <w:r>
        <w:rPr>
          <w:color w:val="auto"/>
          <w:sz w:val="24"/>
          <w:szCs w:val="24"/>
        </w:rPr>
        <w:t xml:space="preserve"> и кафе на берегу озера </w:t>
      </w:r>
      <w:r>
        <w:rPr>
          <w:color w:val="auto"/>
          <w:sz w:val="24"/>
          <w:szCs w:val="24"/>
        </w:rPr>
        <w:t xml:space="preserve">Куэтсъярви</w:t>
      </w:r>
      <w:r>
        <w:rPr>
          <w:color w:val="auto"/>
          <w:sz w:val="24"/>
          <w:szCs w:val="24"/>
        </w:rPr>
        <w:t xml:space="preserve"> (срок реализации 2021-2025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выполнение работ по капитальному ремонту мостовых </w:t>
      </w:r>
      <w:r>
        <w:rPr>
          <w:color w:val="auto"/>
          <w:sz w:val="24"/>
          <w:szCs w:val="24"/>
        </w:rPr>
        <w:t xml:space="preserve">сооружений</w:t>
      </w:r>
      <w:r>
        <w:rPr>
          <w:color w:val="auto"/>
          <w:sz w:val="24"/>
          <w:szCs w:val="24"/>
        </w:rPr>
        <w:t xml:space="preserve"> а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Никель (</w:t>
      </w:r>
      <w:r>
        <w:rPr>
          <w:color w:val="auto"/>
          <w:sz w:val="24"/>
          <w:szCs w:val="24"/>
        </w:rPr>
        <w:t xml:space="preserve">р</w:t>
      </w:r>
      <w:r>
        <w:rPr>
          <w:color w:val="auto"/>
          <w:sz w:val="24"/>
          <w:szCs w:val="24"/>
        </w:rPr>
        <w:t xml:space="preserve">.К</w:t>
      </w:r>
      <w:r>
        <w:rPr>
          <w:color w:val="auto"/>
          <w:sz w:val="24"/>
          <w:szCs w:val="24"/>
        </w:rPr>
        <w:t xml:space="preserve">олосйоки</w:t>
      </w:r>
      <w:r>
        <w:rPr>
          <w:color w:val="auto"/>
          <w:sz w:val="24"/>
          <w:szCs w:val="24"/>
        </w:rPr>
        <w:t xml:space="preserve">) и г. Заполярный (р. </w:t>
      </w:r>
      <w:r>
        <w:rPr>
          <w:color w:val="auto"/>
          <w:sz w:val="24"/>
          <w:szCs w:val="24"/>
        </w:rPr>
        <w:t xml:space="preserve">Хауки-лампи-йоки</w:t>
      </w:r>
      <w:r>
        <w:rPr>
          <w:color w:val="auto"/>
          <w:sz w:val="24"/>
          <w:szCs w:val="24"/>
        </w:rPr>
        <w:t xml:space="preserve">) (срок реализации </w:t>
      </w:r>
      <w:r>
        <w:rPr>
          <w:color w:val="auto"/>
          <w:sz w:val="24"/>
          <w:szCs w:val="24"/>
        </w:rPr>
        <w:t xml:space="preserve">2023-</w:t>
      </w:r>
      <w:r>
        <w:rPr>
          <w:color w:val="auto"/>
          <w:sz w:val="24"/>
          <w:szCs w:val="24"/>
        </w:rPr>
        <w:t xml:space="preserve">2024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02"/>
        <w:ind w:left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строительство </w:t>
      </w:r>
      <w:r>
        <w:rPr>
          <w:color w:val="auto"/>
          <w:sz w:val="24"/>
          <w:szCs w:val="24"/>
        </w:rPr>
        <w:t xml:space="preserve">модульного</w:t>
      </w:r>
      <w:r>
        <w:rPr>
          <w:color w:val="auto"/>
          <w:sz w:val="24"/>
          <w:szCs w:val="24"/>
        </w:rPr>
        <w:t xml:space="preserve"> ФАП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Корзуново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02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r>
        <w:rPr>
          <w:color w:val="auto"/>
          <w:sz w:val="24"/>
          <w:szCs w:val="24"/>
        </w:rPr>
        <w:t xml:space="preserve">модульного</w:t>
      </w:r>
      <w:r>
        <w:rPr>
          <w:color w:val="auto"/>
          <w:sz w:val="24"/>
          <w:szCs w:val="24"/>
        </w:rPr>
        <w:t xml:space="preserve"> ФАП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Лиинахамари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02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модульной амбулатории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Печенга;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02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r>
        <w:rPr>
          <w:color w:val="auto"/>
          <w:sz w:val="24"/>
          <w:szCs w:val="24"/>
        </w:rPr>
        <w:t xml:space="preserve">модульного</w:t>
      </w:r>
      <w:r>
        <w:rPr>
          <w:color w:val="auto"/>
          <w:sz w:val="24"/>
          <w:szCs w:val="24"/>
        </w:rPr>
        <w:t xml:space="preserve"> ФАП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Спутник;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реконструкция ДК «Восход»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Никель (</w:t>
      </w:r>
      <w:r>
        <w:rPr>
          <w:color w:val="auto"/>
          <w:sz w:val="24"/>
          <w:szCs w:val="24"/>
        </w:rPr>
        <w:t xml:space="preserve">срок</w:t>
      </w:r>
      <w:r>
        <w:rPr>
          <w:color w:val="auto"/>
          <w:sz w:val="24"/>
          <w:szCs w:val="24"/>
        </w:rPr>
        <w:t xml:space="preserve"> реализации 202</w:t>
      </w:r>
      <w:r>
        <w:rPr>
          <w:color w:val="auto"/>
          <w:sz w:val="24"/>
          <w:szCs w:val="24"/>
        </w:rPr>
        <w:t xml:space="preserve">1-2025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rFonts w:eastAsiaTheme="minorHAnsi"/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окончание 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строительства нового кладбища в МГОП Никель в районе                                          3 км автодороги 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Никель-Приречный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 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 района Мурманской области;</w:t>
      </w:r>
      <w:r>
        <w:rPr>
          <w:rFonts w:eastAsiaTheme="minorHAnsi"/>
          <w:bCs/>
          <w:color w:val="auto"/>
          <w:sz w:val="24"/>
          <w:szCs w:val="24"/>
        </w:rPr>
      </w:r>
      <w:r>
        <w:rPr>
          <w:rFonts w:eastAsiaTheme="minorHAnsi"/>
          <w:bCs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rFonts w:eastAsiaTheme="minorHAnsi"/>
          <w:bCs/>
          <w:color w:val="auto"/>
          <w:sz w:val="24"/>
          <w:szCs w:val="24"/>
        </w:rPr>
      </w:pP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-</w:t>
      </w:r>
      <w:r>
        <w:rPr>
          <w:rFonts w:eastAsiaTheme="minorHAnsi"/>
          <w:bCs/>
          <w:color w:val="ff0000"/>
          <w:sz w:val="24"/>
          <w:szCs w:val="24"/>
          <w:lang w:eastAsia="en-US"/>
        </w:rPr>
        <w:t xml:space="preserve"> 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выполнение работ по благоустройству объекта «Тропа здоровья» в 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г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.З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аполярный</w:t>
      </w:r>
      <w:r>
        <w:rPr>
          <w:rFonts w:eastAsiaTheme="minorHAnsi"/>
          <w:bCs/>
          <w:color w:val="auto"/>
          <w:sz w:val="24"/>
          <w:szCs w:val="24"/>
          <w:lang w:eastAsia="en-US"/>
        </w:rPr>
        <w:t xml:space="preserve">;</w:t>
      </w:r>
      <w:r>
        <w:rPr>
          <w:rFonts w:eastAsiaTheme="minorHAnsi"/>
          <w:bCs/>
          <w:color w:val="auto"/>
          <w:sz w:val="24"/>
          <w:szCs w:val="24"/>
        </w:rPr>
      </w:r>
      <w:r>
        <w:rPr>
          <w:rFonts w:eastAsiaTheme="minorHAnsi"/>
          <w:bCs/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благоустройство Площади металлургов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 Никель;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реконструкция котельных и тепловых сетей в рамках концессионного соглашения (срок реализации 2024-2025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строительство начальной школы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Печенга на 250 мест (срок реализации 2023-2024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выполнение работ по капитальному ремонту фасада и входных групп МБОУ ООШ №22;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left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завершение строительства недостроенного дома в г. </w:t>
      </w:r>
      <w:r>
        <w:rPr>
          <w:color w:val="auto"/>
          <w:sz w:val="24"/>
          <w:szCs w:val="24"/>
        </w:rPr>
        <w:t xml:space="preserve">Заполярный</w:t>
      </w:r>
      <w:r>
        <w:rPr>
          <w:color w:val="auto"/>
          <w:sz w:val="24"/>
          <w:szCs w:val="24"/>
        </w:rPr>
        <w:t xml:space="preserve"> по ул. Ленинградская (2024-2025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организация молодежн</w:t>
      </w:r>
      <w:r>
        <w:rPr>
          <w:color w:val="auto"/>
          <w:sz w:val="24"/>
          <w:szCs w:val="24"/>
        </w:rPr>
        <w:t xml:space="preserve">ых</w:t>
      </w:r>
      <w:r>
        <w:rPr>
          <w:color w:val="auto"/>
          <w:sz w:val="24"/>
          <w:szCs w:val="24"/>
        </w:rPr>
        <w:t xml:space="preserve"> пространств «Сопки»</w:t>
      </w:r>
      <w:r>
        <w:rPr>
          <w:color w:val="auto"/>
          <w:sz w:val="24"/>
          <w:szCs w:val="24"/>
        </w:rPr>
        <w:t xml:space="preserve">, а также «Сопки. Семья»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модернизация объекта «Крытый хоккейный корт» в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.З</w:t>
      </w:r>
      <w:r>
        <w:rPr>
          <w:color w:val="auto"/>
          <w:sz w:val="24"/>
          <w:szCs w:val="24"/>
        </w:rPr>
        <w:t xml:space="preserve">аполярный</w:t>
      </w:r>
      <w:r>
        <w:rPr>
          <w:color w:val="auto"/>
          <w:sz w:val="24"/>
          <w:szCs w:val="24"/>
        </w:rPr>
        <w:t xml:space="preserve"> (искусственный лед) (202</w:t>
      </w:r>
      <w:r>
        <w:rPr>
          <w:color w:val="auto"/>
          <w:sz w:val="24"/>
          <w:szCs w:val="24"/>
        </w:rPr>
        <w:t xml:space="preserve">3-2024 гг.</w:t>
      </w:r>
      <w:r>
        <w:rPr>
          <w:color w:val="auto"/>
          <w:sz w:val="24"/>
          <w:szCs w:val="24"/>
        </w:rPr>
        <w:t xml:space="preserve">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проектирование, строительство и ввод в эксплуатацию объекта капитального строительства «Детский сад на 350 мест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Печенга (срок реализации 2024-2026 гг.) * на сегодняшний день контракт не заключен;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разработка проектной документации и строительство здания детского сада на 250 мест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Корзуново</w:t>
      </w:r>
      <w:r>
        <w:rPr>
          <w:color w:val="auto"/>
          <w:sz w:val="24"/>
          <w:szCs w:val="24"/>
        </w:rPr>
        <w:t xml:space="preserve"> (срок реализации 2024-2026 гг.) * на сегодняшний день контракт не заключен;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капитальный ремонт кровли и утепление фасада МБУ «КДЦ «Платформа» (срок реализации 2024 г.)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разработка проектной документации и реализация проекта «Туристический кластер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– «Кольская сверхглубокая», «Плавильный цех», «Шахта </w:t>
      </w:r>
      <w:r>
        <w:rPr>
          <w:color w:val="auto"/>
          <w:sz w:val="24"/>
          <w:szCs w:val="24"/>
        </w:rPr>
        <w:t xml:space="preserve">Каул</w:t>
      </w:r>
      <w:r>
        <w:rPr>
          <w:color w:val="auto"/>
          <w:sz w:val="24"/>
          <w:szCs w:val="24"/>
        </w:rPr>
        <w:t xml:space="preserve">а-Котсельваара</w:t>
      </w:r>
      <w:r>
        <w:rPr>
          <w:color w:val="auto"/>
          <w:sz w:val="24"/>
          <w:szCs w:val="24"/>
        </w:rPr>
        <w:t xml:space="preserve">» (2023-2024 гг.).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В 2024 году ожидаемый объем инвестиций в основной капитал</w:t>
      </w:r>
      <w:r>
        <w:rPr>
          <w:color w:val="auto"/>
          <w:sz w:val="24"/>
          <w:szCs w:val="24"/>
        </w:rPr>
        <w:t xml:space="preserve"> за счет всех источников составит 14 013,1</w:t>
      </w:r>
      <w:r>
        <w:rPr>
          <w:bCs/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млн. рублей или 184,4 %  к уровню 2023 года.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За счет</w:t>
      </w:r>
      <w:r>
        <w:rPr>
          <w:bCs/>
          <w:color w:val="auto"/>
          <w:sz w:val="24"/>
          <w:szCs w:val="24"/>
        </w:rPr>
        <w:t xml:space="preserve"> собственных сре</w:t>
      </w:r>
      <w:r>
        <w:rPr>
          <w:bCs/>
          <w:color w:val="auto"/>
          <w:sz w:val="24"/>
          <w:szCs w:val="24"/>
        </w:rPr>
        <w:t xml:space="preserve">дств пр</w:t>
      </w:r>
      <w:r>
        <w:rPr>
          <w:bCs/>
          <w:color w:val="auto"/>
          <w:sz w:val="24"/>
          <w:szCs w:val="24"/>
        </w:rPr>
        <w:t xml:space="preserve">едприятий и организаций</w:t>
      </w:r>
      <w:r>
        <w:rPr>
          <w:color w:val="auto"/>
          <w:sz w:val="24"/>
          <w:szCs w:val="24"/>
        </w:rPr>
        <w:t xml:space="preserve"> предполагается освоить 13 608,5 млн. рублей, что составит 97,1 % от общего объема инвестиций. Доля </w:t>
      </w:r>
      <w:r>
        <w:rPr>
          <w:bCs/>
          <w:color w:val="auto"/>
          <w:sz w:val="24"/>
          <w:szCs w:val="24"/>
        </w:rPr>
        <w:t xml:space="preserve">бюджетных средств</w:t>
      </w:r>
      <w:r>
        <w:rPr>
          <w:color w:val="auto"/>
          <w:sz w:val="24"/>
          <w:szCs w:val="24"/>
        </w:rPr>
        <w:t xml:space="preserve"> в общем объеме инвестиций составит 2,3 %, или 318,1 млн. руб</w:t>
      </w:r>
      <w:r>
        <w:rPr>
          <w:color w:val="auto"/>
          <w:sz w:val="24"/>
          <w:szCs w:val="24"/>
        </w:rPr>
        <w:t xml:space="preserve">лей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7"/>
        <w:ind w:firstLine="708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Приказом Минэкономразвития России от 26.06.2023 № 672 утверждены Методические рекомендации по организации системной работы по сопровождению инвестиционных проектов муниципальными образованиями с учетом внедрения в субъектах Российск</w:t>
      </w:r>
      <w:r>
        <w:rPr>
          <w:sz w:val="24"/>
          <w:szCs w:val="24"/>
        </w:rPr>
        <w:t xml:space="preserve">ой Федерации системы поддержки новых инвестиционных проектов («Региональный инвестиционный стандарт») (далее – Методические рекомендации). В пункте 11 Методических рекомендаций перечислены рекомендуемые положения для документа стратегического планирования.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7"/>
        <w:ind w:firstLine="708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 в настоящее время осуществляется работа по постепенному внедрению Регионального стандарта, с учетом Методических рекомендаций. Завершение указанной работы планируется к концу 2024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sz w:val="24"/>
          <w:szCs w:val="24"/>
        </w:rPr>
      </w:r>
      <w:bookmarkStart w:id="10" w:name="_Toc106522158"/>
      <w:r>
        <w:rPr>
          <w:sz w:val="24"/>
          <w:szCs w:val="24"/>
        </w:rPr>
      </w:r>
      <w:bookmarkStart w:id="11" w:name="_Toc106522208"/>
      <w:r>
        <w:rPr>
          <w:sz w:val="24"/>
          <w:szCs w:val="24"/>
        </w:rPr>
      </w:r>
      <w:bookmarkStart w:id="12" w:name="_Toc106522353"/>
      <w:r>
        <w:rPr>
          <w:sz w:val="24"/>
          <w:szCs w:val="24"/>
        </w:rPr>
      </w:r>
      <w:bookmarkStart w:id="13" w:name="_Toc106522954"/>
      <w:r>
        <w:rPr>
          <w:sz w:val="24"/>
          <w:szCs w:val="24"/>
        </w:rPr>
      </w:r>
      <w:bookmarkStart w:id="14" w:name="_Toc106526620"/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ind w:firstLine="709"/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6. Сальдированный финансовый результат (прибыль, убыток) деятельности крупных и средних предприятий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center"/>
        <w:spacing w:after="0" w:afterAutospacing="0" w:line="240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В январе-июне 2024 года наблюдается </w:t>
      </w:r>
      <w:r>
        <w:rPr>
          <w:color w:val="auto"/>
          <w:sz w:val="24"/>
          <w:szCs w:val="24"/>
        </w:rPr>
        <w:t xml:space="preserve">снижение сальдированного финансового результата деятельности организаций до – 1 968,4 млн. рублей (2 314,6 млн. рублей в январе-июне 2023 года).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Дебиторская задолженность организаций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в январе-июне 2024 года составила 1 031,6 млн. рублей (35,2 % к аналогичному периоду 2023 года). Кредиторская задолженность составила 1 047,3 млн. рублей (93,5% к январю-июню 2023 года).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По данным ТОФСГС Мурманской области</w:t>
      </w:r>
      <w:r>
        <w:rPr>
          <w:color w:val="auto"/>
          <w:sz w:val="24"/>
          <w:szCs w:val="24"/>
        </w:rPr>
        <w:t xml:space="preserve"> за период январь-июнь 2024 года общее количество прибыльных организаций (по юридическим лицам, кроме субъектов малого предпринимательства, кредитных организаций, государственных (муниципальных) учреждений, </w:t>
      </w:r>
      <w:r>
        <w:rPr>
          <w:color w:val="auto"/>
          <w:sz w:val="24"/>
          <w:szCs w:val="24"/>
        </w:rPr>
        <w:t xml:space="preserve">некредитных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финансовых организаций, а также организаций, у которых в течение двух предыдущих лет средняя численность работников не превышает 15 человек, включая работающих по совместительству и договорам  гражданско-правового характера, и в течение двух предыдущих лет</w:t>
      </w:r>
      <w:r>
        <w:rPr>
          <w:color w:val="auto"/>
          <w:sz w:val="24"/>
          <w:szCs w:val="24"/>
        </w:rPr>
        <w:t xml:space="preserve"> годовой оборот организации не превышает 800 млн. рублей) составило 2 единицы (50 % к январю-июню 2023 года). Общее число убыточных крупных и средних организаций – 2 единицы (0 – по итогам аналогичного периода 2023 года).</w:t>
      </w:r>
      <w:bookmarkStart w:id="15" w:name="_Toc106522162"/>
      <w:r>
        <w:rPr>
          <w:sz w:val="24"/>
          <w:szCs w:val="24"/>
        </w:rPr>
      </w:r>
      <w:bookmarkStart w:id="16" w:name="_Toc106522212"/>
      <w:r>
        <w:rPr>
          <w:sz w:val="24"/>
          <w:szCs w:val="24"/>
        </w:rPr>
      </w:r>
      <w:bookmarkStart w:id="17" w:name="_Toc106522357"/>
      <w:r>
        <w:rPr>
          <w:sz w:val="24"/>
          <w:szCs w:val="24"/>
        </w:rPr>
      </w:r>
      <w:bookmarkStart w:id="18" w:name="_Toc106522958"/>
      <w:r>
        <w:rPr>
          <w:sz w:val="24"/>
          <w:szCs w:val="24"/>
        </w:rPr>
      </w:r>
      <w:bookmarkStart w:id="19" w:name="_Toc106526624"/>
      <w:r>
        <w:rPr>
          <w:sz w:val="24"/>
          <w:szCs w:val="24"/>
        </w:rPr>
      </w:r>
      <w:bookmarkEnd w:id="10"/>
      <w:r>
        <w:rPr>
          <w:sz w:val="24"/>
          <w:szCs w:val="24"/>
        </w:rPr>
      </w:r>
      <w:bookmarkEnd w:id="11"/>
      <w:r>
        <w:rPr>
          <w:sz w:val="24"/>
          <w:szCs w:val="24"/>
        </w:rPr>
      </w:r>
      <w:bookmarkEnd w:id="12"/>
      <w:r>
        <w:rPr>
          <w:sz w:val="24"/>
          <w:szCs w:val="24"/>
        </w:rPr>
      </w:r>
      <w:bookmarkEnd w:id="13"/>
      <w:r>
        <w:rPr>
          <w:sz w:val="24"/>
          <w:szCs w:val="24"/>
        </w:rPr>
      </w:r>
      <w:bookmarkEnd w:id="14"/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Прогнозируемый финансовый результат организаций в январе-декабре 2024 года составит 3 446,3 млн. рублей (январь-декабрь 2023 года – 3 254,3 млн. рублей).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28"/>
          <w:right w:val="single" w:color="FFFFFF" w:sz="4" w:space="0"/>
        </w:pBd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spacing w:after="0" w:afterAutospacing="0" w:line="240" w:lineRule="auto"/>
        <w:widowControl w:val="off"/>
        <w:rPr>
          <w:b/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b/>
          <w:color w:val="auto"/>
          <w:sz w:val="24"/>
          <w:szCs w:val="24"/>
        </w:rPr>
        <w:t xml:space="preserve">7. Труд и занятость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center"/>
        <w:spacing w:after="0" w:afterAutospacing="0" w:line="240" w:lineRule="auto"/>
        <w:widowControl w:val="off"/>
        <w:rPr>
          <w:b/>
          <w:color w:val="ff0000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rFonts w:eastAsiaTheme="minorHAnsi"/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Среднесписочная численность работников в крупных и средних организациях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в 2023 году составила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10 042 человек (10 175 человек – в 2022 году).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rFonts w:eastAsiaTheme="minorHAnsi"/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Среднемесячная номинальная начисленная заработная плата одного работника в организациях, расположенных на территории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 (без субъектов малого предпринимательства), по статистическим данным за 202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3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год составила</w:t>
      </w:r>
      <w:r>
        <w:rPr>
          <w:rFonts w:eastAsiaTheme="minorHAnsi"/>
          <w:color w:val="ff0000"/>
          <w:sz w:val="24"/>
          <w:szCs w:val="24"/>
          <w:lang w:eastAsia="en-US"/>
        </w:rPr>
        <w:t xml:space="preserve">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95 351,3 рублей, и увеличилась по сравнению с 2022 годом на 4,8 %, ее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реальное наполнение уменьшилось на 1,9 %.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На рост среднемесячной заработной платы в 2023 году оказало влияние проведение индексации оплаты труда работников </w:t>
      </w:r>
      <w:r>
        <w:rPr>
          <w:color w:val="auto"/>
          <w:sz w:val="24"/>
          <w:szCs w:val="24"/>
        </w:rPr>
        <w:t xml:space="preserve">практически </w:t>
      </w:r>
      <w:r>
        <w:rPr>
          <w:color w:val="auto"/>
          <w:sz w:val="24"/>
          <w:szCs w:val="24"/>
        </w:rPr>
        <w:t xml:space="preserve">всех </w:t>
      </w:r>
      <w:r>
        <w:rPr>
          <w:color w:val="auto"/>
          <w:sz w:val="24"/>
          <w:szCs w:val="24"/>
        </w:rPr>
        <w:t xml:space="preserve">отраслей экономики, увеличение МРОТ. 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W w:w="9606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blBorders>
        <w:tblLayout w:type="fixed"/>
        <w:tblLook w:val="0000" w:firstRow="0" w:lastRow="0" w:firstColumn="0" w:lastColumn="0" w:noHBand="0" w:noVBand="0"/>
      </w:tblPr>
      <w:tblGrid>
        <w:gridCol w:w="6204"/>
        <w:gridCol w:w="1701"/>
        <w:gridCol w:w="1701"/>
      </w:tblGrid>
      <w:tr>
        <w:tblPrEx/>
        <w:trPr>
          <w:trHeight w:val="385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06" w:type="dxa"/>
            <w:textDirection w:val="lrTb"/>
            <w:noWrap w:val="false"/>
          </w:tcPr>
          <w:p>
            <w:pPr>
              <w:ind w:firstLine="709"/>
              <w:jc w:val="both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По данным Росстата в разрезе отраслей экономики среднемесячная заработная плата в организациях 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муниципального округа (без субъектов малого предпринимательства) в 2023 году составила: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  <w:p>
            <w:pPr>
              <w:ind w:firstLine="709"/>
              <w:jc w:val="both"/>
              <w:spacing w:after="0" w:afterAutospacing="0" w:line="240" w:lineRule="auto"/>
              <w:rPr>
                <w:rFonts w:eastAsiaTheme="minorHAnsi"/>
                <w:color w:val="ff0000"/>
                <w:sz w:val="24"/>
                <w:szCs w:val="24"/>
              </w:rPr>
            </w:pPr>
            <w: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r>
            <w:r>
              <w:rPr>
                <w:rFonts w:eastAsiaTheme="minorHAnsi"/>
                <w:color w:val="ff0000"/>
                <w:sz w:val="24"/>
                <w:szCs w:val="24"/>
              </w:rPr>
            </w:r>
            <w:r>
              <w:rPr>
                <w:rFonts w:eastAsiaTheme="minorHAnsi"/>
                <w:color w:val="ff0000"/>
                <w:sz w:val="24"/>
                <w:szCs w:val="24"/>
              </w:rPr>
            </w:r>
          </w:p>
          <w:p>
            <w:pPr>
              <w:spacing w:after="0" w:afterAutospacing="0" w:line="240" w:lineRule="auto"/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pPr>
            <w:r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 xml:space="preserve"> </w:t>
            </w:r>
            <w:r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r>
            <w:r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10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04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Вид деятельности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  <w:p>
            <w:pPr>
              <w:jc w:val="center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рублей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  <w:p>
            <w:pPr>
              <w:jc w:val="center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Темп роста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  <w:p>
            <w:pPr>
              <w:jc w:val="center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в % к 202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году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109"/>
        </w:trPr>
        <w:tc>
          <w:tcPr>
            <w:tcBorders>
              <w:top w:val="single" w:color="auto" w:sz="4" w:space="0"/>
            </w:tcBorders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Обрабатывающие производства 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122 828,3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+0,2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Обеспечение электрической энергией, газом и паром; кондиционирование воздуха 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66 560,1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  <w:p>
            <w:pPr>
              <w:jc w:val="lef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  <w:highlight w:val="yellow"/>
              </w:rPr>
            </w:pPr>
            <w:r>
              <w:rPr>
                <w:rFonts w:eastAsiaTheme="minorHAnsi"/>
                <w:color w:val="auto"/>
                <w:sz w:val="22"/>
                <w:szCs w:val="22"/>
                <w:highlight w:val="yellow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highlight w:val="yellow"/>
              </w:rPr>
            </w:r>
            <w:r>
              <w:rPr>
                <w:rFonts w:eastAsiaTheme="minorHAnsi"/>
                <w:color w:val="auto"/>
                <w:sz w:val="24"/>
                <w:szCs w:val="24"/>
                <w:highlight w:val="yellow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  <w:highlight w:val="yellow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+5,9</w:t>
            </w:r>
            <w:r>
              <w:rPr>
                <w:rFonts w:eastAsiaTheme="minorHAnsi"/>
                <w:color w:val="auto"/>
                <w:sz w:val="24"/>
                <w:szCs w:val="24"/>
                <w:highlight w:val="yellow"/>
              </w:rPr>
            </w:r>
            <w:r>
              <w:rPr>
                <w:rFonts w:eastAsiaTheme="minorHAnsi"/>
                <w:color w:val="auto"/>
                <w:sz w:val="24"/>
                <w:szCs w:val="24"/>
                <w:highlight w:val="yellow"/>
              </w:rPr>
            </w:r>
          </w:p>
          <w:p>
            <w:pPr>
              <w:jc w:val="lef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  <w:highlight w:val="yellow"/>
              </w:rPr>
            </w:pPr>
            <w:r>
              <w:rPr>
                <w:rFonts w:eastAsiaTheme="minorHAnsi"/>
                <w:color w:val="auto"/>
                <w:sz w:val="22"/>
                <w:szCs w:val="22"/>
                <w:highlight w:val="yellow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  <w:highlight w:val="yellow"/>
              </w:rPr>
            </w:r>
            <w:r>
              <w:rPr>
                <w:rFonts w:eastAsiaTheme="minorHAnsi"/>
                <w:color w:val="auto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247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Торговля оптовая и розничная; ремонт автотранспортных средств и мотоциклов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63 855,4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+11,6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109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Транспортировка и хранение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88 106,7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+0,8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46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Деятельность гостиниц и предприятий общественного питания 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63 409,8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+9,2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109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  <w:highlight w:val="none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Деятельность в области информации и связи </w:t>
            </w:r>
            <w:r>
              <w:rPr>
                <w:rFonts w:eastAsiaTheme="minorHAnsi"/>
                <w:color w:val="auto"/>
                <w:sz w:val="24"/>
                <w:szCs w:val="24"/>
                <w:highlight w:val="none"/>
              </w:rPr>
            </w:r>
            <w:r>
              <w:rPr>
                <w:rFonts w:eastAsiaTheme="minorHAnsi"/>
                <w:color w:val="auto"/>
                <w:sz w:val="24"/>
                <w:szCs w:val="24"/>
                <w:highlight w:val="non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110 031,0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+4,2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109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Деятельность финансовая и страховая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136 710,0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+19,9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Деятельность по операциям с недвижимым имуществом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46 808,2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+12,5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Деятельность профессиональная, научная и техническая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77 840,8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-6,5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Деятельность административная и сопутствующие дополнительные услуги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67 341,8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+4,9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Государственное управление и обеспечение военной безопасности; социальное обеспечение </w:t>
            </w: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82 694,8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+11,2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109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Образование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65 594,9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+17,5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  <w:highlight w:val="yellow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Деятельность в области здравоохранения и социальных услуг </w:t>
            </w:r>
            <w:r>
              <w:rPr>
                <w:rFonts w:eastAsiaTheme="minorHAnsi"/>
                <w:color w:val="auto"/>
                <w:sz w:val="24"/>
                <w:szCs w:val="24"/>
                <w:highlight w:val="yellow"/>
              </w:rPr>
            </w:r>
            <w:r>
              <w:rPr>
                <w:rFonts w:eastAsiaTheme="minorHAnsi"/>
                <w:color w:val="auto"/>
                <w:sz w:val="24"/>
                <w:szCs w:val="24"/>
                <w:highlight w:val="yellow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65 974,5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+13,3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Деятельность в области культуры, спорта, организации досуга и развлечений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69 986,1 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+10,1</w:t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Fonts w:eastAsiaTheme="minorHAnsi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109"/>
        </w:trPr>
        <w:tc>
          <w:tcPr>
            <w:tcW w:w="6204" w:type="dxa"/>
            <w:textDirection w:val="lrTb"/>
            <w:noWrap w:val="false"/>
          </w:tcPr>
          <w:p>
            <w:pPr>
              <w:spacing w:after="0" w:afterAutospacing="0" w:line="240" w:lineRule="auto"/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pPr>
            <w:r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</w:r>
            <w:r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r>
            <w:r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after="0" w:afterAutospacing="0" w:line="240" w:lineRule="auto"/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pPr>
            <w:r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</w:r>
            <w:r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r>
            <w:r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pPr>
            <w:r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</w:r>
            <w:r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r>
            <w:r>
              <w:rPr>
                <w:rFonts w:eastAsiaTheme="minorHAnsi"/>
                <w:color w:val="ff0000"/>
                <w:sz w:val="24"/>
                <w:szCs w:val="24"/>
                <w:highlight w:val="yellow"/>
              </w:rPr>
            </w:r>
          </w:p>
        </w:tc>
      </w:tr>
    </w:tbl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Ср</w:t>
      </w:r>
      <w:r>
        <w:rPr>
          <w:color w:val="auto"/>
          <w:sz w:val="24"/>
          <w:szCs w:val="24"/>
        </w:rPr>
        <w:t xml:space="preserve">еднегодовая численность населения в трудоспособном возрасте в 2023 году снизилась на 3,3 % по сравнению с 2022 годом, и составила 19 110 человек. На снижение численности граждан трудоспособного возраста повлияли естественная и миграционная убыль населения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Численность официально </w:t>
      </w:r>
      <w:r>
        <w:rPr>
          <w:color w:val="auto"/>
          <w:sz w:val="24"/>
          <w:szCs w:val="24"/>
        </w:rPr>
        <w:t xml:space="preserve">зарегистрированных безработных в среднем за 2023 год составила 150 человек, уровень безработицы составил 0,8 % (в 2022 году – 216 человек, 1,1% соответственно).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  <w:highlight w:val="yellow"/>
        </w:rPr>
      </w:pPr>
      <w:r>
        <w:rPr>
          <w:color w:val="auto"/>
          <w:sz w:val="24"/>
          <w:szCs w:val="24"/>
        </w:rPr>
        <w:t xml:space="preserve">Ожидается, что среднегодовая</w:t>
      </w:r>
      <w:r>
        <w:rPr>
          <w:color w:val="auto"/>
          <w:sz w:val="24"/>
          <w:szCs w:val="24"/>
        </w:rPr>
        <w:t xml:space="preserve"> численность официально зарегистрированных безработных за 2024 год составит 120 человек или 0,6 % к среднегодовой численности населения в трудоспособном возрасте, что на 25,0 % ниже, чем за 2023 год. </w:t>
      </w:r>
      <w:r>
        <w:rPr>
          <w:color w:val="auto"/>
          <w:sz w:val="24"/>
          <w:szCs w:val="24"/>
          <w:highlight w:val="yellow"/>
        </w:rPr>
      </w:r>
      <w:r>
        <w:rPr>
          <w:color w:val="auto"/>
          <w:sz w:val="24"/>
          <w:szCs w:val="24"/>
          <w:highlight w:val="yellow"/>
        </w:rPr>
      </w:r>
    </w:p>
    <w:p>
      <w:pPr>
        <w:ind w:firstLine="720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Потребность организаций в работниках, заявленная в службу занятости </w:t>
      </w:r>
      <w:r>
        <w:rPr>
          <w:color w:val="auto"/>
          <w:sz w:val="24"/>
          <w:szCs w:val="24"/>
        </w:rPr>
        <w:t xml:space="preserve">на 01.01.2024 года - </w:t>
      </w:r>
      <w:r>
        <w:rPr>
          <w:color w:val="auto"/>
          <w:sz w:val="24"/>
          <w:szCs w:val="24"/>
        </w:rPr>
        <w:t xml:space="preserve">516 человек, нагрузка нез</w:t>
      </w:r>
      <w:r>
        <w:rPr>
          <w:color w:val="auto"/>
          <w:sz w:val="24"/>
          <w:szCs w:val="24"/>
        </w:rPr>
        <w:t xml:space="preserve">анятого населения на одну заявленную вакансию (коэффициент напряженности) – 0,18 человека на 1 рабочее место. Для сравнения, на 01.01.2023 года число заявленных вакансий составило 600 человека, коэффициент напряженности – 0,37 человека на 1 рабочее место.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данным Отделения Фонда пенсионного и социального страхования Российской Федерации по Мурманской области численность пенсионеров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 (без учета военнослужащих, которым установлена страховая пенсия по старости, срочная пенсионная выплата и накопительная пенсия) в 2023 году составила 9,5 </w:t>
      </w:r>
      <w:r>
        <w:rPr>
          <w:color w:val="auto"/>
          <w:sz w:val="24"/>
          <w:szCs w:val="24"/>
        </w:rPr>
        <w:t xml:space="preserve">тыс</w:t>
      </w:r>
      <w:r>
        <w:rPr>
          <w:color w:val="auto"/>
          <w:sz w:val="24"/>
          <w:szCs w:val="24"/>
        </w:rPr>
        <w:t xml:space="preserve">.ч</w:t>
      </w:r>
      <w:r>
        <w:rPr>
          <w:color w:val="auto"/>
          <w:sz w:val="24"/>
          <w:szCs w:val="24"/>
        </w:rPr>
        <w:t xml:space="preserve">еловек</w:t>
      </w:r>
      <w:r>
        <w:rPr>
          <w:color w:val="auto"/>
          <w:sz w:val="24"/>
          <w:szCs w:val="24"/>
        </w:rPr>
        <w:t xml:space="preserve">, из них работающие 3,3 тыс. человек. Оценка численности в 2024 году – 9,4 тыс. пенсионеров, из них 3,2 тыс. – работающие.</w:t>
      </w:r>
      <w:r>
        <w:rPr>
          <w:color w:val="auto"/>
          <w:sz w:val="24"/>
          <w:szCs w:val="24"/>
        </w:rPr>
        <w:t xml:space="preserve"> Средний размер </w:t>
      </w:r>
      <w:r>
        <w:rPr>
          <w:color w:val="auto"/>
          <w:sz w:val="24"/>
          <w:szCs w:val="24"/>
        </w:rPr>
        <w:t xml:space="preserve">пеннсии</w:t>
      </w:r>
      <w:r>
        <w:rPr>
          <w:color w:val="auto"/>
          <w:sz w:val="24"/>
          <w:szCs w:val="24"/>
        </w:rPr>
        <w:t xml:space="preserve"> в 2023 году – 25 649,49 рублей (+5,6 % в сравнении с показателем 2022 года – 24 282,06 рублей). Прогнозируемы средний размер пенсии в 2024 году – 27 573,87 рублей.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Среднесписочная численность работников организаций (без субъектов малого предпринимательства) по </w:t>
      </w:r>
      <w:r>
        <w:rPr>
          <w:color w:val="auto"/>
          <w:sz w:val="24"/>
          <w:szCs w:val="24"/>
        </w:rPr>
        <w:t xml:space="preserve">Печенгскому</w:t>
      </w:r>
      <w:r>
        <w:rPr>
          <w:color w:val="auto"/>
          <w:sz w:val="24"/>
          <w:szCs w:val="24"/>
        </w:rPr>
        <w:t xml:space="preserve"> муниципальному округу за январь – июнь 2024 года составила 9 438 человек (за январь – июнь 2023 года – 10 192 человека).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Ожидается, что в 2024 году среднесписочная численность работников </w:t>
      </w:r>
      <w:r>
        <w:rPr>
          <w:color w:val="auto"/>
          <w:sz w:val="24"/>
          <w:szCs w:val="24"/>
        </w:rPr>
        <w:t xml:space="preserve">работников</w:t>
      </w:r>
      <w:r>
        <w:rPr>
          <w:color w:val="auto"/>
          <w:sz w:val="24"/>
          <w:szCs w:val="24"/>
        </w:rPr>
        <w:t xml:space="preserve"> организаций  (без субъектов малого предпринимательства)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составит 9 438 человек.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Среднемесячная номинальная начисленная заработная плата одного работника в крупных и средних организациях по </w:t>
      </w:r>
      <w:r>
        <w:rPr>
          <w:color w:val="auto"/>
          <w:sz w:val="24"/>
          <w:szCs w:val="24"/>
        </w:rPr>
        <w:t xml:space="preserve">Печенгскому</w:t>
      </w:r>
      <w:r>
        <w:rPr>
          <w:color w:val="auto"/>
          <w:sz w:val="24"/>
          <w:szCs w:val="24"/>
        </w:rPr>
        <w:t xml:space="preserve"> муниципальному округу за январь – июнь 2024 года составила 102 324,3 рублей и увеличилась по сравнению с аналогичным периодом прошлого года на 12,5%, </w:t>
      </w:r>
      <w:r>
        <w:rPr>
          <w:color w:val="auto"/>
          <w:sz w:val="24"/>
          <w:szCs w:val="24"/>
        </w:rPr>
        <w:t xml:space="preserve">ее реальное содержание увеличилось на 9,3%. 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оценке, в 2024 году среднемесячная заработная плата одного работника в крупных и средних организациях по </w:t>
      </w:r>
      <w:r>
        <w:rPr>
          <w:color w:val="auto"/>
          <w:sz w:val="24"/>
          <w:szCs w:val="24"/>
        </w:rPr>
        <w:t xml:space="preserve">Печенгскому</w:t>
      </w:r>
      <w:r>
        <w:rPr>
          <w:color w:val="auto"/>
          <w:sz w:val="24"/>
          <w:szCs w:val="24"/>
        </w:rPr>
        <w:t xml:space="preserve"> муниципальному </w:t>
      </w:r>
      <w:r>
        <w:rPr>
          <w:color w:val="auto"/>
          <w:sz w:val="24"/>
          <w:szCs w:val="24"/>
        </w:rPr>
        <w:t xml:space="preserve">округу вырастет на 12,1% и составит 106 900,0 рублей. Прогнозируемый уровень реального содержания заработной платы увеличится на</w:t>
      </w:r>
      <w:r>
        <w:rPr>
          <w:color w:val="ff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5,2 % в сравнении с </w:t>
      </w:r>
      <w:r>
        <w:rPr>
          <w:color w:val="auto"/>
          <w:sz w:val="24"/>
          <w:szCs w:val="24"/>
        </w:rPr>
        <w:t xml:space="preserve">аналогогичным</w:t>
      </w:r>
      <w:r>
        <w:rPr>
          <w:color w:val="auto"/>
          <w:sz w:val="24"/>
          <w:szCs w:val="24"/>
        </w:rPr>
        <w:t xml:space="preserve"> периодом  2022 года и составит 103,2 %. </w:t>
      </w:r>
      <w:bookmarkEnd w:id="15"/>
      <w:r/>
      <w:bookmarkEnd w:id="16"/>
      <w:r/>
      <w:bookmarkEnd w:id="17"/>
      <w:r/>
      <w:bookmarkEnd w:id="18"/>
      <w:r/>
      <w:bookmarkEnd w:id="19"/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ind w:firstLine="708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8.  Развитие социальной сферы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left="540"/>
        <w:jc w:val="center"/>
        <w:spacing w:after="0" w:afterAutospacing="0" w:line="240" w:lineRule="auto"/>
        <w:rPr>
          <w:b/>
          <w:color w:val="ff0000"/>
          <w:sz w:val="24"/>
          <w:szCs w:val="24"/>
          <w:highlight w:val="yellow"/>
        </w:rPr>
      </w:pPr>
      <w:r>
        <w:rPr>
          <w:b/>
          <w:color w:val="ff0000"/>
          <w:sz w:val="24"/>
          <w:szCs w:val="24"/>
          <w:highlight w:val="yellow"/>
        </w:rPr>
      </w:r>
      <w:r>
        <w:rPr>
          <w:b/>
          <w:color w:val="ff0000"/>
          <w:sz w:val="24"/>
          <w:szCs w:val="24"/>
          <w:highlight w:val="yellow"/>
        </w:rPr>
      </w:r>
      <w:r>
        <w:rPr>
          <w:b/>
          <w:color w:val="ff0000"/>
          <w:sz w:val="24"/>
          <w:szCs w:val="24"/>
          <w:highlight w:val="yellow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Сеть муниципальных образовательных учреждений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 представлена 10 общеобразовательными организациями, 14 дошкольными </w:t>
      </w:r>
      <w:r>
        <w:rPr>
          <w:color w:val="auto"/>
          <w:sz w:val="24"/>
          <w:szCs w:val="24"/>
        </w:rPr>
        <w:t xml:space="preserve">образовательными </w:t>
      </w:r>
      <w:r>
        <w:rPr>
          <w:color w:val="auto"/>
          <w:sz w:val="24"/>
          <w:szCs w:val="24"/>
        </w:rPr>
        <w:t xml:space="preserve">организациями и двумя группами дошкольного </w:t>
      </w:r>
      <w:r>
        <w:rPr>
          <w:color w:val="auto"/>
          <w:sz w:val="24"/>
          <w:szCs w:val="24"/>
        </w:rPr>
        <w:t xml:space="preserve">возраста в МБОУ СОШ № 11 </w:t>
      </w:r>
      <w:r>
        <w:rPr>
          <w:color w:val="auto"/>
          <w:sz w:val="24"/>
          <w:szCs w:val="24"/>
        </w:rPr>
        <w:t xml:space="preserve">н.п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Раякоски</w:t>
      </w:r>
      <w:r>
        <w:rPr>
          <w:color w:val="auto"/>
          <w:sz w:val="24"/>
          <w:szCs w:val="24"/>
        </w:rPr>
        <w:t xml:space="preserve"> (далее – ДОУ).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Численность детей в ДОУ в 2023 году составила 1 862 детей, прогнозируемая в 2024 году  – 1 848 детей. </w:t>
      </w:r>
      <w:r>
        <w:rPr>
          <w:sz w:val="24"/>
          <w:szCs w:val="24"/>
        </w:rPr>
        <w:t xml:space="preserve">Снижение показателя по причине оттока детей из детских садов, расположенных на территориях воинских частей в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Печенга,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Спутник,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Луостари</w:t>
      </w:r>
      <w:r>
        <w:rPr>
          <w:sz w:val="24"/>
          <w:szCs w:val="24"/>
        </w:rPr>
        <w:t xml:space="preserve"> (отцы направлены на СВО, а мамы с детьми выехали в другие регионы РФ).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709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муницпальном</w:t>
      </w:r>
      <w:r>
        <w:rPr>
          <w:sz w:val="24"/>
          <w:szCs w:val="24"/>
        </w:rPr>
        <w:t xml:space="preserve"> округе  полностью ликвидирована актуальная очередность в детские сады. </w:t>
      </w:r>
      <w:r>
        <w:rPr>
          <w:color w:val="auto"/>
          <w:sz w:val="24"/>
          <w:szCs w:val="24"/>
        </w:rPr>
        <w:t xml:space="preserve">Услугами дошкольн</w:t>
      </w:r>
      <w:r>
        <w:rPr>
          <w:color w:val="auto"/>
          <w:sz w:val="24"/>
          <w:szCs w:val="24"/>
        </w:rPr>
        <w:t xml:space="preserve">ого образования обеспечены 100 % детей от 3 до 7 лет, родители которых обратились за получением данной услуги. Открытость информации о состоянии очередности обеспечивается использованием автоматизированной информационной системы «Электронный детский сад».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Показатель обеспеченности дошкольными образовательными учреждениями (расчет произведен в соответствии с «Методическими рекомендациями по разработке основных показателей прогноза социально-экономического развития му</w:t>
      </w:r>
      <w:r>
        <w:rPr>
          <w:color w:val="auto"/>
          <w:sz w:val="24"/>
          <w:szCs w:val="24"/>
        </w:rPr>
        <w:t xml:space="preserve">ниципального образования Мурманской области» как отношение числа мест в дошкольных образовательных учреждениях (умноженного на 100 к численности детей в возрасте от 1 года до 6 лет включительно) в 2023 году составил 125,1 места на 100 детей (в 2022 году – </w:t>
      </w:r>
      <w:r>
        <w:rPr>
          <w:color w:val="auto"/>
          <w:sz w:val="24"/>
          <w:szCs w:val="24"/>
        </w:rPr>
        <w:t xml:space="preserve">115,1 мест</w:t>
      </w:r>
      <w:r>
        <w:rPr>
          <w:color w:val="auto"/>
          <w:sz w:val="24"/>
          <w:szCs w:val="24"/>
        </w:rPr>
        <w:t xml:space="preserve"> на 100 детей). Обеспеченность дошкольными образовательными учреждениями в 2024 году составит 129,1 мест на 100 детей.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  <w:highlight w:val="yellow"/>
        </w:rPr>
      </w:pPr>
      <w:r>
        <w:rPr>
          <w:color w:val="auto"/>
          <w:sz w:val="24"/>
          <w:szCs w:val="24"/>
        </w:rPr>
        <w:t xml:space="preserve">Численность учащихся в общеобразовательных организациях в 2023 году составила 4 153 человека. Прогноз численности обучающихся </w:t>
      </w:r>
      <w:r>
        <w:rPr>
          <w:color w:val="auto"/>
          <w:sz w:val="24"/>
          <w:szCs w:val="24"/>
        </w:rPr>
        <w:t xml:space="preserve">на конец</w:t>
      </w:r>
      <w:r>
        <w:rPr>
          <w:color w:val="auto"/>
          <w:sz w:val="24"/>
          <w:szCs w:val="24"/>
        </w:rPr>
        <w:t xml:space="preserve"> 2024 года  – 4 061 человек.</w:t>
      </w:r>
      <w:r>
        <w:rPr>
          <w:color w:val="auto"/>
          <w:sz w:val="24"/>
          <w:szCs w:val="24"/>
          <w:highlight w:val="yellow"/>
        </w:rPr>
      </w:r>
      <w:r>
        <w:rPr>
          <w:color w:val="auto"/>
          <w:sz w:val="24"/>
          <w:szCs w:val="24"/>
          <w:highlight w:val="yellow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В восьми общеобразовательных организациях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осуществляется среднее общее образование, две школы -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основные общеобразовательные. В сельской местности функционирует 3 общеобразовательные школы (30% от общей численности учреждений). Две школы имеют классы для детей с ОВЗ (МБОУ ООШ № 20, МБОУ ООШ № 22).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7"/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2023 году 100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% школьников обучались по федеральным государственным образовательным стандартам начального общего, основного общего и среднего общего образования. С 01.09.2023 года осуществлен переход на Федеральные образовательные программы общего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7"/>
        <w:jc w:val="both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Организован подвоз 187 </w:t>
      </w:r>
      <w:r>
        <w:rPr>
          <w:sz w:val="24"/>
          <w:szCs w:val="24"/>
        </w:rPr>
        <w:t xml:space="preserve">обучающихся</w:t>
      </w:r>
      <w:r>
        <w:rPr>
          <w:sz w:val="24"/>
          <w:szCs w:val="24"/>
        </w:rPr>
        <w:t xml:space="preserve"> МБОУ СОШ № 7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 и 389 обучающихся МБОУ СОШ № 5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Печенга к месту учебы и обратно, а также для занятий в кружках и секциях. В 2023 году </w:t>
      </w:r>
      <w:r>
        <w:rPr>
          <w:sz w:val="24"/>
          <w:szCs w:val="24"/>
        </w:rPr>
        <w:t xml:space="preserve">в рамках реализации стратегического плана «На Севере – жить»,  благодаря поддержке федерального правительства, МБОУ СОШ №№5,7 были переданы 4 новых школьных автобуса, что позволило полностью обновить школьный автопарк, а также ввести новый маршрут Спутник-</w:t>
      </w:r>
      <w:r>
        <w:rPr>
          <w:sz w:val="24"/>
          <w:szCs w:val="24"/>
        </w:rPr>
        <w:t xml:space="preserve">Лиинахамари</w:t>
      </w:r>
      <w:r>
        <w:rPr>
          <w:sz w:val="24"/>
          <w:szCs w:val="24"/>
        </w:rPr>
        <w:t xml:space="preserve"> для подвоза 20 обучающихся в МБОУ СОШ №23. Все автобусы  соответствуют современным требованиям – оснащены </w:t>
      </w:r>
      <w:r>
        <w:rPr>
          <w:sz w:val="24"/>
          <w:szCs w:val="24"/>
        </w:rPr>
        <w:t xml:space="preserve">тахографами</w:t>
      </w:r>
      <w:r>
        <w:rPr>
          <w:sz w:val="24"/>
          <w:szCs w:val="24"/>
        </w:rPr>
        <w:t xml:space="preserve">, спутниковой навигацией ГЛОНАСС, маячками желтого или оранжевого цветов.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По итогам учебного года выросло количество учащихся успешно освоивших программы общего образования. Отмечается устойчивая тенденция повышения качества образования. </w:t>
      </w:r>
      <w:r>
        <w:rPr>
          <w:sz w:val="24"/>
          <w:szCs w:val="24"/>
        </w:rPr>
        <w:t xml:space="preserve">Аттестат с отличием и медаль «За особые успехи в учении» в 2023 году получили 12 обучающихся - МБОУ СОШ №№ 3 (2 человека), МБОУ СОШ № 5 (1 человек), МОУ СОШ № 11 (1 человек), МБОУ СОШ № 19 (8 человек).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Доля обучающихся в муниципальных общеобразовательных организациях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округа, занимающихся в одну смену, в общей численности обучающихся составила в 2023 году 89,9 %.  Прогнозное значение показателя в 2024 году также ожидается на уровне 90,2 %. </w:t>
      </w:r>
      <w:r>
        <w:rPr>
          <w:color w:val="auto"/>
          <w:sz w:val="24"/>
          <w:szCs w:val="24"/>
        </w:rPr>
        <w:t xml:space="preserve">Численность обучающихся в две смены сократится после завершения строительства и ввода в эксплуатацию здания начальной школы (пристройки) МБОУ ООШ №5 на 250 мест, строительство которой начато в</w:t>
      </w:r>
      <w:r>
        <w:rPr>
          <w:color w:val="auto"/>
          <w:sz w:val="24"/>
          <w:szCs w:val="24"/>
        </w:rPr>
        <w:t xml:space="preserve"> 2023 году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Печенга.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Система общего образования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 развивается в направлении обеспечения качества образования, совершенствования структуры и содержания всех уровней образования, технологии обучения и воспитания детей.</w:t>
      </w:r>
      <w:r>
        <w:rPr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учреждении среднего профессионального образования (ГАПОУ МО «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политехнический техникум») контингент учащихся в 2023 году составил 228 человек, что меньше на 3,4 %, чем в 2022 году.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связи с введением с</w:t>
      </w:r>
      <w:r>
        <w:rPr>
          <w:color w:val="auto"/>
          <w:sz w:val="24"/>
          <w:szCs w:val="24"/>
        </w:rPr>
        <w:t xml:space="preserve"> 01.09.2023 года новых Федеральных государственных образовательных стандартов среднего профессионального образования изменятся сроки обучения на базе 9 классов (было 2 года 10 месяцев, станет 1 год 10 месяцев) произошло уменьшение контингента обучающихся. </w:t>
      </w:r>
      <w:r>
        <w:rPr>
          <w:color w:val="auto"/>
          <w:sz w:val="24"/>
          <w:szCs w:val="24"/>
        </w:rPr>
        <w:t xml:space="preserve">Ожидается, что прогнозируемая численность </w:t>
      </w:r>
      <w:r>
        <w:rPr>
          <w:color w:val="auto"/>
          <w:sz w:val="24"/>
          <w:szCs w:val="24"/>
        </w:rPr>
        <w:t xml:space="preserve">обучающихся</w:t>
      </w:r>
      <w:r>
        <w:rPr>
          <w:color w:val="auto"/>
          <w:sz w:val="24"/>
          <w:szCs w:val="24"/>
        </w:rPr>
        <w:t xml:space="preserve"> в 2024 году снизится на 11,4 % в сравнении с 2023 годом и составит 202 человека.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 01.09.2023 года ГАПОУ МО «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политехнический техникум» принимает участие в качестве сетевой образовательной организации в реализации Федерального проекта «</w:t>
      </w:r>
      <w:r>
        <w:rPr>
          <w:color w:val="auto"/>
          <w:sz w:val="24"/>
          <w:szCs w:val="24"/>
        </w:rPr>
        <w:t xml:space="preserve">Профессионалитет</w:t>
      </w:r>
      <w:r>
        <w:rPr>
          <w:color w:val="auto"/>
          <w:sz w:val="24"/>
          <w:szCs w:val="24"/>
        </w:rPr>
        <w:t xml:space="preserve">» в кластере образование на </w:t>
      </w:r>
      <w:r>
        <w:rPr>
          <w:color w:val="auto"/>
          <w:sz w:val="24"/>
          <w:szCs w:val="24"/>
        </w:rPr>
        <w:t xml:space="preserve">Мурмане</w:t>
      </w:r>
      <w:r>
        <w:rPr>
          <w:color w:val="auto"/>
          <w:sz w:val="24"/>
          <w:szCs w:val="24"/>
        </w:rPr>
        <w:t xml:space="preserve">» (специальность «Дошкольное образование»).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b/>
          <w:bCs/>
          <w:color w:val="ff0000"/>
          <w:sz w:val="24"/>
          <w:szCs w:val="24"/>
        </w:rPr>
      </w:pPr>
      <w:r>
        <w:rPr>
          <w:sz w:val="24"/>
          <w:szCs w:val="24"/>
        </w:rPr>
        <w:t xml:space="preserve">В 2024 году закончен</w:t>
      </w:r>
      <w:r>
        <w:rPr>
          <w:sz w:val="24"/>
          <w:szCs w:val="24"/>
        </w:rPr>
        <w:t xml:space="preserve"> ремонт в двух мастерских </w:t>
      </w:r>
      <w:r>
        <w:rPr>
          <w:color w:val="auto"/>
          <w:sz w:val="24"/>
          <w:szCs w:val="24"/>
        </w:rPr>
        <w:t xml:space="preserve">ГАПОУ МО «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политехнический техникум» </w:t>
      </w:r>
      <w:r>
        <w:rPr>
          <w:color w:val="auto"/>
          <w:sz w:val="24"/>
          <w:szCs w:val="24"/>
        </w:rPr>
        <w:t xml:space="preserve">«</w:t>
      </w:r>
      <w:r>
        <w:rPr>
          <w:sz w:val="24"/>
          <w:szCs w:val="24"/>
        </w:rPr>
        <w:t xml:space="preserve">Электромонтаж»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Обработка листового металла</w:t>
      </w:r>
      <w:r>
        <w:rPr>
          <w:sz w:val="24"/>
          <w:szCs w:val="24"/>
        </w:rPr>
        <w:t xml:space="preserve">», з</w:t>
      </w:r>
      <w:r>
        <w:rPr>
          <w:sz w:val="24"/>
          <w:szCs w:val="24"/>
        </w:rPr>
        <w:t xml:space="preserve">акуплено оборудование для указанных мастерских: гильотина, вальцовочный станок, </w:t>
      </w:r>
      <w:r>
        <w:rPr>
          <w:sz w:val="24"/>
          <w:szCs w:val="24"/>
        </w:rPr>
        <w:t xml:space="preserve">листогибный</w:t>
      </w:r>
      <w:r>
        <w:rPr>
          <w:sz w:val="24"/>
          <w:szCs w:val="24"/>
        </w:rPr>
        <w:t xml:space="preserve"> станок, сверлильный станок, наждачный станок, сварочно-сборочные столы, индукционный нагреватель, паяльные станции, инс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рументальный шкаф, стеллажи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Проводятся</w:t>
      </w:r>
      <w:r>
        <w:rPr>
          <w:sz w:val="24"/>
          <w:szCs w:val="24"/>
        </w:rPr>
        <w:t xml:space="preserve"> работы </w:t>
      </w:r>
      <w:r>
        <w:rPr>
          <w:sz w:val="24"/>
          <w:szCs w:val="24"/>
        </w:rPr>
        <w:t xml:space="preserve">ремонту кабинетов «</w:t>
      </w:r>
      <w:r>
        <w:rPr>
          <w:sz w:val="24"/>
          <w:szCs w:val="24"/>
        </w:rPr>
        <w:t xml:space="preserve">Информационные технологии в профессиональной деятельности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Эле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трооборудовани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и электроснабжени</w:t>
      </w:r>
      <w:r>
        <w:rPr>
          <w:sz w:val="24"/>
          <w:szCs w:val="24"/>
        </w:rPr>
        <w:t xml:space="preserve">е»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«Л</w:t>
      </w:r>
      <w:r>
        <w:rPr>
          <w:sz w:val="24"/>
          <w:szCs w:val="24"/>
        </w:rPr>
        <w:t xml:space="preserve">аборатории горных дисциплин</w:t>
      </w:r>
      <w:r>
        <w:rPr>
          <w:sz w:val="24"/>
          <w:szCs w:val="24"/>
        </w:rPr>
        <w:t xml:space="preserve">», мастерской по ремонту легковых автомобилей, </w:t>
      </w:r>
      <w:r>
        <w:rPr>
          <w:sz w:val="24"/>
          <w:szCs w:val="24"/>
        </w:rPr>
        <w:t xml:space="preserve">ремонт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фасада</w:t>
      </w:r>
      <w:r>
        <w:rPr>
          <w:sz w:val="24"/>
          <w:szCs w:val="24"/>
        </w:rPr>
        <w:t xml:space="preserve"> учебного и производственного корпусов </w:t>
      </w:r>
      <w:r>
        <w:rPr>
          <w:color w:val="auto"/>
          <w:sz w:val="24"/>
          <w:szCs w:val="24"/>
        </w:rPr>
        <w:t xml:space="preserve">ГАПОУ МО «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политехнический техникум»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р</w:t>
      </w:r>
      <w:r>
        <w:rPr>
          <w:sz w:val="24"/>
          <w:szCs w:val="24"/>
        </w:rPr>
        <w:t xml:space="preserve">емонту комнат общежития</w:t>
      </w:r>
      <w:r>
        <w:rPr>
          <w:sz w:val="24"/>
          <w:szCs w:val="24"/>
        </w:rPr>
        <w:t xml:space="preserve"> техникума</w:t>
      </w:r>
      <w:r>
        <w:rPr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Продолжается работа по реализации </w:t>
      </w:r>
      <w:r>
        <w:rPr>
          <w:color w:val="auto"/>
          <w:sz w:val="24"/>
          <w:szCs w:val="24"/>
        </w:rPr>
        <w:t xml:space="preserve">С</w:t>
      </w:r>
      <w:r>
        <w:rPr>
          <w:color w:val="auto"/>
          <w:sz w:val="24"/>
          <w:szCs w:val="24"/>
        </w:rPr>
        <w:t xml:space="preserve">тратегии развития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политехнического техникума</w:t>
      </w:r>
      <w:r>
        <w:rPr>
          <w:color w:val="auto"/>
          <w:sz w:val="24"/>
          <w:szCs w:val="24"/>
        </w:rPr>
        <w:t xml:space="preserve"> на 2024-2033 годы</w:t>
      </w:r>
      <w:r>
        <w:rPr>
          <w:color w:val="auto"/>
          <w:sz w:val="24"/>
          <w:szCs w:val="24"/>
        </w:rPr>
        <w:t xml:space="preserve">. </w:t>
      </w: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Муниципальное бюджетное культурно-просветительное учреждение «</w:t>
      </w:r>
      <w:r>
        <w:rPr>
          <w:color w:val="auto"/>
          <w:sz w:val="24"/>
          <w:szCs w:val="24"/>
        </w:rPr>
        <w:t xml:space="preserve">Печенгское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межпоселенческое</w:t>
      </w:r>
      <w:r>
        <w:rPr>
          <w:color w:val="auto"/>
          <w:sz w:val="24"/>
          <w:szCs w:val="24"/>
        </w:rPr>
        <w:t xml:space="preserve"> библиотечное </w:t>
      </w:r>
      <w:r>
        <w:rPr>
          <w:color w:val="auto"/>
          <w:sz w:val="24"/>
          <w:szCs w:val="24"/>
        </w:rPr>
        <w:t xml:space="preserve">объединение» объединяет 10 библиотек. В 2023 году обеспеченность общедоступными библиотеками в расчете на 100 тыс. человек населения составила 33,2 единиц. В 2024 году данный показатель увеличится до 34,3 единиц (за счет сокращения численности населения).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Количество учреждений культурно-досугового типа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 – 5 (МУК «ДК «Октябрь», МБУК «ДК Восход», МБУ «КДЦ «Платформа», сельский клуб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.Р</w:t>
      </w:r>
      <w:r>
        <w:rPr>
          <w:color w:val="auto"/>
          <w:sz w:val="24"/>
          <w:szCs w:val="24"/>
        </w:rPr>
        <w:t xml:space="preserve">аякоски</w:t>
      </w:r>
      <w:r>
        <w:rPr>
          <w:color w:val="auto"/>
          <w:sz w:val="24"/>
          <w:szCs w:val="24"/>
        </w:rPr>
        <w:t xml:space="preserve">, сельский клуб в </w:t>
      </w:r>
      <w:r>
        <w:rPr>
          <w:color w:val="auto"/>
          <w:sz w:val="24"/>
          <w:szCs w:val="24"/>
        </w:rPr>
        <w:t xml:space="preserve">нп.Борисоглебский</w:t>
      </w:r>
      <w:r>
        <w:rPr>
          <w:color w:val="auto"/>
          <w:sz w:val="24"/>
          <w:szCs w:val="24"/>
        </w:rPr>
        <w:t xml:space="preserve">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shd w:val="clear" w:color="auto" w:fill="ffff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  <w:t xml:space="preserve">01.09.2023 года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Никель состоялось открытие МБУ «ЦП и РМИ» - муниципального бюджетного учреждения «Центр поддержки и развития молодежных инициатив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округа», которое является учреждением, созданным для предоставления услуг по осуществлению мероприятий по работе с подростками и молодежью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округе. На сегодняшний день на базе учреждения функционируют 3 молодежных пространства «Сопки»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Никель, г. Заполярный и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Печенга.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Показатель обеспеченности населения учреждениями культурно-досугового типа в 2023 году 16,6 единиц на 100 </w:t>
      </w:r>
      <w:r>
        <w:rPr>
          <w:color w:val="auto"/>
          <w:sz w:val="24"/>
          <w:szCs w:val="24"/>
        </w:rPr>
        <w:t xml:space="preserve">тыс</w:t>
      </w:r>
      <w:r>
        <w:rPr>
          <w:color w:val="auto"/>
          <w:sz w:val="24"/>
          <w:szCs w:val="24"/>
        </w:rPr>
        <w:t xml:space="preserve">.н</w:t>
      </w:r>
      <w:r>
        <w:rPr>
          <w:color w:val="auto"/>
          <w:sz w:val="24"/>
          <w:szCs w:val="24"/>
        </w:rPr>
        <w:t xml:space="preserve">аселения</w:t>
      </w:r>
      <w:r>
        <w:rPr>
          <w:color w:val="auto"/>
          <w:sz w:val="24"/>
          <w:szCs w:val="24"/>
        </w:rPr>
        <w:t xml:space="preserve"> (16,0 на 100 </w:t>
      </w:r>
      <w:r>
        <w:rPr>
          <w:color w:val="auto"/>
          <w:sz w:val="24"/>
          <w:szCs w:val="24"/>
        </w:rPr>
        <w:t xml:space="preserve">тыс.населения</w:t>
      </w:r>
      <w:r>
        <w:rPr>
          <w:color w:val="auto"/>
          <w:sz w:val="24"/>
          <w:szCs w:val="24"/>
        </w:rPr>
        <w:t xml:space="preserve"> – в 2022 году). В 2024 году данный показатель прогнозируется за счет снижения численности населения на уровне 17,1 на 100 </w:t>
      </w:r>
      <w:r>
        <w:rPr>
          <w:color w:val="auto"/>
          <w:sz w:val="24"/>
          <w:szCs w:val="24"/>
        </w:rPr>
        <w:t xml:space="preserve">тыс</w:t>
      </w:r>
      <w:r>
        <w:rPr>
          <w:color w:val="auto"/>
          <w:sz w:val="24"/>
          <w:szCs w:val="24"/>
        </w:rPr>
        <w:t xml:space="preserve">.н</w:t>
      </w:r>
      <w:r>
        <w:rPr>
          <w:color w:val="auto"/>
          <w:sz w:val="24"/>
          <w:szCs w:val="24"/>
        </w:rPr>
        <w:t xml:space="preserve">аселения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открыт для посетителей Историко-краеведческий музей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района. Осуществляют деятельность 3 музыкальные школы, 2 художественные, 2 дома детского творчества, детско-юношеская спортивная школа.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2024 году доля систематически занимающихся физической культурой и спортом ожидается на уровне 67,1 % от численности жителей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в возрасте от 3-х до 79 лет включительно (65,6 % - в 2023 году). </w:t>
      </w:r>
      <w:r>
        <w:rPr>
          <w:color w:val="auto"/>
          <w:sz w:val="24"/>
          <w:szCs w:val="24"/>
        </w:rPr>
        <w:t xml:space="preserve">Рост % занимающихся связан с улучшением материально-технической базы и модернизацией учреждений физической культуры и спорта, популяризацией здорового образа жизни, вовлечением молодежи в спортивные мероприятия, открытием новых спортивных пространств «</w:t>
      </w:r>
      <w:r>
        <w:rPr>
          <w:color w:val="auto"/>
          <w:sz w:val="24"/>
          <w:szCs w:val="24"/>
        </w:rPr>
        <w:t xml:space="preserve">Сопки</w:t>
      </w:r>
      <w:r>
        <w:rPr>
          <w:color w:val="auto"/>
          <w:sz w:val="24"/>
          <w:szCs w:val="24"/>
        </w:rPr>
        <w:t xml:space="preserve">.С</w:t>
      </w:r>
      <w:r>
        <w:rPr>
          <w:color w:val="auto"/>
          <w:sz w:val="24"/>
          <w:szCs w:val="24"/>
        </w:rPr>
        <w:t xml:space="preserve">ПОРТ</w:t>
      </w:r>
      <w:r>
        <w:rPr>
          <w:color w:val="auto"/>
          <w:sz w:val="24"/>
          <w:szCs w:val="24"/>
        </w:rPr>
        <w:t xml:space="preserve">» в </w:t>
      </w:r>
      <w:r>
        <w:rPr>
          <w:color w:val="auto"/>
          <w:sz w:val="24"/>
          <w:szCs w:val="24"/>
        </w:rPr>
        <w:t xml:space="preserve">г.Заполярном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Печенга, устройством </w:t>
      </w:r>
      <w:r>
        <w:rPr>
          <w:color w:val="auto"/>
          <w:sz w:val="24"/>
          <w:szCs w:val="24"/>
        </w:rPr>
        <w:t xml:space="preserve">скейт</w:t>
      </w:r>
      <w:r>
        <w:rPr>
          <w:color w:val="auto"/>
          <w:sz w:val="24"/>
          <w:szCs w:val="24"/>
        </w:rPr>
        <w:t xml:space="preserve">-площадки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Спутник, футбольного поля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Спутник и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Корзуново</w:t>
      </w:r>
      <w:r>
        <w:rPr>
          <w:color w:val="auto"/>
          <w:sz w:val="24"/>
          <w:szCs w:val="24"/>
        </w:rPr>
        <w:t xml:space="preserve">, ремонтом футбольных полей при школах в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.З</w:t>
      </w:r>
      <w:r>
        <w:rPr>
          <w:color w:val="auto"/>
          <w:sz w:val="24"/>
          <w:szCs w:val="24"/>
        </w:rPr>
        <w:t xml:space="preserve">аполярный</w:t>
      </w:r>
      <w:r>
        <w:rPr>
          <w:color w:val="auto"/>
          <w:sz w:val="24"/>
          <w:szCs w:val="24"/>
        </w:rPr>
        <w:t xml:space="preserve"> и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Никель, устройством освещения лыжни для школьников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.К</w:t>
      </w:r>
      <w:r>
        <w:rPr>
          <w:color w:val="auto"/>
          <w:sz w:val="24"/>
          <w:szCs w:val="24"/>
        </w:rPr>
        <w:t xml:space="preserve">орзуново</w:t>
      </w:r>
      <w:r>
        <w:rPr>
          <w:color w:val="auto"/>
          <w:sz w:val="24"/>
          <w:szCs w:val="24"/>
        </w:rPr>
        <w:t xml:space="preserve">, модернизацией хоккейного корта в </w:t>
      </w:r>
      <w:r>
        <w:rPr>
          <w:color w:val="auto"/>
          <w:sz w:val="24"/>
          <w:szCs w:val="24"/>
        </w:rPr>
        <w:t xml:space="preserve">г.Заполярный</w:t>
      </w:r>
      <w:r>
        <w:rPr>
          <w:color w:val="auto"/>
          <w:sz w:val="24"/>
          <w:szCs w:val="24"/>
        </w:rPr>
        <w:t xml:space="preserve">, устройством крытого хоккейного корта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Никель.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color w:val="auto"/>
          <w:sz w:val="24"/>
          <w:szCs w:val="24"/>
        </w:rPr>
        <w:t xml:space="preserve">Общая площадь жилых помещений в 2023 году составила 783,6 тыс.м</w:t>
      </w:r>
      <w:r>
        <w:rPr>
          <w:color w:val="auto"/>
          <w:sz w:val="24"/>
          <w:szCs w:val="24"/>
          <w:vertAlign w:val="superscript"/>
        </w:rPr>
        <w:t xml:space="preserve">2</w:t>
      </w:r>
      <w:r>
        <w:rPr>
          <w:color w:val="auto"/>
          <w:sz w:val="24"/>
          <w:szCs w:val="24"/>
        </w:rPr>
        <w:t xml:space="preserve">. Средняя обеспеченность населения площадью жилых квартир в 2023 году по официальной статистической информации составила 26,5 м</w:t>
      </w:r>
      <w:r>
        <w:rPr>
          <w:color w:val="auto"/>
          <w:sz w:val="24"/>
          <w:szCs w:val="24"/>
          <w:vertAlign w:val="superscript"/>
        </w:rPr>
        <w:t xml:space="preserve">2</w:t>
      </w:r>
      <w:r>
        <w:rPr>
          <w:color w:val="auto"/>
          <w:sz w:val="24"/>
          <w:szCs w:val="24"/>
        </w:rPr>
        <w:t xml:space="preserve"> на человека (26,1 м</w:t>
      </w:r>
      <w:r>
        <w:rPr>
          <w:color w:val="auto"/>
          <w:sz w:val="24"/>
          <w:szCs w:val="24"/>
          <w:vertAlign w:val="superscript"/>
        </w:rPr>
        <w:t xml:space="preserve">2 </w:t>
      </w:r>
      <w:r>
        <w:rPr>
          <w:color w:val="auto"/>
          <w:sz w:val="24"/>
          <w:szCs w:val="24"/>
        </w:rPr>
        <w:t xml:space="preserve">на человека в 2022 году), за счет ввода в эксплуатацию 0,406 тыс. м</w:t>
      </w:r>
      <w:r>
        <w:rPr>
          <w:color w:val="auto"/>
          <w:sz w:val="24"/>
          <w:szCs w:val="24"/>
          <w:vertAlign w:val="superscript"/>
        </w:rPr>
        <w:t xml:space="preserve">2</w:t>
      </w:r>
      <w:r>
        <w:rPr>
          <w:color w:val="auto"/>
          <w:sz w:val="24"/>
          <w:szCs w:val="24"/>
        </w:rPr>
        <w:t xml:space="preserve"> жилой площади (включая индивидуальные жилые дома, построенные населением (с учётом построенных на земельных участках, предназначенных для ведения садоводства) за счёт собственных и привлечённых средств и введённых в эксплуатацию в установленном порядке). </w:t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2024 году ожидается ввод индивидуальных жилых домов общей площадью 1,109 тыс.м</w:t>
      </w:r>
      <w:r>
        <w:rPr>
          <w:color w:val="auto"/>
          <w:sz w:val="24"/>
          <w:szCs w:val="24"/>
          <w:vertAlign w:val="superscript"/>
        </w:rPr>
        <w:t xml:space="preserve">2</w:t>
      </w:r>
      <w:r>
        <w:rPr>
          <w:color w:val="auto"/>
          <w:sz w:val="24"/>
          <w:szCs w:val="24"/>
        </w:rPr>
        <w:t xml:space="preserve">. Обеспеченность населения площадью жилых квартир к концу 2024 года составит 27,3 м</w:t>
      </w:r>
      <w:r>
        <w:rPr>
          <w:color w:val="auto"/>
          <w:sz w:val="24"/>
          <w:szCs w:val="24"/>
          <w:vertAlign w:val="superscript"/>
        </w:rPr>
        <w:t xml:space="preserve">2</w:t>
      </w:r>
      <w:r>
        <w:rPr>
          <w:color w:val="auto"/>
          <w:sz w:val="24"/>
          <w:szCs w:val="24"/>
        </w:rPr>
        <w:t xml:space="preserve"> на человека.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 конец 2023 года площадь ветхого и аварийного жилья в % к общей площади жилого фонда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составляла 0,6 %. </w:t>
      </w:r>
      <w:r>
        <w:rPr>
          <w:color w:val="auto"/>
          <w:sz w:val="24"/>
          <w:szCs w:val="24"/>
        </w:rPr>
        <w:t xml:space="preserve">Ожидается, что площадь жилого фонда, признанного ветхим и аварийным в 2024 </w:t>
      </w:r>
      <w:r>
        <w:rPr>
          <w:color w:val="auto"/>
          <w:sz w:val="24"/>
          <w:szCs w:val="24"/>
        </w:rPr>
        <w:t xml:space="preserve">году после сноса  жилых домов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.Н</w:t>
      </w:r>
      <w:r>
        <w:rPr>
          <w:color w:val="auto"/>
          <w:sz w:val="24"/>
          <w:szCs w:val="24"/>
        </w:rPr>
        <w:t xml:space="preserve">икель</w:t>
      </w:r>
      <w:r>
        <w:rPr>
          <w:color w:val="auto"/>
          <w:sz w:val="24"/>
          <w:szCs w:val="24"/>
        </w:rPr>
        <w:t xml:space="preserve">, ул. 14 Армии, </w:t>
      </w:r>
      <w:r>
        <w:rPr>
          <w:color w:val="auto"/>
          <w:sz w:val="24"/>
          <w:szCs w:val="24"/>
        </w:rPr>
        <w:t xml:space="preserve">дд</w:t>
      </w:r>
      <w:r>
        <w:rPr>
          <w:color w:val="auto"/>
          <w:sz w:val="24"/>
          <w:szCs w:val="24"/>
        </w:rPr>
        <w:t xml:space="preserve">. 3,5, ул. Советская, д. 17 </w:t>
      </w:r>
      <w:r>
        <w:rPr>
          <w:color w:val="auto"/>
          <w:sz w:val="24"/>
          <w:szCs w:val="24"/>
        </w:rPr>
        <w:t xml:space="preserve">общей жилой площадью </w:t>
      </w:r>
      <w:r>
        <w:rPr>
          <w:color w:val="auto"/>
          <w:sz w:val="24"/>
          <w:szCs w:val="24"/>
        </w:rPr>
        <w:t xml:space="preserve">составит 3,18 тыс.м</w:t>
      </w:r>
      <w:r>
        <w:rPr>
          <w:color w:val="auto"/>
          <w:sz w:val="24"/>
          <w:szCs w:val="24"/>
          <w:vertAlign w:val="superscript"/>
        </w:rPr>
        <w:t xml:space="preserve">2</w:t>
      </w:r>
      <w:r>
        <w:rPr>
          <w:color w:val="auto"/>
          <w:sz w:val="24"/>
          <w:szCs w:val="24"/>
        </w:rPr>
        <w:t xml:space="preserve"> (признанный аварийным жилой дом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Приречный</w:t>
      </w:r>
      <w:r>
        <w:rPr>
          <w:color w:val="auto"/>
          <w:sz w:val="24"/>
          <w:szCs w:val="24"/>
        </w:rPr>
        <w:t xml:space="preserve">, ул. Горняков, д. </w:t>
      </w:r>
      <w:r>
        <w:rPr>
          <w:color w:val="auto"/>
          <w:sz w:val="24"/>
          <w:szCs w:val="24"/>
        </w:rPr>
        <w:t xml:space="preserve">6), что составит 0,4 % к общей площади жилого фонда.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Протяженность автодорог общего пользования местного значения 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 в 2023 году составила 74,7 км. В текущем году протяженность дорог общего пользования увеличилась до 76,4 км.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b/>
          <w:color w:val="ff0000"/>
          <w:sz w:val="24"/>
          <w:szCs w:val="24"/>
          <w:highlight w:val="yellow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color w:val="auto"/>
          <w:sz w:val="24"/>
          <w:szCs w:val="24"/>
        </w:rPr>
        <w:t xml:space="preserve">Фактический уровень платежей населения за жилье и коммунальные услуги в 2023 </w:t>
      </w:r>
      <w:r>
        <w:rPr>
          <w:color w:val="auto"/>
          <w:sz w:val="24"/>
          <w:szCs w:val="24"/>
        </w:rPr>
        <w:t xml:space="preserve">году увеличился по сравнению с 2022 годом с 88,1 % до 90,8 %</w:t>
      </w:r>
      <w:r>
        <w:rPr>
          <w:color w:val="auto"/>
          <w:sz w:val="24"/>
          <w:szCs w:val="24"/>
        </w:rPr>
        <w:t xml:space="preserve"> (по данным, предоставленным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  <w:t xml:space="preserve">ресурсоснабжающими</w:t>
      </w:r>
      <w:r>
        <w:rPr>
          <w:color w:val="auto"/>
          <w:sz w:val="24"/>
          <w:szCs w:val="24"/>
        </w:rPr>
        <w:t xml:space="preserve"> и управляющими компаниями)</w:t>
      </w:r>
      <w:r>
        <w:rPr>
          <w:color w:val="auto"/>
          <w:sz w:val="24"/>
          <w:szCs w:val="24"/>
        </w:rPr>
        <w:t xml:space="preserve">. К концу 2024 года фактический уровень платежей населения за жилье и коммунальные услуги ожидается на уровне 92,0%.</w:t>
      </w:r>
      <w:r>
        <w:rPr>
          <w:b/>
          <w:color w:val="ff0000"/>
          <w:sz w:val="24"/>
          <w:szCs w:val="24"/>
          <w:highlight w:val="yellow"/>
        </w:rPr>
      </w:r>
      <w:r>
        <w:rPr>
          <w:b/>
          <w:color w:val="ff0000"/>
          <w:sz w:val="24"/>
          <w:szCs w:val="24"/>
          <w:highlight w:val="yellow"/>
        </w:rPr>
      </w:r>
    </w:p>
    <w:p>
      <w:pPr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9. Доходы бюджета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-3686" w:leader="none"/>
        </w:tabs>
        <w:rPr>
          <w:color w:val="ff0000"/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Доходная часть бюджета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(далее – бюджет округа) за 2023 год исполнена в сумме 3 194 061,4 тыс. рублей (2022 год – 3 373 105,6 тыс. рублей), что составляет 98,9 % плановых показателей 3 373 105,6 тыс. рублей.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Поступления налоговых и неналоговых доходов составили 1 138 030,2 тыс. рублей, что составляет 105,9 % от поступлений 2022 года.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Поступление налога на доходы физических лиц в целом в бюджет округа в 2023 году составило 763 261,8 тыс. рублей. Относительно 2022 года поступления увеличились на 10,2 %.  Рост </w:t>
      </w:r>
      <w:r>
        <w:rPr>
          <w:color w:val="auto"/>
          <w:sz w:val="24"/>
          <w:szCs w:val="24"/>
        </w:rPr>
        <w:t xml:space="preserve">поступлений по налогу на доходы физических лиц обусловлен ростом фонда оплаты труда, увеличением поступлений налога на доходы физических лиц в части суммы налога, превышающей 650,0 тыс. рублей, относящейся к части налоговой базы, превышающей 5 млн. рублей.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Поступление налога на доходы физических лиц, в отношении которых исчисление и уплата налога осуществляются в соответствии со статьями 227, 227.1 и 228 Налогового </w:t>
      </w:r>
      <w:r>
        <w:rPr>
          <w:color w:val="auto"/>
          <w:sz w:val="24"/>
          <w:szCs w:val="24"/>
        </w:rPr>
        <w:t xml:space="preserve">кодекса Российской Федерации в 2023 году составило 3 282,0 тыс. рублей. </w:t>
      </w:r>
      <w:r>
        <w:rPr>
          <w:color w:val="auto"/>
          <w:sz w:val="24"/>
          <w:szCs w:val="24"/>
        </w:rPr>
        <w:t xml:space="preserve">Относительно 2022 года поступления увеличились на 21 %. Рост поступлений налога на доходы физических лиц, зачисляемого в бюджет округа, связан с увеличением доходов, полученных от осуществления деятельности физическими лицами, зарегистриро</w:t>
      </w:r>
      <w:r>
        <w:rPr>
          <w:color w:val="auto"/>
          <w:sz w:val="24"/>
          <w:szCs w:val="24"/>
        </w:rPr>
        <w:t xml:space="preserve">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практикой, в соответствии со статьей 227 Налогового кодекса Российской Федерации.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Доходы, получаемые в виде арендной либо иной платы за передачу в возмездное польз</w:t>
      </w:r>
      <w:r>
        <w:rPr>
          <w:color w:val="auto"/>
          <w:sz w:val="24"/>
          <w:szCs w:val="24"/>
        </w:rPr>
        <w:t xml:space="preserve">ование государственного и муниципального имущества, поступили в сумме 161 203,7 тыс. рублей, что составляет 103,3 % от поступлений 2022 года. Увеличение поступлений данного вида доходов связано с погашением арендаторами задолженности за предыдущие периоды.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Налоги на совокупный доход (упр</w:t>
      </w:r>
      <w:r>
        <w:rPr>
          <w:color w:val="auto"/>
          <w:sz w:val="24"/>
          <w:szCs w:val="24"/>
        </w:rPr>
        <w:t xml:space="preserve">ощенная система налогообложения (далее – УСН), патентная система) в 2023 году в бюджет округа поступили в сумме 126 179,1 тыс. рублей, что составляет 106,5 % от поступлений в 2022 году. Увеличение поступлений связано с ростом налогооблагаемой базы за счет </w:t>
      </w:r>
      <w:r>
        <w:rPr>
          <w:color w:val="auto"/>
          <w:sz w:val="24"/>
          <w:szCs w:val="24"/>
        </w:rPr>
        <w:t xml:space="preserve">интернет-продаж</w:t>
      </w:r>
      <w:r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маркетплейсах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итогам 1 полугодия 2024 года поступление доходов в бюджет округа составило 1 730 107,5 тыс. рублей, что составляет 47,0 % к плановым показателям на год. Поступления увеличились на 22,4 % к аналогичному периоду 2023 года.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Налоговые и неналоговые доходы за январь-июнь 2024 года составили 595 816,8 тыс. рублей. Поступления увеличились на 13,8 % к аналогичному периоду 2023 года.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Налог на доходы физических лиц за январь-июнь 2024 года поступил в сумме 331 152,9 тыс. рублей. </w:t>
      </w:r>
      <w:r>
        <w:rPr>
          <w:color w:val="auto"/>
          <w:sz w:val="24"/>
          <w:szCs w:val="24"/>
        </w:rPr>
        <w:t xml:space="preserve">Относительно аналогичного периода 2023 года поступления увеличились на 4,4 %. Рост поступлений  обусловлен увеличением МРОТ с 01.01.2024 года, повышением заработной платы работникам органов местного самоуправления </w:t>
      </w:r>
      <w:r>
        <w:rPr>
          <w:color w:val="auto"/>
          <w:sz w:val="24"/>
          <w:szCs w:val="24"/>
        </w:rPr>
        <w:t xml:space="preserve">и муниципальных учреждений, которые не попадают под действие указов Президента Российской Федерации с 01.10.2023 года и с 01.01.2024 года, а также увеличением оплаты труда работников бюджетной сферы в соответствии с указами Президента Российской Федерации.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Налог на доходы физических лиц, в отношении которых исчисление и уплата налога осущес</w:t>
      </w:r>
      <w:r>
        <w:rPr>
          <w:color w:val="auto"/>
          <w:sz w:val="24"/>
          <w:szCs w:val="24"/>
        </w:rPr>
        <w:t xml:space="preserve">твляются в соответствии со статьями 227, 227.1 и 228 Налогового кодекса Российской Федерации за период январь-июнь 2024 года в бюджет округа поступил в сумме 1 036,5 тыс. рублей. Относительно аналогичного периода 2023 года поступления выросли в 3,86 раза. </w:t>
      </w:r>
      <w:r>
        <w:rPr>
          <w:color w:val="auto"/>
          <w:sz w:val="24"/>
          <w:szCs w:val="24"/>
        </w:rPr>
        <w:t xml:space="preserve">Увеличени</w:t>
      </w:r>
      <w:r>
        <w:rPr>
          <w:color w:val="auto"/>
          <w:sz w:val="24"/>
          <w:szCs w:val="24"/>
        </w:rPr>
        <w:t xml:space="preserve">е поступлений налога на доходы физических лиц связано с ростом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</w:t>
      </w:r>
      <w:r>
        <w:rPr>
          <w:color w:val="auto"/>
          <w:sz w:val="24"/>
          <w:szCs w:val="24"/>
        </w:rPr>
        <w:t xml:space="preserve">дивших адвокатские кабинеты, и других лиц, занимающихся частной практикой; с увеличением доходов, полученных физическими лицами, от продажи недвижимого имущества; с увеличением численности иностранных граждан, осуществляющих трудовую деятельность по найму.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Поступления доходов, получаемых в виде арендной либо иной платы за передачу в возмездное пользование государственного и му</w:t>
      </w:r>
      <w:r>
        <w:rPr>
          <w:color w:val="auto"/>
          <w:sz w:val="24"/>
          <w:szCs w:val="24"/>
        </w:rPr>
        <w:t xml:space="preserve">ниципального имущества, за январь-июнь 2024 года составили 113 611,1 тыс. рублей.  Относительно аналогичного периода 2023 года поступления увеличились на 43,3 %. Причина роста поступлений – оплата дебиторской задолженности за 2023 год крупнейшими должникам</w:t>
      </w:r>
      <w:r>
        <w:rPr>
          <w:color w:val="auto"/>
          <w:sz w:val="24"/>
          <w:szCs w:val="24"/>
        </w:rPr>
        <w:t xml:space="preserve">и ООО</w:t>
      </w:r>
      <w:r>
        <w:rPr>
          <w:color w:val="auto"/>
          <w:sz w:val="24"/>
          <w:szCs w:val="24"/>
        </w:rPr>
        <w:t xml:space="preserve"> «Русские башни», АО «Первая башенная компания».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Налоги на совокупный доход (УСН, патентная система) за январь-июнь 2024 года поступили в бюджет округа в су</w:t>
      </w:r>
      <w:r>
        <w:rPr>
          <w:color w:val="auto"/>
          <w:sz w:val="24"/>
          <w:szCs w:val="24"/>
        </w:rPr>
        <w:t xml:space="preserve">мме 109 746,2 тыс. рублей, что на 18,2 % больше, чем в аналогичном периоде 2023 года. Рост поступлений в 2024 году обусловлен поступлением налога, взимаемого в связи с применением УСН. Увеличение поступлений связано с  ростом налогооблагаемой базы за счет </w:t>
      </w:r>
      <w:r>
        <w:rPr>
          <w:color w:val="auto"/>
          <w:sz w:val="24"/>
          <w:szCs w:val="24"/>
        </w:rPr>
        <w:t xml:space="preserve">интернет-продаж</w:t>
      </w:r>
      <w:r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маркетплейсах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 оценке в 2024 году поступление налоговых и неналоговых доходов в бюджет округа ожидается в сумме 1 176 805,5 тыс. рублей (103,4 % от поступлений 2023 года).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-368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Ожидаемое общее поступление налога на доходы физических лиц в 2023 году прогнозируется в сумме 774 047,0 тыс. рублей (101,4 % к поступлению 2023 года). В том числе, поступления налога на дох</w:t>
      </w:r>
      <w:r>
        <w:rPr>
          <w:color w:val="auto"/>
          <w:sz w:val="24"/>
          <w:szCs w:val="24"/>
        </w:rPr>
        <w:t xml:space="preserve">оды физических лиц, в отношении которых исчисление и уплата налога осуществляются в соответствии со статьями 227, 227.1 и 228 Налогового кодекса Российской Федерации, в 2024 году прогнозируются в сумме 4 004,0 тыс. рублей (122 %  к поступлению 2023 года). </w:t>
      </w:r>
      <w:r>
        <w:rPr>
          <w:color w:val="auto"/>
          <w:sz w:val="24"/>
          <w:szCs w:val="24"/>
        </w:rPr>
        <w:t xml:space="preserve">Несмотря увеличение МРОТ с 01.01.2024 года на 18,5%, индексацию заработной платы муниципальной бюджетной сферы, которые не попадают под действие указов Президента Российской Феде</w:t>
      </w:r>
      <w:r>
        <w:rPr>
          <w:color w:val="auto"/>
          <w:sz w:val="24"/>
          <w:szCs w:val="24"/>
        </w:rPr>
        <w:t xml:space="preserve">рации с 01.10.2023 года на 5,5 % и с 01.01.2024 года на 7,9 %, а также увеличением оплаты труда работников бюджетной сферы в соответствии с указами Президента Российской Федерации, рост налога на доходы физических лиц с доходов, источником которых является</w:t>
      </w:r>
      <w:r>
        <w:rPr>
          <w:color w:val="auto"/>
          <w:sz w:val="24"/>
          <w:szCs w:val="24"/>
        </w:rPr>
        <w:t xml:space="preserve"> налоговый агент, ожидается лишь на 1,4%. Причина незначительного прироста  - снижение поступлений налога по ведущим отраслям экономической деятельности: военная безопасность, строительство (ООО «</w:t>
      </w:r>
      <w:r>
        <w:rPr>
          <w:color w:val="auto"/>
          <w:sz w:val="24"/>
          <w:szCs w:val="24"/>
        </w:rPr>
        <w:t xml:space="preserve">Печенгастрой</w:t>
      </w:r>
      <w:r>
        <w:rPr>
          <w:color w:val="auto"/>
          <w:sz w:val="24"/>
          <w:szCs w:val="24"/>
        </w:rPr>
        <w:t xml:space="preserve">»).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Доходы, получаемые в виде арендной либо иной платы за передачу в возмездное пользование государственного и муниципального имущества, в 2024 году ожидаются в сумме 162 052,5 тыс. рублей (100,5 % от поступлений 2023 года).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Поступление налогов на сов</w:t>
      </w:r>
      <w:r>
        <w:rPr>
          <w:color w:val="auto"/>
          <w:sz w:val="24"/>
          <w:szCs w:val="24"/>
        </w:rPr>
        <w:t xml:space="preserve">окупный доход ожидается в сумме 151 857,2 тыс. рублей (120,4 % к поступлению 2023 года), в том числе по налогу, взимаемому в связи с применением УСН, 150 434,8 тыс. рублей (119 % к поступлению 2023 года) – рост налогооблагаемой базы прогнозируется за счет </w:t>
      </w:r>
      <w:r>
        <w:rPr>
          <w:color w:val="auto"/>
          <w:sz w:val="24"/>
          <w:szCs w:val="24"/>
        </w:rPr>
        <w:t xml:space="preserve">интернет-продаж</w:t>
      </w:r>
      <w:r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маркетплейсах</w:t>
      </w:r>
      <w:r>
        <w:rPr>
          <w:color w:val="auto"/>
          <w:sz w:val="24"/>
          <w:szCs w:val="24"/>
        </w:rPr>
        <w:t xml:space="preserve">; по налогу, взимаемому в связи с применением патентной системы налогообложения, 1 394,6 тыс. рублей (рост в 3,86 раза к поступлению 2023 года) – ро</w:t>
      </w:r>
      <w:r>
        <w:rPr>
          <w:color w:val="auto"/>
          <w:sz w:val="24"/>
          <w:szCs w:val="24"/>
        </w:rPr>
        <w:t xml:space="preserve">ст в св</w:t>
      </w:r>
      <w:r>
        <w:rPr>
          <w:color w:val="auto"/>
          <w:sz w:val="24"/>
          <w:szCs w:val="24"/>
        </w:rPr>
        <w:t xml:space="preserve">язи с переносом срока уплаты налога  на 09.01.2024 года согласно п. 7 ст. 6.1 Налогового кодекса РФ.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spacing w:after="0" w:afterAutospacing="0" w:line="240" w:lineRule="auto"/>
        <w:shd w:val="nil" w:color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br w:type="page" w:clear="all"/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102" w:right="0" w:firstLine="0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sz w:val="24"/>
          <w:szCs w:val="24"/>
        </w:rPr>
      </w:r>
      <w:bookmarkStart w:id="20" w:name="_GoBack"/>
      <w:r>
        <w:rPr>
          <w:sz w:val="24"/>
          <w:szCs w:val="24"/>
        </w:rPr>
      </w:r>
      <w:bookmarkEnd w:id="20"/>
      <w:r>
        <w:rPr>
          <w:color w:val="auto"/>
          <w:sz w:val="24"/>
          <w:szCs w:val="24"/>
        </w:rPr>
        <w:t xml:space="preserve">Приложение № 2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102" w:right="0" w:firstLine="0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прогнозу социально-экономического развития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на 2025 год и на плановый период 2026 и 2027 годов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right"/>
        <w:spacing w:after="0" w:afterAutospacing="0" w:line="240" w:lineRule="auto"/>
        <w:rPr>
          <w:rFonts w:eastAsiaTheme="minorHAnsi"/>
          <w:bCs/>
          <w:color w:val="ff0000"/>
          <w:sz w:val="24"/>
          <w:szCs w:val="24"/>
          <w:highlight w:val="yellow"/>
        </w:rPr>
      </w:pPr>
      <w:r>
        <w:rPr>
          <w:rFonts w:eastAsiaTheme="minorHAnsi"/>
          <w:bCs/>
          <w:color w:val="ff0000"/>
          <w:sz w:val="24"/>
          <w:szCs w:val="24"/>
          <w:highlight w:val="yellow"/>
          <w:lang w:eastAsia="en-US"/>
        </w:rPr>
      </w:r>
      <w:r>
        <w:rPr>
          <w:rFonts w:eastAsiaTheme="minorHAnsi"/>
          <w:bCs/>
          <w:color w:val="ff0000"/>
          <w:sz w:val="24"/>
          <w:szCs w:val="24"/>
          <w:highlight w:val="yellow"/>
        </w:rPr>
      </w:r>
      <w:r>
        <w:rPr>
          <w:rFonts w:eastAsiaTheme="minorHAnsi"/>
          <w:bCs/>
          <w:color w:val="ff0000"/>
          <w:sz w:val="24"/>
          <w:szCs w:val="24"/>
          <w:highlight w:val="yellow"/>
        </w:rPr>
      </w:r>
    </w:p>
    <w:p>
      <w:pPr>
        <w:jc w:val="center"/>
        <w:spacing w:after="0" w:afterAutospacing="0" w:line="240" w:lineRule="auto"/>
        <w:rPr>
          <w:rFonts w:eastAsiaTheme="minorHAnsi"/>
          <w:bCs/>
          <w:color w:val="ff0000"/>
          <w:sz w:val="24"/>
          <w:szCs w:val="24"/>
          <w:highlight w:val="yellow"/>
        </w:rPr>
      </w:pPr>
      <w:r>
        <w:rPr>
          <w:rFonts w:eastAsiaTheme="minorHAnsi"/>
          <w:bCs/>
          <w:color w:val="ff0000"/>
          <w:sz w:val="24"/>
          <w:szCs w:val="24"/>
          <w:highlight w:val="yellow"/>
          <w:lang w:eastAsia="en-US"/>
        </w:rPr>
      </w:r>
      <w:r>
        <w:rPr>
          <w:rFonts w:eastAsiaTheme="minorHAnsi"/>
          <w:bCs/>
          <w:color w:val="ff0000"/>
          <w:sz w:val="24"/>
          <w:szCs w:val="24"/>
          <w:highlight w:val="yellow"/>
        </w:rPr>
      </w:r>
      <w:r>
        <w:rPr>
          <w:rFonts w:eastAsiaTheme="minorHAnsi"/>
          <w:bCs/>
          <w:color w:val="ff0000"/>
          <w:sz w:val="24"/>
          <w:szCs w:val="24"/>
          <w:highlight w:val="yellow"/>
        </w:rPr>
      </w:r>
    </w:p>
    <w:p>
      <w:pPr>
        <w:jc w:val="center"/>
        <w:spacing w:after="0" w:afterAutospacing="0" w:line="240" w:lineRule="auto"/>
        <w:rPr>
          <w:rFonts w:eastAsiaTheme="minorHAnsi"/>
          <w:b/>
          <w:bCs/>
          <w:color w:val="auto"/>
          <w:sz w:val="24"/>
          <w:szCs w:val="24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 xml:space="preserve">ПОЯСНИТЕЛЬНАЯ ЗАПИСКА</w:t>
      </w:r>
      <w:r>
        <w:rPr>
          <w:rFonts w:eastAsiaTheme="minorHAnsi"/>
          <w:b/>
          <w:bCs/>
          <w:color w:val="auto"/>
          <w:sz w:val="24"/>
          <w:szCs w:val="24"/>
        </w:rPr>
      </w:r>
      <w:r>
        <w:rPr>
          <w:rFonts w:eastAsiaTheme="minorHAnsi"/>
          <w:b/>
          <w:bCs/>
          <w:color w:val="auto"/>
          <w:sz w:val="24"/>
          <w:szCs w:val="24"/>
        </w:rPr>
      </w:r>
    </w:p>
    <w:p>
      <w:pPr>
        <w:jc w:val="center"/>
        <w:spacing w:after="0" w:afterAutospacing="0" w:line="240" w:lineRule="auto"/>
        <w:rPr>
          <w:rFonts w:eastAsiaTheme="minorHAnsi"/>
          <w:b w:val="0"/>
          <w:bCs w:val="0"/>
          <w:color w:val="auto"/>
          <w:sz w:val="24"/>
          <w:szCs w:val="24"/>
          <w:lang w:eastAsia="en-US"/>
        </w:rPr>
      </w:pPr>
      <w:r>
        <w:rPr>
          <w:rFonts w:eastAsiaTheme="minorHAnsi"/>
          <w:b w:val="0"/>
          <w:bCs w:val="0"/>
          <w:color w:val="auto"/>
          <w:sz w:val="24"/>
          <w:szCs w:val="24"/>
          <w:lang w:eastAsia="en-US"/>
        </w:rPr>
        <w:t xml:space="preserve">к прогнозу социально-экономического развития </w:t>
      </w:r>
      <w:r>
        <w:rPr>
          <w:rFonts w:eastAsiaTheme="minorHAnsi"/>
          <w:b w:val="0"/>
          <w:bCs w:val="0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b w:val="0"/>
          <w:bCs w:val="0"/>
          <w:color w:val="auto"/>
          <w:sz w:val="24"/>
          <w:szCs w:val="24"/>
          <w:lang w:eastAsia="en-US"/>
        </w:rPr>
        <w:t xml:space="preserve"> муниципального округа </w:t>
      </w:r>
      <w:r>
        <w:rPr>
          <w:rFonts w:eastAsiaTheme="minorHAnsi"/>
          <w:b/>
          <w:bCs/>
          <w:color w:val="auto"/>
          <w:sz w:val="24"/>
          <w:szCs w:val="24"/>
        </w:rPr>
      </w:r>
      <w:r>
        <w:rPr>
          <w:rFonts w:eastAsiaTheme="minorHAnsi"/>
          <w:b w:val="0"/>
          <w:bCs w:val="0"/>
          <w:color w:val="auto"/>
          <w:sz w:val="24"/>
          <w:szCs w:val="24"/>
          <w:lang w:eastAsia="en-US"/>
        </w:rPr>
      </w:r>
    </w:p>
    <w:p>
      <w:pPr>
        <w:jc w:val="center"/>
        <w:spacing w:after="0" w:afterAutospacing="0" w:line="240" w:lineRule="auto"/>
        <w:rPr>
          <w:rFonts w:eastAsiaTheme="minorHAnsi"/>
          <w:b/>
          <w:bCs/>
          <w:color w:val="auto"/>
          <w:sz w:val="24"/>
          <w:szCs w:val="24"/>
        </w:rPr>
      </w:pPr>
      <w:r>
        <w:rPr>
          <w:rFonts w:eastAsiaTheme="minorHAnsi"/>
          <w:b w:val="0"/>
          <w:bCs w:val="0"/>
          <w:color w:val="auto"/>
          <w:sz w:val="24"/>
          <w:szCs w:val="24"/>
          <w:lang w:eastAsia="en-US"/>
        </w:rPr>
        <w:t xml:space="preserve">на 2025 год и на плановый период 2026 и 2027 годов</w:t>
      </w:r>
      <w:r>
        <w:rPr>
          <w:rFonts w:eastAsiaTheme="minorHAnsi"/>
          <w:b/>
          <w:bCs/>
          <w:color w:val="auto"/>
          <w:sz w:val="24"/>
          <w:szCs w:val="24"/>
        </w:rPr>
      </w:r>
      <w:r>
        <w:rPr>
          <w:rFonts w:eastAsiaTheme="minorHAnsi"/>
          <w:b/>
          <w:bCs/>
          <w:color w:val="auto"/>
          <w:sz w:val="24"/>
          <w:szCs w:val="24"/>
        </w:rPr>
      </w:r>
    </w:p>
    <w:p>
      <w:pPr>
        <w:ind w:firstLine="709"/>
        <w:jc w:val="center"/>
        <w:spacing w:after="0" w:afterAutospacing="0" w:line="240" w:lineRule="auto"/>
        <w:tabs>
          <w:tab w:val="left" w:pos="-3686" w:leader="none"/>
        </w:tabs>
        <w:rPr>
          <w:rFonts w:eastAsiaTheme="minorHAnsi"/>
          <w:bCs/>
          <w:color w:val="auto"/>
          <w:sz w:val="24"/>
          <w:szCs w:val="24"/>
          <w:highlight w:val="yellow"/>
        </w:rPr>
      </w:pPr>
      <w:r>
        <w:rPr>
          <w:rFonts w:eastAsiaTheme="minorHAnsi"/>
          <w:bCs/>
          <w:color w:val="auto"/>
          <w:sz w:val="24"/>
          <w:szCs w:val="24"/>
          <w:highlight w:val="yellow"/>
          <w:lang w:eastAsia="en-US"/>
        </w:rPr>
      </w:r>
      <w:r>
        <w:rPr>
          <w:rFonts w:eastAsiaTheme="minorHAnsi"/>
          <w:bCs/>
          <w:color w:val="auto"/>
          <w:sz w:val="24"/>
          <w:szCs w:val="24"/>
          <w:highlight w:val="yellow"/>
        </w:rPr>
      </w:r>
      <w:r>
        <w:rPr>
          <w:rFonts w:eastAsiaTheme="minorHAnsi"/>
          <w:bCs/>
          <w:color w:val="auto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Прогноз социально-экономического развития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на 2025 год и на плановый период 2026 и 2027 годов разра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ботан в двух вариантах: базовом и консервативном, на основе отдельных положений сценарных условий социально-экономического развития Российской Федерации и Мурманской области, а также данных, представленных участниками разработки предварительного прогноза.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При разработке основных параметров прогноза использованы отчетные данные, предоставленные ТОФСГС Мурманской области, материалы организаций и территориальных подразделений исполнительных органов государственной власти.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пояснительной записке к прогнозу социально-экономического развития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на 2025 год и на плановый период 2026 и 2027 годов представлено описание основных параметров социально-экономического развития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по базовому варианту.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Базовый вариант предусматривает </w:t>
      </w:r>
      <w:r>
        <w:rPr>
          <w:color w:val="auto"/>
          <w:sz w:val="24"/>
          <w:szCs w:val="24"/>
        </w:rPr>
        <w:t xml:space="preserve">умеренные траектории развития экономики с учетом дальнейшей адаптации экономики к текущей геополитической обстановке.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b/>
          <w:bCs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b/>
          <w:bCs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</w:p>
    <w:p>
      <w:pPr>
        <w:ind w:left="360"/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1. Демографические показатели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  <w:highlight w:val="none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прогнозном периоде демографические показатели по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Печенгскому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муниципальному округу будут находиться под влиянием изменения возрастной структуры населения, миграционной убыли населения. Сокращение численност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 населения округа продолжится.</w:t>
      </w: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Сдерживающими факторами негативного тренда естественного движения населения будут являться федеральные и региональные меры поддержки семей с детьми, развитие здравоохранения, </w:t>
      </w:r>
      <w:r>
        <w:rPr>
          <w:sz w:val="24"/>
          <w:szCs w:val="24"/>
        </w:rPr>
        <w:t xml:space="preserve">а также </w:t>
      </w:r>
      <w:r>
        <w:rPr>
          <w:sz w:val="24"/>
          <w:szCs w:val="24"/>
        </w:rPr>
        <w:t xml:space="preserve">мер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, принимаемы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в целях улучшения демографической обстановки, в том числе в рамках мероприятий муниципальных программ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округа.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прогнозном периоде ожидается сдержанная динамика общей рождаемости – с постепенным увеличением до 9,0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родившихся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на 1 000 населения к 2027 году (8,7 в 2023 году).</w:t>
      </w:r>
      <w:r>
        <w:rPr>
          <w:rFonts w:eastAsiaTheme="minorHAnsi"/>
          <w:color w:val="ff0000"/>
          <w:sz w:val="24"/>
          <w:szCs w:val="24"/>
          <w:lang w:eastAsia="en-US"/>
        </w:rPr>
        <w:t xml:space="preserve"> </w:t>
      </w:r>
      <w:r>
        <w:rPr>
          <w:color w:val="auto"/>
          <w:sz w:val="24"/>
          <w:szCs w:val="24"/>
        </w:rPr>
        <w:t xml:space="preserve">В среднесрочной перспективе ожидается влияние </w:t>
      </w:r>
      <w:r>
        <w:rPr>
          <w:color w:val="auto"/>
          <w:sz w:val="24"/>
          <w:szCs w:val="24"/>
        </w:rPr>
        <w:br/>
        <w:t xml:space="preserve">на уровень рождаемости реализации комплекса мер, принимаемых </w:t>
      </w:r>
      <w:r>
        <w:rPr>
          <w:color w:val="auto"/>
          <w:sz w:val="24"/>
          <w:szCs w:val="24"/>
        </w:rPr>
        <w:br/>
        <w:t xml:space="preserve">на региональном (адресные выплаты, льготная ипотека и т.д.) и федеральном уровнях (реализация и совершенствование программы материнского (семейного) капитала).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На улучшение демографической ситуации в округе и развитие человеческого потенциала направлены также муниципальные программы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в сфере образования, социальной поддержки, культуры, физической культуры и спорта, в рамках кото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рых обеспечивается поддержка молодых и многодетных семей, защита социально уязвимых категорий граждан, повышение уровня благоустройства городской среды и прочее. На увеличение общего индекса рождаемости влияет также сокращение численности населения округа.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  <w:highlight w:val="yellow"/>
        </w:rPr>
      </w:pPr>
      <w:r>
        <w:rPr>
          <w:color w:val="auto"/>
          <w:sz w:val="24"/>
          <w:szCs w:val="24"/>
        </w:rPr>
        <w:t xml:space="preserve">Прорабатываемые новации в сфере профилактики заболеваний, популяризации здорового образа жизни и повышения качества оказания медицинской помощи будут стимулировать последующее снижение уровня смертности практически по всем </w:t>
      </w:r>
      <w:r>
        <w:rPr>
          <w:color w:val="auto"/>
          <w:sz w:val="24"/>
          <w:szCs w:val="24"/>
        </w:rPr>
        <w:t xml:space="preserve">возрастным группам. Однако процесс старения населения будет тормозящим фактором положительной динамики. В итоге в 2025 - 2027 годах коэффициент смертности будет постепенно снижаться до 10,1 умерших на 1 000 населения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(12,4 в 2023 году)</w:t>
      </w:r>
      <w:r>
        <w:rPr>
          <w:color w:val="auto"/>
          <w:sz w:val="24"/>
          <w:szCs w:val="24"/>
        </w:rPr>
        <w:t xml:space="preserve">.</w:t>
      </w:r>
      <w:r>
        <w:rPr>
          <w:rFonts w:eastAsiaTheme="minorHAnsi"/>
          <w:color w:val="auto"/>
          <w:sz w:val="24"/>
          <w:szCs w:val="24"/>
          <w:highlight w:val="yellow"/>
        </w:rPr>
      </w:r>
      <w:r>
        <w:rPr>
          <w:rFonts w:eastAsiaTheme="minorHAnsi"/>
          <w:color w:val="auto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Ожидается, что естественная убыль населения в 2025 году составит 1,8 человека на 1 000 населения со снижением к 2027 году до 1,1 человек.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  <w:highlight w:val="yellow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Ожидаемый уровень миграционной убыли населения </w:t>
      </w:r>
      <w:r>
        <w:rPr>
          <w:color w:val="auto"/>
          <w:sz w:val="24"/>
          <w:szCs w:val="24"/>
        </w:rPr>
        <w:t xml:space="preserve">сохранит тенденцию снижения и к концу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2027 года составит -28,0 человек на 1 000 населения (-28,1 в 2023 году).</w:t>
      </w:r>
      <w:r>
        <w:rPr>
          <w:color w:val="auto"/>
          <w:sz w:val="24"/>
          <w:szCs w:val="24"/>
          <w:highlight w:val="yellow"/>
        </w:rPr>
      </w:r>
      <w:r>
        <w:rPr>
          <w:color w:val="auto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итоге среднегодовая численность населения в прогнозный период снизится по сравнению с 2023 годом на 3,5 тыс. человек (11,5 %), и составит в 2027 году 26,6 тыс. человек.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ff0000"/>
          <w:sz w:val="24"/>
          <w:szCs w:val="24"/>
          <w:highlight w:val="yellow"/>
        </w:rPr>
      </w:pP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ff0000"/>
          <w:sz w:val="24"/>
          <w:szCs w:val="24"/>
          <w:highlight w:val="yellow"/>
        </w:rPr>
      </w:pPr>
      <w:r>
        <w:rPr>
          <w:rFonts w:eastAsiaTheme="minorHAnsi"/>
          <w:color w:val="ff0000"/>
          <w:sz w:val="24"/>
          <w:szCs w:val="24"/>
          <w:highlight w:val="yellow"/>
          <w:lang w:eastAsia="en-US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ind w:left="360"/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2.  Производство товаров и услуг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spacing w:after="0" w:afterAutospacing="0" w:line="240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2.1. Промышленное производство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ff0000"/>
          <w:sz w:val="24"/>
          <w:szCs w:val="24"/>
          <w:highlight w:val="yellow"/>
        </w:rPr>
      </w:pPr>
      <w:r>
        <w:rPr>
          <w:rFonts w:eastAsiaTheme="minorHAnsi"/>
          <w:color w:val="ff0000"/>
          <w:sz w:val="24"/>
          <w:szCs w:val="24"/>
          <w:highlight w:val="yellow"/>
          <w:lang w:eastAsia="en-US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На показатели производства в прогнозируемом периоде будут влиять структурные изменения, меры по оптимизации деятельности предприятий.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Ожидается, что в 202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7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году: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объем промышленного производства по крупным и средним предприятиям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составит 52 316,1 млн. рублей (121,1 % к 2023 году);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 объем отгруженных товаров собственного производства, выполненных работ и услуг по виду деятельности «Добыча полезных ископаемых» составит 43 847,3 млн. рублей;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объем отгруженных товаров собственного производства, выполненных работ и услуг по виду деятельности «Обрабатывающее производство» составит 4 474,7 млн. рублей;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объем отгруженных товаров собственного производства, выполненных работ и услуг по виду деятельности «Обеспечение электрической энергией, газом и паром; кондиционирование воздуха» составит 3 738,3 млн. рублей;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объем отгруженных товаров собственного производства, выполненных работ и услуг по виду деятельности «Водоснабжение; водоотведение, организация сбора и утилизация отходов» составит 255,8 млн. рублей.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 объемы промышленного производства существенное влияние будет оказывать степень </w:t>
      </w:r>
      <w:r>
        <w:rPr>
          <w:color w:val="auto"/>
          <w:sz w:val="24"/>
          <w:szCs w:val="24"/>
        </w:rPr>
        <w:t xml:space="preserve">санкционного</w:t>
      </w:r>
      <w:r>
        <w:rPr>
          <w:color w:val="auto"/>
          <w:sz w:val="24"/>
          <w:szCs w:val="24"/>
        </w:rPr>
        <w:t xml:space="preserve"> давления со стороны зарубежных государств, динамика внутреннего спроса на основные виды продукции.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связи с тем, что основным потребителем </w:t>
      </w:r>
      <w:r>
        <w:rPr>
          <w:color w:val="auto"/>
          <w:sz w:val="24"/>
          <w:szCs w:val="24"/>
        </w:rPr>
        <w:t xml:space="preserve">теплоэнергии</w:t>
      </w:r>
      <w:r>
        <w:rPr>
          <w:color w:val="auto"/>
          <w:sz w:val="24"/>
          <w:szCs w:val="24"/>
        </w:rPr>
        <w:t xml:space="preserve"> и воды является население, численность которого сохраняет устойчивую тенденцию к снижени</w:t>
      </w:r>
      <w:r>
        <w:rPr>
          <w:color w:val="auto"/>
          <w:sz w:val="24"/>
          <w:szCs w:val="24"/>
        </w:rPr>
        <w:t xml:space="preserve">ю, а большую часть электроэнергии потребляют предприятия, дальнейшее развитие сферы производства и распределения электроэнергии и воды будет в большей степени зависеть от экономической активности и состояния предприятий, расположенных на территории округа.</w:t>
      </w:r>
      <w:r>
        <w:rPr>
          <w:color w:val="auto"/>
          <w:sz w:val="24"/>
          <w:szCs w:val="24"/>
        </w:rPr>
        <w:t xml:space="preserve">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Сдерживающим фактором роста потребления энергетических ресурсов будет снижение численности населения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округа, </w:t>
      </w:r>
      <w:r>
        <w:rPr>
          <w:color w:val="auto"/>
          <w:sz w:val="24"/>
          <w:szCs w:val="24"/>
        </w:rPr>
        <w:t xml:space="preserve">снижением объемов экспортных поставок электроэнергии,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а также реализация мер по повышению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энергоэффективности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экономики, разработка и внедрение энергосберегающих технологий, выбытие неэффективных мощностей, сокращение потерь энергии.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ff0000"/>
          <w:sz w:val="24"/>
          <w:szCs w:val="24"/>
          <w:highlight w:val="yellow"/>
        </w:rPr>
      </w:pP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ff0000"/>
          <w:sz w:val="24"/>
          <w:szCs w:val="24"/>
          <w:highlight w:val="yellow"/>
        </w:rPr>
      </w:pPr>
      <w:r>
        <w:rPr>
          <w:rFonts w:eastAsiaTheme="minorHAnsi"/>
          <w:color w:val="ff0000"/>
          <w:sz w:val="24"/>
          <w:szCs w:val="24"/>
          <w:highlight w:val="yellow"/>
          <w:lang w:eastAsia="en-US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pStyle w:val="902"/>
        <w:numPr>
          <w:ilvl w:val="0"/>
          <w:numId w:val="24"/>
        </w:numPr>
        <w:jc w:val="center"/>
        <w:spacing w:after="0" w:afterAutospacing="0" w:line="240" w:lineRule="auto"/>
        <w:rPr>
          <w:rFonts w:eastAsiaTheme="minorHAnsi"/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Рынок товаров и услуг</w:t>
      </w:r>
      <w:r>
        <w:rPr>
          <w:rFonts w:eastAsiaTheme="minorHAnsi"/>
          <w:b/>
          <w:color w:val="auto"/>
          <w:sz w:val="24"/>
          <w:szCs w:val="24"/>
        </w:rPr>
      </w:r>
      <w:r>
        <w:rPr>
          <w:rFonts w:eastAsiaTheme="minorHAnsi"/>
          <w:b/>
          <w:color w:val="auto"/>
          <w:sz w:val="24"/>
          <w:szCs w:val="24"/>
        </w:rPr>
      </w:r>
    </w:p>
    <w:p>
      <w:pPr>
        <w:ind w:left="360"/>
        <w:jc w:val="center"/>
        <w:spacing w:after="0" w:afterAutospacing="0" w:line="240" w:lineRule="auto"/>
        <w:rPr>
          <w:rFonts w:eastAsiaTheme="minorHAnsi"/>
          <w:b/>
          <w:color w:val="ff0000"/>
          <w:sz w:val="24"/>
          <w:szCs w:val="24"/>
          <w:highlight w:val="yellow"/>
        </w:rPr>
      </w:pPr>
      <w:r>
        <w:rPr>
          <w:rFonts w:eastAsiaTheme="minorHAnsi"/>
          <w:b/>
          <w:color w:val="ff0000"/>
          <w:sz w:val="24"/>
          <w:szCs w:val="24"/>
          <w:highlight w:val="yellow"/>
          <w:lang w:eastAsia="en-US"/>
        </w:rPr>
      </w:r>
      <w:r>
        <w:rPr>
          <w:rFonts w:eastAsiaTheme="minorHAnsi"/>
          <w:b/>
          <w:color w:val="ff0000"/>
          <w:sz w:val="24"/>
          <w:szCs w:val="24"/>
          <w:highlight w:val="yellow"/>
        </w:rPr>
      </w:r>
      <w:r>
        <w:rPr>
          <w:rFonts w:eastAsiaTheme="minorHAnsi"/>
          <w:b/>
          <w:color w:val="ff0000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На развитие потребительского рынка в прогнозном периоде будет влиять с одной стороны снижение численности населения, а с другой - реализация инвестиционных проектов, предусмотренных программой социально-экономического развития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на 2021-2025 годы, утвержденной распоряжением Губернатора Мурманской области от 29.03.2021 № 74-РГ, а также </w:t>
      </w:r>
      <w:r>
        <w:rPr>
          <w:color w:val="auto"/>
          <w:sz w:val="24"/>
          <w:szCs w:val="24"/>
        </w:rPr>
        <w:t xml:space="preserve">увеличение денежной массы у населения и позитивные потребительские ожидания на фоне общей стабилизации.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результате к концу прогнозного периода индекс физического объема розничной торговли составит 99,2 %, индекс физического объема оборота общественного питания составит 99,8 %, индекс физического объема платных услуг прогнозируется на уровне 98,8%.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567"/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Ожидается, что и</w:t>
      </w:r>
      <w:r>
        <w:rPr>
          <w:sz w:val="24"/>
          <w:szCs w:val="24"/>
        </w:rPr>
        <w:t xml:space="preserve">нфраструктура гостеприимства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2027 году будет включать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15</w:t>
      </w:r>
      <w:r>
        <w:rPr>
          <w:sz w:val="24"/>
          <w:szCs w:val="24"/>
        </w:rPr>
        <w:t xml:space="preserve"> объектов коллективного размещения (гостиницы, отели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хостелы</w:t>
      </w:r>
      <w:r>
        <w:rPr>
          <w:sz w:val="24"/>
          <w:szCs w:val="24"/>
        </w:rPr>
        <w:t xml:space="preserve"> и пр</w:t>
      </w:r>
      <w:r>
        <w:rPr>
          <w:color w:val="auto"/>
          <w:sz w:val="24"/>
          <w:szCs w:val="24"/>
        </w:rPr>
        <w:t xml:space="preserve">.). Несмотря на увеличивающийся поток туристов, в среднесрочном периоде не прогнозируется значительного роста количества объектов коллективного размещения.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ff0000"/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  <w:r>
        <w:rPr>
          <w:color w:val="ff0000"/>
          <w:sz w:val="24"/>
          <w:szCs w:val="24"/>
          <w:highlight w:val="yellow"/>
        </w:rPr>
      </w:r>
    </w:p>
    <w:p>
      <w:pPr>
        <w:pStyle w:val="931"/>
        <w:numPr>
          <w:ilvl w:val="0"/>
          <w:numId w:val="24"/>
        </w:numPr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Малое и среднее предпринимательство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pStyle w:val="931"/>
        <w:ind w:left="360"/>
        <w:jc w:val="center"/>
        <w:spacing w:after="0" w:afterAutospacing="0" w:line="240" w:lineRule="auto"/>
        <w:rPr>
          <w:b/>
          <w:color w:val="auto"/>
          <w:sz w:val="24"/>
          <w:szCs w:val="24"/>
          <w:highlight w:val="yellow"/>
        </w:rPr>
      </w:pPr>
      <w:r>
        <w:rPr>
          <w:b/>
          <w:color w:val="auto"/>
          <w:sz w:val="24"/>
          <w:szCs w:val="24"/>
          <w:highlight w:val="yellow"/>
        </w:rPr>
      </w:r>
      <w:r>
        <w:rPr>
          <w:b/>
          <w:color w:val="auto"/>
          <w:sz w:val="24"/>
          <w:szCs w:val="24"/>
          <w:highlight w:val="yellow"/>
        </w:rPr>
      </w:r>
      <w:r>
        <w:rPr>
          <w:b/>
          <w:color w:val="auto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ff0000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прогнозном периоде с учетом реализация инвестиционных проектов, предусмотренных программой социально-экономического развития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на 2021-2025 годы, ожидается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, что к 2027 году количество субъектов МСП составит 873 единицы (103,9 % к 2023 году), в том числе: малых предприятий (включая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микропредприятия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)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155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единиц со среднесписочной численностью работающих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6788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человек, индивидуальных предпринимателей –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718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единиц. </w:t>
      </w:r>
      <w:r>
        <w:rPr>
          <w:rFonts w:eastAsiaTheme="minorHAnsi"/>
          <w:color w:val="ff0000"/>
          <w:sz w:val="24"/>
          <w:szCs w:val="24"/>
        </w:rPr>
      </w:r>
      <w:r>
        <w:rPr>
          <w:rFonts w:eastAsiaTheme="minorHAnsi"/>
          <w:color w:val="ff0000"/>
          <w:sz w:val="24"/>
          <w:szCs w:val="24"/>
        </w:rPr>
      </w:r>
    </w:p>
    <w:p>
      <w:pPr>
        <w:pStyle w:val="921"/>
        <w:ind w:firstLine="709"/>
        <w:spacing w:after="0" w:afterAutospacing="0" w:line="240" w:lineRule="auto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В прогнозный период будет продолжена работа по созданию благоприятных условий для развития предпринимательства в рамках разрабатываемой на 202</w:t>
      </w:r>
      <w:r>
        <w:rPr>
          <w:rFonts w:eastAsiaTheme="minorHAnsi"/>
          <w:sz w:val="24"/>
          <w:szCs w:val="24"/>
          <w:lang w:eastAsia="en-US"/>
        </w:rPr>
        <w:t xml:space="preserve">5</w:t>
      </w:r>
      <w:r>
        <w:rPr>
          <w:rFonts w:eastAsiaTheme="minorHAnsi"/>
          <w:sz w:val="24"/>
          <w:szCs w:val="24"/>
          <w:lang w:eastAsia="en-US"/>
        </w:rPr>
        <w:t xml:space="preserve">-202</w:t>
      </w:r>
      <w:r>
        <w:rPr>
          <w:rFonts w:eastAsiaTheme="minorHAnsi"/>
          <w:sz w:val="24"/>
          <w:szCs w:val="24"/>
          <w:lang w:eastAsia="en-US"/>
        </w:rPr>
        <w:t xml:space="preserve">7</w:t>
      </w:r>
      <w:r>
        <w:rPr>
          <w:rFonts w:eastAsiaTheme="minorHAnsi"/>
          <w:sz w:val="24"/>
          <w:szCs w:val="24"/>
          <w:lang w:eastAsia="en-US"/>
        </w:rPr>
        <w:t xml:space="preserve"> годы подпрограммы </w:t>
      </w:r>
      <w:r>
        <w:rPr>
          <w:rFonts w:eastAsiaTheme="minorHAnsi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sz w:val="24"/>
          <w:szCs w:val="24"/>
          <w:lang w:eastAsia="en-US"/>
        </w:rPr>
        <w:t xml:space="preserve"> муниципального округа «Повышение инвестиционной привлекательности </w:t>
      </w:r>
      <w:r>
        <w:rPr>
          <w:rFonts w:eastAsiaTheme="minorHAnsi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sz w:val="24"/>
          <w:szCs w:val="24"/>
          <w:lang w:eastAsia="en-US"/>
        </w:rPr>
        <w:t xml:space="preserve"> муниципального округа» муниципальной программы «Экономический потенциал». Продолжится финансовая, имущественная, консультационная поддержка субъектов МСП, </w:t>
      </w:r>
      <w:r>
        <w:rPr>
          <w:sz w:val="24"/>
          <w:szCs w:val="24"/>
        </w:rPr>
        <w:t xml:space="preserve">поддержка резидентов АЗ РФ, включающая большой</w:t>
      </w:r>
      <w:r>
        <w:rPr>
          <w:sz w:val="24"/>
          <w:szCs w:val="24"/>
        </w:rPr>
        <w:t xml:space="preserve"> пакет административных и налоговых преференций, предоставление земельных участков, находящихся в государственной и муниципальной собственности, без торгов, по льготным ставкам аренды и выкупа, разработка и реализация механизмов для привлечения инвестиций.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Продолжится работа по организации и проведению конференций, форумов, встреч, семинаров, тренингов для субъектов малого и среднего предпринимательства.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Сдерживающими факторами увеличения числа субъектов МСП в прогнозном периоде будут являться: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отток молодежи, имеющей высокий предпринимательский потенциал;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jc w:val="both"/>
        <w:spacing w:after="0" w:afterAutospacing="0" w:line="240" w:lineRule="auto"/>
        <w:rPr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</w:t>
      </w:r>
      <w:r>
        <w:rPr>
          <w:color w:val="auto"/>
          <w:sz w:val="24"/>
          <w:szCs w:val="24"/>
        </w:rPr>
        <w:t xml:space="preserve">недостаток трудовых ресурсов, недостаточный уровень профессиональной подготовки;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21"/>
        <w:ind w:firstLine="0"/>
        <w:jc w:val="left"/>
        <w:spacing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недостаток собственных оборотных сре</w:t>
      </w:r>
      <w:r>
        <w:rPr>
          <w:sz w:val="24"/>
          <w:szCs w:val="24"/>
        </w:rPr>
        <w:t xml:space="preserve">дств пр</w:t>
      </w:r>
      <w:r>
        <w:rPr>
          <w:sz w:val="24"/>
          <w:szCs w:val="24"/>
        </w:rPr>
        <w:t xml:space="preserve">едприятий;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1"/>
        <w:ind w:firstLine="0"/>
        <w:jc w:val="left"/>
        <w:spacing w:after="0" w:afterAutospacing="0" w:line="240" w:lineRule="auto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- высокие процентные ставки по кредитам;</w:t>
      </w:r>
      <w:r>
        <w:rPr>
          <w:rFonts w:eastAsiaTheme="minorHAnsi"/>
          <w:sz w:val="24"/>
          <w:szCs w:val="24"/>
        </w:rPr>
      </w:r>
      <w:r>
        <w:rPr>
          <w:rFonts w:eastAsiaTheme="minorHAnsi"/>
          <w:sz w:val="24"/>
          <w:szCs w:val="24"/>
        </w:rPr>
      </w:r>
    </w:p>
    <w:p>
      <w:pPr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консервация шахты «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Каула-Котсельваара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» в рамках реконфигурации горнодобывающих мощностей в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Печенгском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округе;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jc w:val="both"/>
        <w:spacing w:after="0" w:afterAutospacing="0" w:line="240" w:lineRule="auto"/>
        <w:tabs>
          <w:tab w:val="left" w:pos="142" w:leader="none"/>
          <w:tab w:val="left" w:pos="426" w:leader="none"/>
        </w:tabs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адаптация к новым условиям ведения хозяйственной деятельности, вызванным внешнеэкономической ситуацией;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высокая стоимость ресурсов: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энерг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-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и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теплоресурсов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, аренды земли и помещений, отсутствие начального капитала.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jc w:val="both"/>
        <w:spacing w:after="0" w:afterAutospacing="0" w:line="240" w:lineRule="auto"/>
        <w:rPr>
          <w:rFonts w:eastAsiaTheme="minorHAnsi"/>
          <w:color w:val="ff0000"/>
          <w:sz w:val="24"/>
          <w:szCs w:val="24"/>
          <w:highlight w:val="yellow"/>
        </w:rPr>
      </w:pPr>
      <w:r>
        <w:rPr>
          <w:rFonts w:eastAsiaTheme="minorHAnsi"/>
          <w:color w:val="ff0000"/>
          <w:sz w:val="24"/>
          <w:szCs w:val="24"/>
          <w:highlight w:val="yellow"/>
          <w:lang w:eastAsia="en-US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pStyle w:val="902"/>
        <w:numPr>
          <w:ilvl w:val="0"/>
          <w:numId w:val="24"/>
        </w:numPr>
        <w:jc w:val="center"/>
        <w:spacing w:after="0" w:afterAutospacing="0" w:line="240" w:lineRule="auto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Инвестиции и строительство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left="360"/>
        <w:jc w:val="center"/>
        <w:spacing w:after="0" w:afterAutospacing="0" w:line="240" w:lineRule="auto"/>
        <w:rPr>
          <w:rFonts w:eastAsiaTheme="minorHAnsi"/>
          <w:color w:val="ff0000"/>
          <w:sz w:val="24"/>
          <w:szCs w:val="24"/>
          <w:highlight w:val="yellow"/>
        </w:rPr>
      </w:pPr>
      <w:r>
        <w:rPr>
          <w:rFonts w:eastAsiaTheme="minorHAnsi"/>
          <w:color w:val="ff0000"/>
          <w:sz w:val="24"/>
          <w:szCs w:val="24"/>
          <w:highlight w:val="yellow"/>
          <w:lang w:eastAsia="en-US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прогнозном периоде предполагается реализация проектов, начатых в предыдущие годы, а также начало реализации новых инвестиционных проектов: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продолжение строительства одноагрегатной малой гидроэлектростанции на реке Паз (период реализации 2021 -2026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реализация проекта по созданию </w:t>
      </w:r>
      <w:r>
        <w:rPr>
          <w:color w:val="auto"/>
          <w:sz w:val="24"/>
          <w:szCs w:val="24"/>
        </w:rPr>
        <w:t xml:space="preserve">комплексов инженерно-технических средств охраны объектов Каскада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Пазских</w:t>
      </w:r>
      <w:r>
        <w:rPr>
          <w:color w:val="auto"/>
          <w:sz w:val="24"/>
          <w:szCs w:val="24"/>
        </w:rPr>
        <w:t xml:space="preserve"> ГЭС (период реализации 2024-2027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реализация инвестиционного проекта «Оборудование многоквартирных жилых домов интеллектуальной системой учета» в рамках инвестиционной программы на 2023-2025 </w:t>
      </w:r>
      <w:r>
        <w:rPr>
          <w:color w:val="auto"/>
          <w:sz w:val="24"/>
          <w:szCs w:val="24"/>
        </w:rPr>
        <w:t xml:space="preserve">гг</w:t>
      </w:r>
      <w:r>
        <w:rPr>
          <w:color w:val="auto"/>
          <w:sz w:val="24"/>
          <w:szCs w:val="24"/>
        </w:rPr>
        <w:t xml:space="preserve"> АО «</w:t>
      </w:r>
      <w:r>
        <w:rPr>
          <w:color w:val="auto"/>
          <w:sz w:val="24"/>
          <w:szCs w:val="24"/>
        </w:rPr>
        <w:t xml:space="preserve">АтомЭнергоСбыт</w:t>
      </w:r>
      <w:r>
        <w:rPr>
          <w:color w:val="auto"/>
          <w:sz w:val="24"/>
          <w:szCs w:val="24"/>
        </w:rPr>
        <w:t xml:space="preserve">»;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инвестиционные проекты, реализуемые АО «Кольская ГМК», 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(период реализации 2023-2027 гг.) (Вскрытие и отработка запасов руды до гор.-730 м рудника «Северный – Глубокий» - проходка горных выработок, работы по оснащению пройденных горных выработок, а также </w:t>
      </w:r>
      <w:r>
        <w:rPr>
          <w:color w:val="auto"/>
          <w:sz w:val="24"/>
          <w:szCs w:val="24"/>
        </w:rPr>
        <w:t xml:space="preserve">углубка</w:t>
      </w:r>
      <w:r>
        <w:rPr>
          <w:color w:val="auto"/>
          <w:sz w:val="24"/>
          <w:szCs w:val="24"/>
        </w:rPr>
        <w:t xml:space="preserve"> ЦВС; </w:t>
      </w:r>
      <w:r>
        <w:rPr>
          <w:color w:val="auto"/>
          <w:sz w:val="24"/>
          <w:szCs w:val="24"/>
        </w:rPr>
        <w:t xml:space="preserve">Вскрытие и отработка запасов руды до гор.-440 м рудника «Северный – Глубокий» - ст</w:t>
      </w:r>
      <w:r>
        <w:rPr>
          <w:color w:val="auto"/>
          <w:sz w:val="24"/>
          <w:szCs w:val="24"/>
        </w:rPr>
        <w:t xml:space="preserve">роительство транспортной выработки Восточного участка гор.-440 м, строительство комплекса выработок разгрузки автосамосвалов и погрузочных камер Восточного участка откаточного горизонта -440 м; Реконструкция станции очистки шахтных вод рудника «Северный»);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индустриальный объект – рыбоводный (</w:t>
      </w:r>
      <w:r>
        <w:rPr>
          <w:color w:val="auto"/>
          <w:sz w:val="24"/>
          <w:szCs w:val="24"/>
        </w:rPr>
        <w:t xml:space="preserve">смолтовый</w:t>
      </w:r>
      <w:r>
        <w:rPr>
          <w:color w:val="auto"/>
          <w:sz w:val="24"/>
          <w:szCs w:val="24"/>
        </w:rPr>
        <w:t xml:space="preserve">) завод по выращиванию посадочного материала атлантического лосося и форели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районе Мурманской области (период реализации 2021-2025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предприятие по смешиванию, фасовке и упаковке синтетических смол и двухкомпонентного полиэфирного состава в ампулах для механизированного крепления (срок реализации 2021-2025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туристического комплекса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округе (срок реализации 2022-2026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Центр обработки данных (срок реализации 2021-2026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туристический кластер «</w:t>
      </w:r>
      <w:r>
        <w:rPr>
          <w:color w:val="auto"/>
          <w:sz w:val="24"/>
          <w:szCs w:val="24"/>
        </w:rPr>
        <w:t xml:space="preserve">Валла-Тунтури</w:t>
      </w:r>
      <w:r>
        <w:rPr>
          <w:color w:val="auto"/>
          <w:sz w:val="24"/>
          <w:szCs w:val="24"/>
        </w:rPr>
        <w:t xml:space="preserve">» (срок реализации 2021-2026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строительство </w:t>
      </w:r>
      <w:r>
        <w:rPr>
          <w:color w:val="auto"/>
          <w:sz w:val="24"/>
          <w:szCs w:val="24"/>
        </w:rPr>
        <w:t xml:space="preserve">глэмпинга</w:t>
      </w:r>
      <w:r>
        <w:rPr>
          <w:color w:val="auto"/>
          <w:sz w:val="24"/>
          <w:szCs w:val="24"/>
        </w:rPr>
        <w:t xml:space="preserve"> и кафе на берегу озера </w:t>
      </w:r>
      <w:r>
        <w:rPr>
          <w:color w:val="auto"/>
          <w:sz w:val="24"/>
          <w:szCs w:val="24"/>
        </w:rPr>
        <w:t xml:space="preserve">Куэтсъярви</w:t>
      </w:r>
      <w:r>
        <w:rPr>
          <w:color w:val="auto"/>
          <w:sz w:val="24"/>
          <w:szCs w:val="24"/>
        </w:rPr>
        <w:t xml:space="preserve"> (срок реализации 2021-2025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реконструкция ДК «Восход»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Никель (</w:t>
      </w:r>
      <w:r>
        <w:rPr>
          <w:color w:val="auto"/>
          <w:sz w:val="24"/>
          <w:szCs w:val="24"/>
        </w:rPr>
        <w:t xml:space="preserve">срок</w:t>
      </w:r>
      <w:r>
        <w:rPr>
          <w:color w:val="auto"/>
          <w:sz w:val="24"/>
          <w:szCs w:val="24"/>
        </w:rPr>
        <w:t xml:space="preserve"> реализации 202</w:t>
      </w:r>
      <w:r>
        <w:rPr>
          <w:color w:val="auto"/>
          <w:sz w:val="24"/>
          <w:szCs w:val="24"/>
        </w:rPr>
        <w:t xml:space="preserve">1-2025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реконструкция котельных и тепловых сетей в рамках концессионного соглашения (срок реализации 2024-2025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реконструкция ДК «Октябрь» в г. Заполярный (2024-2025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реконструкция спортивного комплекса «Строитель» в г. Заполярный (2025 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завершение строительства недостроенного дома в г. </w:t>
      </w:r>
      <w:r>
        <w:rPr>
          <w:color w:val="auto"/>
          <w:sz w:val="24"/>
          <w:szCs w:val="24"/>
        </w:rPr>
        <w:t xml:space="preserve">Заполярный</w:t>
      </w:r>
      <w:r>
        <w:rPr>
          <w:color w:val="auto"/>
          <w:sz w:val="24"/>
          <w:szCs w:val="24"/>
        </w:rPr>
        <w:t xml:space="preserve"> по ул. Ленинградская (2024-2025 гг.);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выполнение работ по </w:t>
      </w:r>
      <w:r>
        <w:rPr>
          <w:color w:val="auto"/>
          <w:sz w:val="24"/>
          <w:szCs w:val="24"/>
        </w:rPr>
        <w:t xml:space="preserve">капитальному </w:t>
      </w:r>
      <w:r>
        <w:rPr>
          <w:color w:val="auto"/>
          <w:sz w:val="24"/>
          <w:szCs w:val="24"/>
        </w:rPr>
        <w:t xml:space="preserve">ремонту фасада </w:t>
      </w:r>
      <w:r>
        <w:rPr>
          <w:color w:val="auto"/>
          <w:sz w:val="24"/>
          <w:szCs w:val="24"/>
        </w:rPr>
        <w:t xml:space="preserve">и входных групп </w:t>
      </w:r>
      <w:r>
        <w:rPr>
          <w:color w:val="auto"/>
          <w:sz w:val="24"/>
          <w:szCs w:val="24"/>
        </w:rPr>
        <w:t xml:space="preserve">МБОУ СОШ №19;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проектирование, строительство и ввод в эксплуатацию объекта капитального строительства «Детский сад на 350 мест в </w:t>
      </w:r>
      <w:r>
        <w:rPr>
          <w:color w:val="auto"/>
          <w:sz w:val="24"/>
          <w:szCs w:val="24"/>
        </w:rPr>
        <w:t xml:space="preserve">пгт</w:t>
      </w:r>
      <w:r>
        <w:rPr>
          <w:color w:val="auto"/>
          <w:sz w:val="24"/>
          <w:szCs w:val="24"/>
        </w:rPr>
        <w:t xml:space="preserve">. Печенга (срок реализации 2024-2026 гг.) * на сегодняшний день контракт не заключен;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разработка проектной документации и строительство здания детского сада на 250 мест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Корзуново</w:t>
      </w:r>
      <w:r>
        <w:rPr>
          <w:color w:val="auto"/>
          <w:sz w:val="24"/>
          <w:szCs w:val="24"/>
        </w:rPr>
        <w:t xml:space="preserve"> (срок реализации 2024-2026 гг.) * на сегодняшний день контракт не заключен;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numPr>
          <w:ilvl w:val="0"/>
          <w:numId w:val="22"/>
        </w:numPr>
        <w:contextualSpacing/>
        <w:ind w:left="0" w:firstLine="709"/>
        <w:jc w:val="both"/>
        <w:spacing w:after="0" w:afterAutospacing="0" w:line="240" w:lineRule="auto"/>
        <w:widowControl w:val="off"/>
        <w:tabs>
          <w:tab w:val="left" w:pos="-7938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разработка проектной документации и реализация проекта «Туристический </w:t>
      </w:r>
      <w:r>
        <w:rPr>
          <w:color w:val="auto"/>
          <w:sz w:val="24"/>
          <w:szCs w:val="24"/>
        </w:rPr>
        <w:t xml:space="preserve">кластер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– «Кольская сверхглубокая», «Плавильный цех», «Шахта </w:t>
      </w:r>
      <w:r>
        <w:rPr>
          <w:color w:val="auto"/>
          <w:sz w:val="24"/>
          <w:szCs w:val="24"/>
        </w:rPr>
        <w:t xml:space="preserve">Каул</w:t>
      </w:r>
      <w:r>
        <w:rPr>
          <w:color w:val="auto"/>
          <w:sz w:val="24"/>
          <w:szCs w:val="24"/>
        </w:rPr>
        <w:t xml:space="preserve">а-Котсельваара</w:t>
      </w:r>
      <w:r>
        <w:rPr>
          <w:color w:val="auto"/>
          <w:sz w:val="24"/>
          <w:szCs w:val="24"/>
        </w:rPr>
        <w:t xml:space="preserve">» (2023-2024 гг.).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bCs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bCs/>
          <w:sz w:val="24"/>
          <w:szCs w:val="24"/>
        </w:rPr>
        <w:t xml:space="preserve">К основным рискам </w:t>
      </w:r>
      <w:r>
        <w:rPr>
          <w:bCs/>
          <w:sz w:val="24"/>
          <w:szCs w:val="24"/>
        </w:rPr>
        <w:t xml:space="preserve">недостижения</w:t>
      </w:r>
      <w:r>
        <w:rPr>
          <w:bCs/>
          <w:sz w:val="24"/>
          <w:szCs w:val="24"/>
        </w:rPr>
        <w:t xml:space="preserve"> прогнозных значений показателей относятся: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bCs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–</w:t>
      </w:r>
      <w:r>
        <w:rPr>
          <w:bCs/>
          <w:sz w:val="24"/>
          <w:szCs w:val="24"/>
        </w:rPr>
        <w:t xml:space="preserve"> отсрочка реализации инвестиционных проектов на территории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bCs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–</w:t>
      </w:r>
      <w:r>
        <w:rPr>
          <w:bCs/>
          <w:sz w:val="24"/>
          <w:szCs w:val="24"/>
        </w:rPr>
        <w:t xml:space="preserve"> сокращение объемов и/или перенос сроков планового финансирования проектов, реализуемых за счет средств федерального и областного бюджетов.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rFonts w:eastAsiaTheme="minorHAnsi"/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bCs/>
          <w:color w:val="auto"/>
          <w:sz w:val="24"/>
          <w:szCs w:val="24"/>
        </w:rPr>
        <w:t xml:space="preserve">В 2027 году объем инвестиций в основной капитал за счет всех источников финансирования, предположительно, составит </w:t>
      </w:r>
      <w:r>
        <w:rPr>
          <w:bCs/>
          <w:color w:val="auto"/>
          <w:sz w:val="24"/>
          <w:szCs w:val="24"/>
        </w:rPr>
        <w:t xml:space="preserve">10 662,9 млн. рублей.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Предусматривается расширение инвестиционных возможностей предприятий, как за счет собственных, так и за счет привлеченных средств.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widowControl w:val="off"/>
        <w:rPr>
          <w:rFonts w:eastAsiaTheme="minorHAnsi"/>
          <w:color w:val="ff0000"/>
          <w:sz w:val="24"/>
          <w:szCs w:val="24"/>
          <w:highlight w:val="yellow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структуре источников финансирования в 2025 году и плановом периоде 2026- 2027 годов будут преобладать собственные средства организаций.</w:t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ind w:left="360"/>
        <w:jc w:val="center"/>
        <w:spacing w:after="0" w:afterAutospacing="0" w:line="240" w:lineRule="auto"/>
        <w:rPr>
          <w:rFonts w:eastAsiaTheme="minorHAnsi"/>
          <w:b/>
          <w:bCs/>
          <w:color w:val="auto"/>
          <w:sz w:val="24"/>
          <w:szCs w:val="24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 xml:space="preserve">6. Сальдированный финансовый результат (прибыль, убыток) деятельности крупных и средних предприятий</w:t>
      </w:r>
      <w:r>
        <w:rPr>
          <w:rFonts w:eastAsiaTheme="minorHAnsi"/>
          <w:b/>
          <w:bCs/>
          <w:color w:val="auto"/>
          <w:sz w:val="24"/>
          <w:szCs w:val="24"/>
        </w:rPr>
      </w:r>
      <w:r>
        <w:rPr>
          <w:rFonts w:eastAsiaTheme="minorHAnsi"/>
          <w:b/>
          <w:bCs/>
          <w:color w:val="auto"/>
          <w:sz w:val="24"/>
          <w:szCs w:val="24"/>
        </w:rPr>
      </w:r>
    </w:p>
    <w:p>
      <w:pPr>
        <w:ind w:left="360"/>
        <w:jc w:val="center"/>
        <w:spacing w:after="0" w:afterAutospacing="0" w:line="240" w:lineRule="auto"/>
        <w:rPr>
          <w:rFonts w:eastAsiaTheme="minorHAnsi"/>
          <w:b/>
          <w:bCs/>
          <w:color w:val="ff0000"/>
          <w:sz w:val="24"/>
          <w:szCs w:val="24"/>
        </w:rPr>
      </w:pPr>
      <w:r>
        <w:rPr>
          <w:rFonts w:eastAsiaTheme="minorHAnsi"/>
          <w:b/>
          <w:bCs/>
          <w:color w:val="ff0000"/>
          <w:sz w:val="24"/>
          <w:szCs w:val="24"/>
          <w:lang w:eastAsia="en-US"/>
        </w:rPr>
      </w:r>
      <w:r>
        <w:rPr>
          <w:rFonts w:eastAsiaTheme="minorHAnsi"/>
          <w:b/>
          <w:bCs/>
          <w:color w:val="ff0000"/>
          <w:sz w:val="24"/>
          <w:szCs w:val="24"/>
        </w:rPr>
      </w:r>
      <w:r>
        <w:rPr>
          <w:rFonts w:eastAsiaTheme="minorHAnsi"/>
          <w:b/>
          <w:bCs/>
          <w:color w:val="ff0000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  <w:highlight w:val="none"/>
        </w:rPr>
        <w:pBdr>
          <w:top w:val="single" w:color="FFFFFF" w:sz="4" w:space="0"/>
          <w:left w:val="single" w:color="FFFFFF" w:sz="4" w:space="0"/>
          <w:bottom w:val="single" w:color="FFFFFF" w:sz="4" w:space="10"/>
          <w:right w:val="single" w:color="FFFFFF" w:sz="4" w:space="0"/>
        </w:pBdr>
      </w:pPr>
      <w:r>
        <w:rPr>
          <w:bCs/>
          <w:color w:val="auto"/>
          <w:sz w:val="24"/>
          <w:szCs w:val="24"/>
        </w:rPr>
        <w:t xml:space="preserve">В прогнозном периоде ожидается рост сальдированного финансового результата в среднем на 4% ежегодно. В 2027 году прогнозное значение показателя – 3 876,6 млн. рублей.</w:t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color w:val="auto"/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9"/>
          <w:right w:val="single" w:color="FFFFFF" w:sz="4" w:space="0"/>
        </w:pBdr>
      </w:pPr>
      <w:r>
        <w:rPr>
          <w:bCs/>
          <w:color w:val="auto"/>
          <w:sz w:val="24"/>
          <w:szCs w:val="24"/>
          <w:highlight w:val="none"/>
        </w:rPr>
      </w:r>
      <w:r>
        <w:rPr>
          <w:bCs/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</w:rPr>
      </w:r>
    </w:p>
    <w:p>
      <w:pPr>
        <w:ind w:left="360"/>
        <w:jc w:val="center"/>
        <w:spacing w:after="0" w:afterAutospacing="0" w:line="240" w:lineRule="auto"/>
        <w:rPr>
          <w:rFonts w:eastAsiaTheme="minorHAnsi"/>
          <w:b/>
          <w:bCs/>
          <w:color w:val="auto"/>
          <w:sz w:val="24"/>
          <w:szCs w:val="24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 xml:space="preserve">7. Труд и занятость</w:t>
      </w:r>
      <w:r>
        <w:rPr>
          <w:rFonts w:eastAsiaTheme="minorHAnsi"/>
          <w:b/>
          <w:bCs/>
          <w:color w:val="auto"/>
          <w:sz w:val="24"/>
          <w:szCs w:val="24"/>
        </w:rPr>
      </w:r>
      <w:r>
        <w:rPr>
          <w:rFonts w:eastAsiaTheme="minorHAnsi"/>
          <w:b/>
          <w:bCs/>
          <w:color w:val="auto"/>
          <w:sz w:val="24"/>
          <w:szCs w:val="24"/>
        </w:rPr>
      </w:r>
    </w:p>
    <w:p>
      <w:pPr>
        <w:spacing w:after="0" w:afterAutospacing="0" w:line="240" w:lineRule="auto"/>
        <w:rPr>
          <w:rFonts w:eastAsiaTheme="minorHAnsi"/>
          <w:color w:val="ff0000"/>
          <w:sz w:val="24"/>
          <w:szCs w:val="24"/>
          <w:highlight w:val="yellow"/>
        </w:rPr>
      </w:pPr>
      <w:r>
        <w:rPr>
          <w:rFonts w:eastAsiaTheme="minorHAnsi"/>
          <w:color w:val="ff0000"/>
          <w:sz w:val="24"/>
          <w:szCs w:val="24"/>
          <w:highlight w:val="yellow"/>
          <w:lang w:eastAsia="en-US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Рынок труда в прогнозный период будет в значительной степени определяться демографической составляющей, а именно снижением ч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исленности населения в трудоспособном возрасте. Основной задачей на прогнозный период будет стабилизация на рынке труда, недопущение роста безработицы, реализация мер, направленных на содействие занятости населения и снижение напряженности на рынке труда.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pStyle w:val="931"/>
        <w:ind w:firstLine="709"/>
        <w:jc w:val="both"/>
        <w:spacing w:after="0" w:afterAutospacing="0" w:line="240" w:lineRule="auto"/>
        <w:rPr>
          <w:color w:val="auto"/>
          <w:sz w:val="24"/>
          <w:szCs w:val="24"/>
          <w:highlight w:val="yellow"/>
        </w:rPr>
      </w:pPr>
      <w:r>
        <w:rPr>
          <w:color w:val="auto"/>
          <w:sz w:val="24"/>
          <w:szCs w:val="24"/>
        </w:rPr>
        <w:t xml:space="preserve">В целом численность населения в трудоспособном возрасте в 2027 году ожидается на уровне 16,976 тыс. человек, среднесписочная численность работников организаций (без субъектов малого предпринимательства) – 8,764 тыс. человек. </w:t>
      </w:r>
      <w:r>
        <w:rPr>
          <w:color w:val="auto"/>
          <w:sz w:val="24"/>
          <w:szCs w:val="24"/>
          <w:highlight w:val="yellow"/>
        </w:rPr>
      </w:r>
      <w:r>
        <w:rPr>
          <w:color w:val="auto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Ожидается замедление темпов сокращения среднесписочной численности работающих в организациях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округа, снижение числа безработных, зарегистрированных в службе занятости.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Ожидается, что в 2027 году численность официально зарегистрированных безработных в среднем за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год составит 102 человека, или 0,6 %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к среднегодовой численности населения в трудоспособном возрасте.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  <w:highlight w:val="none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Рост заработной платы в целом по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Печенгскому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муниципальному округу будет осуществляться за счет реального сектора экономики. В конце прогнозного периода номинальная заработная плата в организациях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(без субъектов малого предпринимательства) ожидается на уровне 132,3 тыс. рублей (+38,8% по сравнению с 2023 годом). </w:t>
      </w: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  <w:r>
        <w:rPr>
          <w:rFonts w:eastAsiaTheme="minorHAnsi"/>
          <w:color w:val="auto"/>
          <w:sz w:val="24"/>
          <w:szCs w:val="24"/>
          <w:highlight w:val="none"/>
          <w:lang w:eastAsia="en-US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ff0000"/>
          <w:sz w:val="24"/>
          <w:szCs w:val="24"/>
          <w:highlight w:val="yellow"/>
        </w:rPr>
      </w:pPr>
      <w:r>
        <w:rPr>
          <w:rFonts w:eastAsiaTheme="minorHAnsi"/>
          <w:color w:val="ff0000"/>
          <w:sz w:val="24"/>
          <w:szCs w:val="24"/>
          <w:highlight w:val="yellow"/>
          <w:lang w:eastAsia="en-US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jc w:val="center"/>
        <w:spacing w:after="0" w:afterAutospacing="0" w:line="240" w:lineRule="auto"/>
        <w:rPr>
          <w:rFonts w:eastAsiaTheme="minorHAnsi"/>
          <w:b/>
          <w:bCs/>
          <w:color w:val="auto"/>
          <w:sz w:val="24"/>
          <w:szCs w:val="24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 xml:space="preserve">8. Развитие социальной сферы</w:t>
      </w:r>
      <w:r>
        <w:rPr>
          <w:rFonts w:eastAsiaTheme="minorHAnsi"/>
          <w:b/>
          <w:bCs/>
          <w:color w:val="auto"/>
          <w:sz w:val="24"/>
          <w:szCs w:val="24"/>
        </w:rPr>
      </w:r>
      <w:r>
        <w:rPr>
          <w:rFonts w:eastAsiaTheme="minorHAnsi"/>
          <w:b/>
          <w:bCs/>
          <w:color w:val="auto"/>
          <w:sz w:val="24"/>
          <w:szCs w:val="24"/>
        </w:rPr>
      </w:r>
    </w:p>
    <w:p>
      <w:pPr>
        <w:jc w:val="center"/>
        <w:spacing w:after="0" w:afterAutospacing="0" w:line="240" w:lineRule="auto"/>
        <w:rPr>
          <w:rFonts w:eastAsiaTheme="minorHAnsi"/>
          <w:color w:val="ff0000"/>
          <w:sz w:val="24"/>
          <w:szCs w:val="24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</w:rPr>
      </w:r>
      <w:r>
        <w:rPr>
          <w:rFonts w:eastAsiaTheme="minorHAnsi"/>
          <w:color w:val="ff0000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п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рогнозируемом периоде ожидается, что численность детей в ДОУ в 2027 году увеличится по отношению к 2023 году на 7,4 % и составит 2 000 человек. Количество мест, при условии функционирования мест в ДОУ на уровне 2023 года, составит 136,9 мест на 100 детей.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Численность обучающихся в общеобразовательных организациях ожидается в 2027 году на уровне 4 042 человек (97,3 % к 2023 году).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Прогнозная доля обучающихся в муниципальных общеобразовательных организациях, занимающихся в одну смену после завершения строительства и ввода в эксплуатацию здания начальной школы (пристройки) на 250 мест МБОУ ООШ №5 в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пгт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.П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еченга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увеличится и достигнет к 2027 году 94,9%.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ff0000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Численность обучающихся в средних профессиональных учебных заведениях в 2027 году составит 175 человек (76,8 % к 2023 году). </w:t>
      </w:r>
      <w:r>
        <w:rPr>
          <w:color w:val="auto"/>
          <w:sz w:val="24"/>
          <w:szCs w:val="24"/>
        </w:rPr>
        <w:t xml:space="preserve">Уменьшение контингента обучающихся</w:t>
      </w:r>
      <w:r>
        <w:rPr>
          <w:color w:val="auto"/>
          <w:sz w:val="24"/>
          <w:szCs w:val="24"/>
        </w:rPr>
        <w:t xml:space="preserve"> произойдет, в том числе в связи с введением с 01.09.2023 года новых Федеральных государственных образовательных стандартов среднего профессионального образования изменятся сроки обучения на базе 9 классов (было 2 года 10 месяцев, станет 1 год 10 месяцев).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 01.09.2024 года ГАПОУ МО «</w:t>
      </w:r>
      <w:r>
        <w:rPr>
          <w:color w:val="auto"/>
          <w:sz w:val="24"/>
          <w:szCs w:val="24"/>
        </w:rPr>
        <w:t xml:space="preserve">Печенгский</w:t>
      </w:r>
      <w:r>
        <w:rPr>
          <w:color w:val="auto"/>
          <w:sz w:val="24"/>
          <w:szCs w:val="24"/>
        </w:rPr>
        <w:t xml:space="preserve"> политехнический техникум» примет участие в качестве сетевой образовательной организации в реализации Федерального проекта «</w:t>
      </w:r>
      <w:r>
        <w:rPr>
          <w:color w:val="auto"/>
          <w:sz w:val="24"/>
          <w:szCs w:val="24"/>
        </w:rPr>
        <w:t xml:space="preserve">Профессионалитет</w:t>
      </w:r>
      <w:r>
        <w:rPr>
          <w:color w:val="auto"/>
          <w:sz w:val="24"/>
          <w:szCs w:val="24"/>
        </w:rPr>
        <w:t xml:space="preserve">» в кластере «Кольский горно-металлургический» (специальность «Подземная разработка месторождений полезных ископаемых», будет осуществлен набор на базе 9 классов по профессии «Мастер слесарных работ», «Сварщик»). </w:t>
      </w:r>
      <w:r>
        <w:rPr>
          <w:rFonts w:eastAsiaTheme="minorHAnsi"/>
          <w:color w:val="ff0000"/>
          <w:sz w:val="24"/>
          <w:szCs w:val="24"/>
        </w:rPr>
      </w:r>
      <w:r>
        <w:rPr>
          <w:rFonts w:eastAsiaTheme="minorHAnsi"/>
          <w:color w:val="ff0000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В виду сокращения численности населения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к 2027г оду ожидается увеличение значений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показателей обеспеченности общедоступными библиотеками до 37,5 ед. в расчете на 100 тыс. населения, учреждениями культурно-досугового типа до 18,8 учреждений на 100 тыс. населения при условии функционирования имеющейся сети учреждений на уровне 2023 года.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pStyle w:val="904"/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Доля населения, систематически занимающегося физической культурой и спортом, в общей численности населения в 2027 году составит 71,6 % (109,1 % к 2023 году). 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Способствовать этому будут популяризация здорового образа жизни, вовлечение молодежи в занятие спортом, а также </w:t>
      </w:r>
      <w:r>
        <w:rPr>
          <w:rFonts w:ascii="Times New Roman" w:hAnsi="Times New Roman" w:cs="Times New Roman"/>
          <w:sz w:val="24"/>
          <w:szCs w:val="24"/>
        </w:rPr>
        <w:t xml:space="preserve">модернизация учреждений спорта, увеличение количества спортивных объектов на территории округа: ФОК в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 Печенга, горнолыжный спуск в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 Никель, капитальный ремонт футбольного поля и благоустройство территории в г. Заполярный, создание спортивного пространства «Сопки. Спорт» в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 Никель.</w:t>
      </w:r>
      <w:r>
        <w:rPr>
          <w:rFonts w:ascii="Times New Roman" w:hAnsi="Times New Roman" w:cs="Times New Roman"/>
          <w:sz w:val="24"/>
          <w:szCs w:val="24"/>
          <w:highlight w:val="yellow"/>
        </w:rPr>
      </w:r>
      <w:r>
        <w:rPr>
          <w:rFonts w:ascii="Times New Roman" w:hAnsi="Times New Roman" w:cs="Times New Roman"/>
          <w:sz w:val="24"/>
          <w:szCs w:val="24"/>
          <w:highlight w:val="yellow"/>
        </w:rPr>
      </w:r>
    </w:p>
    <w:p>
      <w:pPr>
        <w:pStyle w:val="904"/>
        <w:jc w:val="both"/>
        <w:spacing w:after="0" w:afterAutospacing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прогнозном периоде продолжатся ремонты в учреждениях образования, культуры, физической культуры и спорта. Планируется выполнение работ по ремонту фасада МБОУ СОШ № 19, </w:t>
      </w:r>
      <w:r>
        <w:rPr>
          <w:rFonts w:ascii="Times New Roman" w:hAnsi="Times New Roman" w:cs="Times New Roman"/>
          <w:sz w:val="24"/>
          <w:szCs w:val="24"/>
        </w:rPr>
        <w:t xml:space="preserve">ремонтных работ по ремонту кабинетов «Точка роста» в МБОУ СОШ № 1 и МБОУ ОО № 20, преобразованию пространств образовательных организаций в рамках проекта «Арктическая школа», завершение реконструкции здания ДК «Восход», реконструкция ДК «Октябрь».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904"/>
        <w:jc w:val="both"/>
        <w:spacing w:after="0" w:afterAutospacing="0" w:line="240" w:lineRule="auto"/>
        <w:rPr>
          <w:rFonts w:eastAsiaTheme="minorHAns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Ожидается продолжение выполнения мероприятий в сфере благоустройства и городской </w:t>
      </w:r>
      <w:r>
        <w:rPr>
          <w:rFonts w:ascii="Times New Roman" w:hAnsi="Times New Roman" w:cs="Times New Roman"/>
          <w:sz w:val="24"/>
          <w:szCs w:val="24"/>
        </w:rPr>
        <w:t xml:space="preserve">среды (благоустройство дворовых и общественных территорий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округа, организация архитектурно-художественной подсветки зданий, нанесение </w:t>
      </w:r>
      <w:r>
        <w:rPr>
          <w:rFonts w:ascii="Times New Roman" w:hAnsi="Times New Roman" w:cs="Times New Roman"/>
          <w:sz w:val="24"/>
          <w:szCs w:val="24"/>
        </w:rPr>
        <w:t xml:space="preserve">муралов</w:t>
      </w:r>
      <w:r>
        <w:rPr>
          <w:rFonts w:ascii="Times New Roman" w:hAnsi="Times New Roman" w:cs="Times New Roman"/>
          <w:sz w:val="24"/>
          <w:szCs w:val="24"/>
        </w:rPr>
        <w:t xml:space="preserve"> на фасады многоквартирных домов</w:t>
      </w:r>
      <w:r>
        <w:rPr>
          <w:rFonts w:ascii="Times New Roman" w:hAnsi="Times New Roman" w:cs="Times New Roman"/>
          <w:sz w:val="24"/>
          <w:szCs w:val="24"/>
        </w:rPr>
        <w:t xml:space="preserve">, ремонт автомобильных дорог общего пользования местного значения, устройству наружного освещения</w:t>
      </w:r>
      <w:r>
        <w:rPr>
          <w:rFonts w:ascii="Times New Roman" w:hAnsi="Times New Roman" w:cs="Times New Roman"/>
          <w:sz w:val="24"/>
          <w:szCs w:val="24"/>
        </w:rPr>
        <w:t xml:space="preserve"> и пр.).</w:t>
      </w:r>
      <w:r>
        <w:rPr>
          <w:rFonts w:eastAsiaTheme="minorHAnsi"/>
          <w:sz w:val="24"/>
          <w:szCs w:val="24"/>
        </w:rPr>
      </w:r>
      <w:r>
        <w:rPr>
          <w:rFonts w:eastAsiaTheme="minorHAnsi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Средняя обеспеченность населения площадью жилых квартир увеличится на 3,5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кв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.м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на 1 человека и составит в 2027 году 30,0 м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2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 Увеличение средней обеспеченности населения площадью жилых квартир по сравнению с 2023 годом произойдет за счет снижения численности населения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округа, а также индивидуального жилищного строительства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и окончания реконструкции многоквартирного жилого дома в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г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.З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аполярный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Площадь ветхого и аварийного жилого фонда к концу 2027 году прогнозируется на уровне 3,18 тыс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.м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2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общей площади (</w:t>
      </w:r>
      <w:r>
        <w:rPr>
          <w:color w:val="auto"/>
          <w:sz w:val="24"/>
          <w:szCs w:val="24"/>
        </w:rPr>
        <w:t xml:space="preserve">признанный аварийным жилой дом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Приречный</w:t>
      </w:r>
      <w:r>
        <w:rPr>
          <w:color w:val="auto"/>
          <w:sz w:val="24"/>
          <w:szCs w:val="24"/>
        </w:rPr>
        <w:t xml:space="preserve">, ул. Горняков, д. 6), п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рогнозная площадь ветхого и аварийного фонда в общей площади жилого фонда составит 0,4%.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sz w:val="24"/>
          <w:szCs w:val="24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sz w:val="24"/>
          <w:szCs w:val="24"/>
        </w:rPr>
        <w:t xml:space="preserve">Ожидается, что п</w:t>
      </w:r>
      <w:r>
        <w:rPr>
          <w:sz w:val="24"/>
          <w:szCs w:val="24"/>
        </w:rPr>
        <w:t xml:space="preserve">ротяженность автодорог общего пользования местного значения 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 в  прогнозном периоде останется неизменным.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widowControl w:val="off"/>
        <w:rPr>
          <w:rFonts w:eastAsiaTheme="minorHAnsi"/>
          <w:color w:val="ff0000"/>
          <w:sz w:val="24"/>
          <w:szCs w:val="24"/>
          <w:highlight w:val="yellow"/>
        </w:rPr>
        <w:pBdr>
          <w:top w:val="single" w:color="FFFFFF" w:sz="4" w:space="0"/>
          <w:left w:val="single" w:color="FFFFFF" w:sz="4" w:space="0"/>
          <w:bottom w:val="single" w:color="FFFFFF" w:sz="4" w:space="31"/>
          <w:right w:val="single" w:color="FFFFFF" w:sz="4" w:space="0"/>
        </w:pBd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Ожидается, что фактический уровень платежей населения за жилье и коммунальные услуги в 2027 году составит 93,0 %.</w:t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jc w:val="center"/>
        <w:spacing w:after="0" w:afterAutospacing="0" w:line="240" w:lineRule="auto"/>
        <w:rPr>
          <w:rFonts w:eastAsiaTheme="minorHAnsi"/>
          <w:b/>
          <w:bCs/>
          <w:color w:val="auto"/>
          <w:sz w:val="24"/>
          <w:szCs w:val="24"/>
        </w:rPr>
      </w:pPr>
      <w:r>
        <w:rPr>
          <w:rFonts w:eastAsiaTheme="minorHAnsi"/>
          <w:b/>
          <w:bCs/>
          <w:color w:val="auto"/>
          <w:sz w:val="24"/>
          <w:szCs w:val="24"/>
          <w:lang w:eastAsia="en-US"/>
        </w:rPr>
        <w:t xml:space="preserve">9.  Доходы бюджета</w:t>
      </w:r>
      <w:r>
        <w:rPr>
          <w:rFonts w:eastAsiaTheme="minorHAnsi"/>
          <w:b/>
          <w:bCs/>
          <w:color w:val="auto"/>
          <w:sz w:val="24"/>
          <w:szCs w:val="24"/>
        </w:rPr>
      </w:r>
      <w:r>
        <w:rPr>
          <w:rFonts w:eastAsiaTheme="minorHAnsi"/>
          <w:b/>
          <w:bCs/>
          <w:color w:val="auto"/>
          <w:sz w:val="24"/>
          <w:szCs w:val="24"/>
        </w:rPr>
      </w:r>
    </w:p>
    <w:p>
      <w:pPr>
        <w:jc w:val="center"/>
        <w:spacing w:after="0" w:afterAutospacing="0" w:line="240" w:lineRule="auto"/>
        <w:rPr>
          <w:rFonts w:eastAsiaTheme="minorHAnsi"/>
          <w:color w:val="ff0000"/>
          <w:sz w:val="24"/>
          <w:szCs w:val="24"/>
          <w:highlight w:val="yellow"/>
        </w:rPr>
      </w:pPr>
      <w:r>
        <w:rPr>
          <w:rFonts w:eastAsiaTheme="minorHAnsi"/>
          <w:color w:val="ff0000"/>
          <w:sz w:val="24"/>
          <w:szCs w:val="24"/>
          <w:highlight w:val="yellow"/>
          <w:lang w:eastAsia="en-US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  <w:r>
        <w:rPr>
          <w:rFonts w:eastAsiaTheme="minorHAnsi"/>
          <w:color w:val="ff0000"/>
          <w:sz w:val="24"/>
          <w:szCs w:val="24"/>
          <w:highlight w:val="yellow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При прогнозе налоговых и неналоговых поступлений доходов в бюджет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учтены следующие аспекты: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основные направления налоговой политики Мурманской области,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округа; 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прогнозные поступления администраторов доходов, зачисляемых в бюджет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округа;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eastAsiaTheme="minorHAnsi"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- предоставление первоочередных мер поддержки субъектам малого и среднего предпринимательства с целью восстановления предпринимательской активности, снижение которой было вызвано ограничительными противоэпидемиологическими мероприятиями и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санкционными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ограничениями.</w:t>
      </w:r>
      <w:r>
        <w:rPr>
          <w:rFonts w:eastAsiaTheme="minorHAnsi"/>
          <w:color w:val="auto"/>
          <w:sz w:val="24"/>
          <w:szCs w:val="24"/>
        </w:rPr>
      </w:r>
      <w:r>
        <w:rPr>
          <w:rFonts w:eastAsiaTheme="minorHAnsi"/>
          <w:color w:val="auto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tabs>
          <w:tab w:val="left" w:pos="-3686" w:leader="none"/>
        </w:tabs>
        <w:rPr>
          <w:rFonts w:eastAsiaTheme="minorHAnsi"/>
          <w:bCs/>
          <w:color w:val="auto"/>
          <w:sz w:val="24"/>
          <w:szCs w:val="24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Объ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е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м собственных доходов бюджета муниципального образования от налоговых и неналоговых поступлений на 1 жителя в 2027 году ожидается на уровне 43,8 тыс. рублей, что составит 115,9% к показателю 2023 года (37,8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тыс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.р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ублей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в 2023 году).</w:t>
      </w:r>
      <w:r>
        <w:rPr>
          <w:rFonts w:eastAsiaTheme="minorHAnsi"/>
          <w:bCs/>
          <w:color w:val="auto"/>
          <w:sz w:val="24"/>
          <w:szCs w:val="24"/>
        </w:rPr>
      </w:r>
      <w:r>
        <w:rPr>
          <w:rFonts w:eastAsiaTheme="minorHAnsi"/>
          <w:bCs/>
          <w:color w:val="auto"/>
          <w:sz w:val="24"/>
          <w:szCs w:val="24"/>
        </w:rPr>
      </w:r>
    </w:p>
    <w:p>
      <w:pPr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  <w:endnote w:id="2">
    <w:p>
      <w:pPr>
        <w:pStyle w:val="926"/>
      </w:pPr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34"/>
        <w:jc w:val="both"/>
      </w:pPr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4"/>
      <w:numFmt w:val="bullet"/>
      <w:isLgl w:val="false"/>
      <w:suff w:val="tab"/>
      <w:lvlText w:val="-"/>
      <w:lvlJc w:val="left"/>
      <w:pPr>
        <w:ind w:left="1692" w:hanging="972"/>
        <w:tabs>
          <w:tab w:val="num" w:pos="1692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  <w:tabs>
          <w:tab w:val="num" w:pos="180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7" w:hanging="360"/>
      </w:pPr>
      <w:rPr>
        <w:rFonts w:hint="default"/>
        <w:color w:val="auto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77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77" w:hanging="360"/>
        <w:tabs>
          <w:tab w:val="num" w:pos="1077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6" w:hanging="396"/>
        <w:tabs>
          <w:tab w:val="num" w:pos="75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77" w:hanging="360"/>
        <w:tabs>
          <w:tab w:val="num" w:pos="1077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bullet"/>
      <w:pStyle w:val="918"/>
      <w:isLgl w:val="false"/>
      <w:suff w:val="tab"/>
      <w:lvlText w:val=""/>
      <w:lvlJc w:val="left"/>
      <w:pPr>
        <w:ind w:left="340" w:hanging="34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SimSun" w:cs="Times New Roman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340" w:hanging="34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7"/>
  </w:num>
  <w:num w:numId="2">
    <w:abstractNumId w:val="10"/>
  </w:num>
  <w:num w:numId="3">
    <w:abstractNumId w:val="16"/>
  </w:num>
  <w:num w:numId="4">
    <w:abstractNumId w:val="26"/>
  </w:num>
  <w:num w:numId="5">
    <w:abstractNumId w:val="14"/>
  </w:num>
  <w:num w:numId="6">
    <w:abstractNumId w:val="5"/>
  </w:num>
  <w:num w:numId="7">
    <w:abstractNumId w:val="0"/>
  </w:num>
  <w:num w:numId="8">
    <w:abstractNumId w:val="2"/>
  </w:num>
  <w:num w:numId="9">
    <w:abstractNumId w:val="11"/>
  </w:num>
  <w:num w:numId="10">
    <w:abstractNumId w:val="22"/>
  </w:num>
  <w:num w:numId="11">
    <w:abstractNumId w:val="27"/>
  </w:num>
  <w:num w:numId="12">
    <w:abstractNumId w:val="24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13"/>
  </w:num>
  <w:num w:numId="18">
    <w:abstractNumId w:val="4"/>
  </w:num>
  <w:num w:numId="19">
    <w:abstractNumId w:val="9"/>
  </w:num>
  <w:num w:numId="20">
    <w:abstractNumId w:val="23"/>
  </w:num>
  <w:num w:numId="21">
    <w:abstractNumId w:val="19"/>
  </w:num>
  <w:num w:numId="22">
    <w:abstractNumId w:val="25"/>
  </w:num>
  <w:num w:numId="23">
    <w:abstractNumId w:val="8"/>
  </w:num>
  <w:num w:numId="24">
    <w:abstractNumId w:val="12"/>
  </w:num>
  <w:num w:numId="25">
    <w:abstractNumId w:val="6"/>
  </w:num>
  <w:num w:numId="26">
    <w:abstractNumId w:val="1"/>
  </w:num>
  <w:num w:numId="27">
    <w:abstractNumId w:val="21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8">
    <w:name w:val="Heading 1 Char"/>
    <w:basedOn w:val="898"/>
    <w:link w:val="892"/>
    <w:uiPriority w:val="9"/>
    <w:rPr>
      <w:rFonts w:ascii="Arial" w:hAnsi="Arial" w:eastAsia="Arial" w:cs="Arial"/>
      <w:sz w:val="40"/>
      <w:szCs w:val="40"/>
    </w:rPr>
  </w:style>
  <w:style w:type="character" w:styleId="729">
    <w:name w:val="Heading 2 Char"/>
    <w:basedOn w:val="898"/>
    <w:link w:val="893"/>
    <w:uiPriority w:val="9"/>
    <w:rPr>
      <w:rFonts w:ascii="Arial" w:hAnsi="Arial" w:eastAsia="Arial" w:cs="Arial"/>
      <w:sz w:val="34"/>
    </w:rPr>
  </w:style>
  <w:style w:type="character" w:styleId="730">
    <w:name w:val="Heading 3 Char"/>
    <w:basedOn w:val="898"/>
    <w:link w:val="894"/>
    <w:uiPriority w:val="9"/>
    <w:rPr>
      <w:rFonts w:ascii="Arial" w:hAnsi="Arial" w:eastAsia="Arial" w:cs="Arial"/>
      <w:sz w:val="30"/>
      <w:szCs w:val="30"/>
    </w:rPr>
  </w:style>
  <w:style w:type="character" w:styleId="731">
    <w:name w:val="Heading 4 Char"/>
    <w:basedOn w:val="898"/>
    <w:link w:val="895"/>
    <w:uiPriority w:val="9"/>
    <w:rPr>
      <w:rFonts w:ascii="Arial" w:hAnsi="Arial" w:eastAsia="Arial" w:cs="Arial"/>
      <w:b/>
      <w:bCs/>
      <w:sz w:val="26"/>
      <w:szCs w:val="26"/>
    </w:rPr>
  </w:style>
  <w:style w:type="character" w:styleId="732">
    <w:name w:val="Heading 5 Char"/>
    <w:basedOn w:val="898"/>
    <w:link w:val="896"/>
    <w:uiPriority w:val="9"/>
    <w:rPr>
      <w:rFonts w:ascii="Arial" w:hAnsi="Arial" w:eastAsia="Arial" w:cs="Arial"/>
      <w:b/>
      <w:bCs/>
      <w:sz w:val="24"/>
      <w:szCs w:val="24"/>
    </w:rPr>
  </w:style>
  <w:style w:type="character" w:styleId="733">
    <w:name w:val="Heading 6 Char"/>
    <w:basedOn w:val="898"/>
    <w:link w:val="897"/>
    <w:uiPriority w:val="9"/>
    <w:rPr>
      <w:rFonts w:ascii="Arial" w:hAnsi="Arial" w:eastAsia="Arial" w:cs="Arial"/>
      <w:b/>
      <w:bCs/>
      <w:sz w:val="22"/>
      <w:szCs w:val="22"/>
    </w:rPr>
  </w:style>
  <w:style w:type="paragraph" w:styleId="734">
    <w:name w:val="Heading 7"/>
    <w:basedOn w:val="891"/>
    <w:next w:val="891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>
    <w:name w:val="Heading 7 Char"/>
    <w:basedOn w:val="898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>
    <w:name w:val="Heading 8"/>
    <w:basedOn w:val="891"/>
    <w:next w:val="891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>
    <w:name w:val="Heading 8 Char"/>
    <w:basedOn w:val="898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>
    <w:name w:val="Heading 9"/>
    <w:basedOn w:val="891"/>
    <w:next w:val="891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>
    <w:name w:val="Heading 9 Char"/>
    <w:basedOn w:val="898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No Spacing"/>
    <w:uiPriority w:val="1"/>
    <w:qFormat/>
    <w:pPr>
      <w:spacing w:before="0" w:after="0" w:line="240" w:lineRule="auto"/>
    </w:pPr>
  </w:style>
  <w:style w:type="paragraph" w:styleId="741">
    <w:name w:val="Title"/>
    <w:basedOn w:val="891"/>
    <w:next w:val="891"/>
    <w:link w:val="74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2">
    <w:name w:val="Title Char"/>
    <w:basedOn w:val="898"/>
    <w:link w:val="741"/>
    <w:uiPriority w:val="10"/>
    <w:rPr>
      <w:sz w:val="48"/>
      <w:szCs w:val="48"/>
    </w:rPr>
  </w:style>
  <w:style w:type="character" w:styleId="743">
    <w:name w:val="Subtitle Char"/>
    <w:basedOn w:val="898"/>
    <w:link w:val="929"/>
    <w:uiPriority w:val="11"/>
    <w:rPr>
      <w:sz w:val="24"/>
      <w:szCs w:val="24"/>
    </w:rPr>
  </w:style>
  <w:style w:type="paragraph" w:styleId="744">
    <w:name w:val="Quote"/>
    <w:basedOn w:val="891"/>
    <w:next w:val="891"/>
    <w:link w:val="745"/>
    <w:uiPriority w:val="29"/>
    <w:qFormat/>
    <w:pPr>
      <w:ind w:left="720" w:right="720"/>
    </w:pPr>
    <w:rPr>
      <w:i/>
    </w:rPr>
  </w:style>
  <w:style w:type="character" w:styleId="745">
    <w:name w:val="Quote Char"/>
    <w:link w:val="744"/>
    <w:uiPriority w:val="29"/>
    <w:rPr>
      <w:i/>
    </w:rPr>
  </w:style>
  <w:style w:type="paragraph" w:styleId="746">
    <w:name w:val="Intense Quote"/>
    <w:basedOn w:val="891"/>
    <w:next w:val="891"/>
    <w:link w:val="74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7">
    <w:name w:val="Intense Quote Char"/>
    <w:link w:val="746"/>
    <w:uiPriority w:val="30"/>
    <w:rPr>
      <w:i/>
    </w:rPr>
  </w:style>
  <w:style w:type="character" w:styleId="748">
    <w:name w:val="Header Char"/>
    <w:basedOn w:val="898"/>
    <w:link w:val="919"/>
    <w:uiPriority w:val="99"/>
  </w:style>
  <w:style w:type="character" w:styleId="749">
    <w:name w:val="Footer Char"/>
    <w:basedOn w:val="898"/>
    <w:link w:val="923"/>
    <w:uiPriority w:val="99"/>
  </w:style>
  <w:style w:type="paragraph" w:styleId="750">
    <w:name w:val="Caption"/>
    <w:basedOn w:val="891"/>
    <w:next w:val="8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1">
    <w:name w:val="Caption Char"/>
    <w:basedOn w:val="750"/>
    <w:link w:val="923"/>
    <w:uiPriority w:val="99"/>
  </w:style>
  <w:style w:type="table" w:styleId="752">
    <w:name w:val="Table Grid"/>
    <w:basedOn w:val="8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Table Grid Light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4">
    <w:name w:val="Plain Table 1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2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7">
    <w:name w:val="Plain Table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Plain Table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9">
    <w:name w:val="Grid Table 1 Light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4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1">
    <w:name w:val="Grid Table 4 - Accent 1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2">
    <w:name w:val="Grid Table 4 - Accent 2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Grid Table 4 - Accent 3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4">
    <w:name w:val="Grid Table 4 - Accent 4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Grid Table 4 - Accent 5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6">
    <w:name w:val="Grid Table 4 - Accent 6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7">
    <w:name w:val="Grid Table 5 Dark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8">
    <w:name w:val="Grid Table 5 Dark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1">
    <w:name w:val="Grid Table 5 Dark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4">
    <w:name w:val="Grid Table 6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5">
    <w:name w:val="Grid Table 6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6">
    <w:name w:val="Grid Table 6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7">
    <w:name w:val="Grid Table 6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8">
    <w:name w:val="Grid Table 6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9">
    <w:name w:val="Grid Table 6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0">
    <w:name w:val="Grid Table 6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1">
    <w:name w:val="Grid Table 7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6">
    <w:name w:val="List Table 2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7">
    <w:name w:val="List Table 2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8">
    <w:name w:val="List Table 2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9">
    <w:name w:val="List Table 2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0">
    <w:name w:val="List Table 2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1">
    <w:name w:val="List Table 2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2">
    <w:name w:val="List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5 Dark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6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4">
    <w:name w:val="List Table 6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5">
    <w:name w:val="List Table 6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6">
    <w:name w:val="List Table 6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7">
    <w:name w:val="List Table 6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8">
    <w:name w:val="List Table 6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9">
    <w:name w:val="List Table 6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0">
    <w:name w:val="List Table 7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1">
    <w:name w:val="List Table 7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2">
    <w:name w:val="List Table 7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3">
    <w:name w:val="List Table 7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4">
    <w:name w:val="List Table 7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5">
    <w:name w:val="List Table 7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6">
    <w:name w:val="List Table 7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7">
    <w:name w:val="Lined - Accent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8">
    <w:name w:val="Lined - Accent 1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9">
    <w:name w:val="Lined - Accent 2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0">
    <w:name w:val="Lined - Accent 3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1">
    <w:name w:val="Lined - Accent 4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2">
    <w:name w:val="Lined - Accent 5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3">
    <w:name w:val="Lined - Accent 6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4">
    <w:name w:val="Bordered &amp; Lined - Accent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5">
    <w:name w:val="Bordered &amp; Lined - Accent 1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6">
    <w:name w:val="Bordered &amp; Lined - Accent 2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7">
    <w:name w:val="Bordered &amp; Lined - Accent 3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8">
    <w:name w:val="Bordered &amp; Lined - Accent 4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9">
    <w:name w:val="Bordered &amp; Lined - Accent 5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0">
    <w:name w:val="Bordered &amp; Lined - Accent 6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1">
    <w:name w:val="Bordered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2">
    <w:name w:val="Bordered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3">
    <w:name w:val="Bordered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4">
    <w:name w:val="Bordered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5">
    <w:name w:val="Bordered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6">
    <w:name w:val="Bordered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7">
    <w:name w:val="Bordered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8">
    <w:name w:val="Footnote Text Char"/>
    <w:link w:val="934"/>
    <w:uiPriority w:val="99"/>
    <w:rPr>
      <w:sz w:val="18"/>
    </w:rPr>
  </w:style>
  <w:style w:type="character" w:styleId="879">
    <w:name w:val="Endnote Text Char"/>
    <w:link w:val="926"/>
    <w:uiPriority w:val="99"/>
    <w:rPr>
      <w:sz w:val="20"/>
    </w:rPr>
  </w:style>
  <w:style w:type="paragraph" w:styleId="880">
    <w:name w:val="toc 1"/>
    <w:basedOn w:val="891"/>
    <w:next w:val="891"/>
    <w:uiPriority w:val="39"/>
    <w:unhideWhenUsed/>
    <w:pPr>
      <w:ind w:left="0" w:right="0" w:firstLine="0"/>
      <w:spacing w:after="57"/>
    </w:pPr>
  </w:style>
  <w:style w:type="paragraph" w:styleId="881">
    <w:name w:val="toc 2"/>
    <w:basedOn w:val="891"/>
    <w:next w:val="891"/>
    <w:uiPriority w:val="39"/>
    <w:unhideWhenUsed/>
    <w:pPr>
      <w:ind w:left="283" w:right="0" w:firstLine="0"/>
      <w:spacing w:after="57"/>
    </w:pPr>
  </w:style>
  <w:style w:type="paragraph" w:styleId="882">
    <w:name w:val="toc 3"/>
    <w:basedOn w:val="891"/>
    <w:next w:val="891"/>
    <w:uiPriority w:val="39"/>
    <w:unhideWhenUsed/>
    <w:pPr>
      <w:ind w:left="567" w:right="0" w:firstLine="0"/>
      <w:spacing w:after="57"/>
    </w:pPr>
  </w:style>
  <w:style w:type="paragraph" w:styleId="883">
    <w:name w:val="toc 4"/>
    <w:basedOn w:val="891"/>
    <w:next w:val="891"/>
    <w:uiPriority w:val="39"/>
    <w:unhideWhenUsed/>
    <w:pPr>
      <w:ind w:left="850" w:right="0" w:firstLine="0"/>
      <w:spacing w:after="57"/>
    </w:pPr>
  </w:style>
  <w:style w:type="paragraph" w:styleId="884">
    <w:name w:val="toc 5"/>
    <w:basedOn w:val="891"/>
    <w:next w:val="891"/>
    <w:uiPriority w:val="39"/>
    <w:unhideWhenUsed/>
    <w:pPr>
      <w:ind w:left="1134" w:right="0" w:firstLine="0"/>
      <w:spacing w:after="57"/>
    </w:pPr>
  </w:style>
  <w:style w:type="paragraph" w:styleId="885">
    <w:name w:val="toc 6"/>
    <w:basedOn w:val="891"/>
    <w:next w:val="891"/>
    <w:uiPriority w:val="39"/>
    <w:unhideWhenUsed/>
    <w:pPr>
      <w:ind w:left="1417" w:right="0" w:firstLine="0"/>
      <w:spacing w:after="57"/>
    </w:pPr>
  </w:style>
  <w:style w:type="paragraph" w:styleId="886">
    <w:name w:val="toc 7"/>
    <w:basedOn w:val="891"/>
    <w:next w:val="891"/>
    <w:uiPriority w:val="39"/>
    <w:unhideWhenUsed/>
    <w:pPr>
      <w:ind w:left="1701" w:right="0" w:firstLine="0"/>
      <w:spacing w:after="57"/>
    </w:pPr>
  </w:style>
  <w:style w:type="paragraph" w:styleId="887">
    <w:name w:val="toc 8"/>
    <w:basedOn w:val="891"/>
    <w:next w:val="891"/>
    <w:uiPriority w:val="39"/>
    <w:unhideWhenUsed/>
    <w:pPr>
      <w:ind w:left="1984" w:right="0" w:firstLine="0"/>
      <w:spacing w:after="57"/>
    </w:pPr>
  </w:style>
  <w:style w:type="paragraph" w:styleId="888">
    <w:name w:val="toc 9"/>
    <w:basedOn w:val="891"/>
    <w:next w:val="891"/>
    <w:uiPriority w:val="39"/>
    <w:unhideWhenUsed/>
    <w:pPr>
      <w:ind w:left="2268" w:right="0" w:firstLine="0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891"/>
    <w:next w:val="891"/>
    <w:uiPriority w:val="99"/>
    <w:unhideWhenUsed/>
    <w:pPr>
      <w:spacing w:after="0" w:afterAutospacing="0"/>
    </w:pPr>
  </w:style>
  <w:style w:type="paragraph" w:styleId="89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92">
    <w:name w:val="Heading 1"/>
    <w:basedOn w:val="891"/>
    <w:next w:val="891"/>
    <w:link w:val="914"/>
    <w:qFormat/>
    <w:pPr>
      <w:ind w:firstLine="709"/>
      <w:jc w:val="both"/>
      <w:keepNext/>
      <w:spacing w:before="360" w:after="120"/>
      <w:outlineLvl w:val="0"/>
    </w:pPr>
    <w:rPr>
      <w:b/>
      <w:bCs/>
      <w:caps/>
      <w:color w:val="auto"/>
      <w:sz w:val="24"/>
    </w:rPr>
  </w:style>
  <w:style w:type="paragraph" w:styleId="893">
    <w:name w:val="Heading 2"/>
    <w:basedOn w:val="891"/>
    <w:next w:val="891"/>
    <w:link w:val="915"/>
    <w:uiPriority w:val="9"/>
    <w:qFormat/>
    <w:pPr>
      <w:jc w:val="center"/>
      <w:keepNext/>
      <w:outlineLvl w:val="1"/>
    </w:pPr>
    <w:rPr>
      <w:b/>
      <w:bCs/>
      <w:i/>
      <w:iCs/>
      <w:color w:val="auto"/>
      <w:sz w:val="24"/>
    </w:rPr>
  </w:style>
  <w:style w:type="paragraph" w:styleId="894">
    <w:name w:val="Heading 3"/>
    <w:basedOn w:val="891"/>
    <w:next w:val="891"/>
    <w:link w:val="916"/>
    <w:qFormat/>
    <w:pPr>
      <w:ind w:firstLine="709"/>
      <w:keepNext/>
      <w:spacing w:before="360" w:after="240"/>
      <w:outlineLvl w:val="2"/>
    </w:pPr>
    <w:rPr>
      <w:b/>
      <w:color w:val="auto"/>
      <w:sz w:val="28"/>
    </w:rPr>
  </w:style>
  <w:style w:type="paragraph" w:styleId="895">
    <w:name w:val="Heading 4"/>
    <w:basedOn w:val="891"/>
    <w:next w:val="891"/>
    <w:link w:val="901"/>
    <w:qFormat/>
    <w:pPr>
      <w:ind w:firstLine="709"/>
      <w:keepNext/>
      <w:outlineLvl w:val="3"/>
    </w:pPr>
    <w:rPr>
      <w:sz w:val="28"/>
    </w:rPr>
  </w:style>
  <w:style w:type="paragraph" w:styleId="896">
    <w:name w:val="Heading 5"/>
    <w:basedOn w:val="891"/>
    <w:next w:val="891"/>
    <w:link w:val="913"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897">
    <w:name w:val="Heading 6"/>
    <w:basedOn w:val="891"/>
    <w:next w:val="891"/>
    <w:link w:val="917"/>
    <w:qFormat/>
    <w:pPr>
      <w:jc w:val="both"/>
      <w:keepNext/>
      <w:outlineLvl w:val="5"/>
    </w:pPr>
    <w:rPr>
      <w:b/>
      <w:bCs/>
      <w:color w:val="auto"/>
      <w:sz w:val="22"/>
    </w:rPr>
  </w:style>
  <w:style w:type="character" w:styleId="898" w:default="1">
    <w:name w:val="Default Paragraph Font"/>
    <w:uiPriority w:val="1"/>
    <w:semiHidden/>
    <w:unhideWhenUsed/>
  </w:style>
  <w:style w:type="table" w:styleId="8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0" w:default="1">
    <w:name w:val="No List"/>
    <w:uiPriority w:val="99"/>
    <w:semiHidden/>
    <w:unhideWhenUsed/>
  </w:style>
  <w:style w:type="character" w:styleId="901" w:customStyle="1">
    <w:name w:val="Заголовок 4 Знак"/>
    <w:basedOn w:val="898"/>
    <w:link w:val="89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02">
    <w:name w:val="List Paragraph"/>
    <w:basedOn w:val="891"/>
    <w:link w:val="932"/>
    <w:uiPriority w:val="34"/>
    <w:qFormat/>
    <w:pPr>
      <w:contextualSpacing/>
      <w:ind w:left="720"/>
    </w:pPr>
  </w:style>
  <w:style w:type="character" w:styleId="903">
    <w:name w:val="Hyperlink"/>
    <w:basedOn w:val="898"/>
    <w:uiPriority w:val="99"/>
    <w:unhideWhenUsed/>
    <w:rPr>
      <w:color w:val="0000ff" w:themeColor="hyperlink"/>
      <w:u w:val="single"/>
    </w:rPr>
  </w:style>
  <w:style w:type="paragraph" w:styleId="904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05">
    <w:name w:val="Body Text"/>
    <w:basedOn w:val="891"/>
    <w:link w:val="906"/>
    <w:pPr>
      <w:spacing w:after="120"/>
      <w:widowControl w:val="off"/>
    </w:pPr>
    <w:rPr>
      <w:color w:val="auto"/>
    </w:rPr>
  </w:style>
  <w:style w:type="character" w:styleId="906" w:customStyle="1">
    <w:name w:val="Основной текст Знак"/>
    <w:basedOn w:val="898"/>
    <w:link w:val="905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07">
    <w:name w:val="Body Text 3"/>
    <w:basedOn w:val="891"/>
    <w:link w:val="908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08" w:customStyle="1">
    <w:name w:val="Основной текст 3 Знак"/>
    <w:basedOn w:val="898"/>
    <w:link w:val="907"/>
    <w:uiPriority w:val="99"/>
    <w:semiHidden/>
    <w:rPr>
      <w:sz w:val="16"/>
      <w:szCs w:val="16"/>
    </w:rPr>
  </w:style>
  <w:style w:type="paragraph" w:styleId="909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10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1">
    <w:name w:val="Balloon Text"/>
    <w:basedOn w:val="891"/>
    <w:link w:val="912"/>
    <w:uiPriority w:val="99"/>
    <w:semiHidden/>
    <w:unhideWhenUsed/>
    <w:rPr>
      <w:rFonts w:ascii="Tahoma" w:hAnsi="Tahoma" w:cs="Tahoma"/>
      <w:sz w:val="16"/>
      <w:szCs w:val="16"/>
    </w:rPr>
  </w:style>
  <w:style w:type="character" w:styleId="912" w:customStyle="1">
    <w:name w:val="Текст выноски Знак"/>
    <w:basedOn w:val="898"/>
    <w:link w:val="911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913" w:customStyle="1">
    <w:name w:val="Заголовок 5 Знак"/>
    <w:basedOn w:val="898"/>
    <w:link w:val="896"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ru-RU"/>
    </w:rPr>
  </w:style>
  <w:style w:type="character" w:styleId="914" w:customStyle="1">
    <w:name w:val="Заголовок 1 Знак"/>
    <w:basedOn w:val="898"/>
    <w:link w:val="892"/>
    <w:rPr>
      <w:rFonts w:ascii="Times New Roman" w:hAnsi="Times New Roman" w:eastAsia="Times New Roman" w:cs="Times New Roman"/>
      <w:b/>
      <w:bCs/>
      <w:caps/>
      <w:sz w:val="24"/>
      <w:szCs w:val="20"/>
      <w:lang w:eastAsia="ru-RU"/>
    </w:rPr>
  </w:style>
  <w:style w:type="character" w:styleId="915" w:customStyle="1">
    <w:name w:val="Заголовок 2 Знак"/>
    <w:basedOn w:val="898"/>
    <w:link w:val="893"/>
    <w:uiPriority w:val="9"/>
    <w:rPr>
      <w:rFonts w:ascii="Times New Roman" w:hAnsi="Times New Roman" w:eastAsia="Times New Roman" w:cs="Times New Roman"/>
      <w:b/>
      <w:bCs/>
      <w:i/>
      <w:iCs/>
      <w:sz w:val="24"/>
      <w:szCs w:val="20"/>
      <w:lang w:eastAsia="ru-RU"/>
    </w:rPr>
  </w:style>
  <w:style w:type="character" w:styleId="916" w:customStyle="1">
    <w:name w:val="Заголовок 3 Знак"/>
    <w:basedOn w:val="898"/>
    <w:link w:val="894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917" w:customStyle="1">
    <w:name w:val="Заголовок 6 Знак"/>
    <w:basedOn w:val="898"/>
    <w:link w:val="897"/>
    <w:rPr>
      <w:rFonts w:ascii="Times New Roman" w:hAnsi="Times New Roman" w:eastAsia="Times New Roman" w:cs="Times New Roman"/>
      <w:b/>
      <w:bCs/>
      <w:szCs w:val="20"/>
      <w:lang w:eastAsia="ru-RU"/>
    </w:rPr>
  </w:style>
  <w:style w:type="paragraph" w:styleId="918" w:customStyle="1">
    <w:name w:val="Список -"/>
    <w:basedOn w:val="891"/>
    <w:pPr>
      <w:numPr>
        <w:ilvl w:val="0"/>
        <w:numId w:val="12"/>
      </w:numPr>
    </w:pPr>
    <w:rPr>
      <w:color w:val="auto"/>
      <w:sz w:val="28"/>
    </w:rPr>
  </w:style>
  <w:style w:type="paragraph" w:styleId="919">
    <w:name w:val="Header"/>
    <w:basedOn w:val="891"/>
    <w:link w:val="920"/>
    <w:pPr>
      <w:tabs>
        <w:tab w:val="center" w:pos="4677" w:leader="none"/>
        <w:tab w:val="right" w:pos="9355" w:leader="none"/>
      </w:tabs>
    </w:pPr>
    <w:rPr>
      <w:color w:val="auto"/>
      <w:sz w:val="24"/>
      <w:szCs w:val="24"/>
    </w:rPr>
  </w:style>
  <w:style w:type="character" w:styleId="920" w:customStyle="1">
    <w:name w:val="Верхний колонтитул Знак"/>
    <w:basedOn w:val="898"/>
    <w:link w:val="91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1">
    <w:name w:val="Body Text Indent"/>
    <w:basedOn w:val="891"/>
    <w:link w:val="922"/>
    <w:pPr>
      <w:ind w:firstLine="600"/>
      <w:jc w:val="both"/>
    </w:pPr>
    <w:rPr>
      <w:color w:val="auto"/>
      <w:sz w:val="28"/>
    </w:rPr>
  </w:style>
  <w:style w:type="character" w:styleId="922" w:customStyle="1">
    <w:name w:val="Основной текст с отступом Знак"/>
    <w:basedOn w:val="898"/>
    <w:link w:val="921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23">
    <w:name w:val="Footer"/>
    <w:basedOn w:val="891"/>
    <w:link w:val="924"/>
    <w:pPr>
      <w:tabs>
        <w:tab w:val="center" w:pos="4677" w:leader="none"/>
        <w:tab w:val="right" w:pos="9355" w:leader="none"/>
      </w:tabs>
    </w:pPr>
    <w:rPr>
      <w:color w:val="auto"/>
      <w:sz w:val="28"/>
    </w:rPr>
  </w:style>
  <w:style w:type="character" w:styleId="924" w:customStyle="1">
    <w:name w:val="Нижний колонтитул Знак"/>
    <w:basedOn w:val="898"/>
    <w:link w:val="923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925">
    <w:name w:val="page number"/>
    <w:basedOn w:val="898"/>
  </w:style>
  <w:style w:type="paragraph" w:styleId="926">
    <w:name w:val="endnote text"/>
    <w:basedOn w:val="891"/>
    <w:link w:val="927"/>
    <w:rPr>
      <w:color w:val="auto"/>
    </w:rPr>
  </w:style>
  <w:style w:type="character" w:styleId="927" w:customStyle="1">
    <w:name w:val="Текст концевой сноски Знак"/>
    <w:basedOn w:val="898"/>
    <w:link w:val="926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28">
    <w:name w:val="endnote reference"/>
    <w:rPr>
      <w:vertAlign w:val="superscript"/>
    </w:rPr>
  </w:style>
  <w:style w:type="paragraph" w:styleId="929">
    <w:name w:val="Subtitle"/>
    <w:basedOn w:val="891"/>
    <w:link w:val="930"/>
    <w:qFormat/>
    <w:pPr>
      <w:jc w:val="center"/>
    </w:pPr>
    <w:rPr>
      <w:b/>
      <w:bCs/>
      <w:color w:val="auto"/>
      <w:sz w:val="32"/>
    </w:rPr>
  </w:style>
  <w:style w:type="character" w:styleId="930" w:customStyle="1">
    <w:name w:val="Подзаголовок Знак"/>
    <w:basedOn w:val="898"/>
    <w:link w:val="929"/>
    <w:rPr>
      <w:rFonts w:ascii="Times New Roman" w:hAnsi="Times New Roman" w:eastAsia="Times New Roman" w:cs="Times New Roman"/>
      <w:b/>
      <w:bCs/>
      <w:sz w:val="32"/>
      <w:szCs w:val="20"/>
      <w:lang w:eastAsia="ru-RU"/>
    </w:rPr>
  </w:style>
  <w:style w:type="paragraph" w:styleId="931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932" w:customStyle="1">
    <w:name w:val="Абзац списка Знак"/>
    <w:link w:val="902"/>
    <w:uiPriority w:val="34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33" w:customStyle="1">
    <w:name w:val="Гиперссылка1"/>
    <w:basedOn w:val="898"/>
  </w:style>
  <w:style w:type="paragraph" w:styleId="934">
    <w:name w:val="footnote text"/>
    <w:basedOn w:val="891"/>
    <w:link w:val="935"/>
    <w:uiPriority w:val="99"/>
    <w:unhideWhenUsed/>
    <w:rPr>
      <w:color w:val="auto"/>
      <w14:ligatures w14:val="standardContextual"/>
    </w:rPr>
  </w:style>
  <w:style w:type="character" w:styleId="935" w:customStyle="1">
    <w:name w:val="Текст сноски Знак"/>
    <w:basedOn w:val="898"/>
    <w:link w:val="934"/>
    <w:uiPriority w:val="99"/>
    <w:rPr>
      <w:rFonts w:ascii="Times New Roman" w:hAnsi="Times New Roman" w:eastAsia="Times New Roman" w:cs="Times New Roman"/>
      <w:sz w:val="20"/>
      <w:szCs w:val="20"/>
      <w:lang w:eastAsia="ru-RU"/>
      <w14:ligatures w14:val="standardContextual"/>
    </w:rPr>
  </w:style>
  <w:style w:type="character" w:styleId="936">
    <w:name w:val="footnote reference"/>
    <w:uiPriority w:val="99"/>
    <w:unhideWhenUsed/>
    <w:rPr>
      <w:vertAlign w:val="superscript"/>
    </w:rPr>
  </w:style>
  <w:style w:type="paragraph" w:styleId="937">
    <w:name w:val="Normal (Web)"/>
    <w:basedOn w:val="891"/>
    <w:uiPriority w:val="99"/>
    <w:semiHidden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838B6-E17F-4D5B-827D-DCA1ECC52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6</cp:revision>
  <dcterms:created xsi:type="dcterms:W3CDTF">2024-10-25T14:24:00Z</dcterms:created>
  <dcterms:modified xsi:type="dcterms:W3CDTF">2024-11-12T08:01:09Z</dcterms:modified>
</cp:coreProperties>
</file>