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2787562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30.10.2024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</w:t>
      </w:r>
      <w:r>
        <w:rPr>
          <w:b/>
          <w:sz w:val="24"/>
        </w:rPr>
        <w:t xml:space="preserve">1674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Правила</w:t>
      </w:r>
      <w:r>
        <w:rPr>
          <w:b/>
          <w:sz w:val="20"/>
          <w:szCs w:val="20"/>
        </w:rPr>
        <w:t xml:space="preserve"> предоставления субсидии на оказание финансовой помощи муниципальному казенному предприятию «Жилищное хозяйство» Печенгского муниципального округа Мурманской области в целях предупреждения банкротства и восстановления платежеспособности</w:t>
      </w:r>
      <w:r>
        <w:rPr>
          <w:b/>
          <w:sz w:val="20"/>
          <w:szCs w:val="20"/>
        </w:rPr>
        <w:t xml:space="preserve">, утвержденные постановлением администрации </w:t>
      </w:r>
      <w:r>
        <w:rPr>
          <w:b/>
          <w:sz w:val="24"/>
          <w:szCs w:val="24"/>
        </w:rPr>
      </w:r>
      <w:r>
        <w:rPr>
          <w:b/>
          <w:bCs/>
          <w:sz w:val="20"/>
          <w:szCs w:val="20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0"/>
          <w:szCs w:val="20"/>
        </w:rPr>
        <w:t xml:space="preserve">Печенгского муниципального округа от 19.06.2024 № 1011  </w:t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82"/>
        <w:jc w:val="both"/>
        <w:spacing w:before="0" w:beforeAutospacing="0" w:after="0" w:afterAutospacing="0" w:line="288" w:lineRule="atLeast"/>
      </w:pPr>
      <w:r>
        <w:t xml:space="preserve"> </w:t>
      </w:r>
      <w:r>
        <w:tab/>
        <w:t xml:space="preserve">В целях актуализации муниципального правового акта </w:t>
      </w:r>
      <w:r/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7"/>
        <w:numPr>
          <w:ilvl w:val="0"/>
          <w:numId w:val="11"/>
        </w:numPr>
        <w:ind w:lef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</w:t>
      </w:r>
      <w:r>
        <w:rPr>
          <w:sz w:val="24"/>
          <w:szCs w:val="24"/>
        </w:rPr>
        <w:t xml:space="preserve"> </w:t>
      </w:r>
      <w:hyperlink w:tooltip="ПРАВИЛА" w:anchor="Par32" w:history="1">
        <w:r>
          <w:rPr>
            <w:rStyle w:val="881"/>
            <w:color w:val="auto"/>
            <w:sz w:val="24"/>
            <w:szCs w:val="24"/>
            <w:u w:val="none"/>
          </w:rPr>
          <w:t xml:space="preserve">Правила</w:t>
        </w:r>
      </w:hyperlink>
      <w:r>
        <w:rPr>
          <w:sz w:val="24"/>
          <w:szCs w:val="24"/>
        </w:rPr>
        <w:t xml:space="preserve"> предоставления субсидии на оказание финансовой помощи муниципальному казенному предприятию «Жилищное хозяйство» Печенгского муниципального округа Мурманской области в целях предупреждения банкротства и во</w:t>
      </w:r>
      <w:r>
        <w:rPr>
          <w:sz w:val="24"/>
          <w:szCs w:val="24"/>
        </w:rPr>
        <w:t xml:space="preserve">сстановления платежеспособности, </w:t>
      </w:r>
      <w:r>
        <w:rPr>
          <w:sz w:val="24"/>
          <w:szCs w:val="24"/>
        </w:rPr>
        <w:t xml:space="preserve">утвержденные постановлением администрации Печенгского муниципального округа от 19.06.2024 № 1011</w:t>
      </w:r>
      <w:r>
        <w:rPr>
          <w:sz w:val="24"/>
          <w:szCs w:val="24"/>
        </w:rPr>
        <w:t xml:space="preserve"> (далее – Правила)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>
        <w:rPr>
          <w:sz w:val="24"/>
          <w:szCs w:val="24"/>
        </w:rPr>
        <w:t xml:space="preserve">Пункт 1.5. Правил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0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«1.5. </w:t>
      </w:r>
      <w:r>
        <w:rPr>
          <w:sz w:val="24"/>
          <w:szCs w:val="24"/>
        </w:rPr>
        <w:t xml:space="preserve">Субсидия носит заявительный характер и п</w:t>
      </w:r>
      <w:r>
        <w:rPr>
          <w:sz w:val="24"/>
          <w:szCs w:val="24"/>
        </w:rPr>
        <w:t xml:space="preserve">редоставляется на безвозмездной </w:t>
      </w:r>
      <w:r>
        <w:rPr>
          <w:sz w:val="24"/>
          <w:szCs w:val="24"/>
        </w:rPr>
        <w:t xml:space="preserve">основе для погашения денежных обязательств</w:t>
      </w:r>
      <w:r>
        <w:rPr>
          <w:sz w:val="24"/>
          <w:szCs w:val="24"/>
        </w:rPr>
        <w:t xml:space="preserve">, а именно: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0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задолженност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рамках сводного исполнительного производства </w:t>
        <w:br/>
        <w:t xml:space="preserve">№ 110223/23/51010-СД в отношении муниципального казенного п</w:t>
      </w:r>
      <w:r>
        <w:rPr>
          <w:sz w:val="24"/>
          <w:szCs w:val="24"/>
        </w:rPr>
        <w:t xml:space="preserve">редприятия «Жилищное хозяйство»;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0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-</w:t>
      </w:r>
      <w:r>
        <w:rPr>
          <w:sz w:val="24"/>
          <w:szCs w:val="24"/>
        </w:rPr>
        <w:t xml:space="preserve"> задолженност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по заработной плате </w:t>
      </w:r>
      <w:r>
        <w:rPr>
          <w:sz w:val="24"/>
          <w:szCs w:val="24"/>
        </w:rPr>
        <w:t xml:space="preserve">работникам;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0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задолженности</w:t>
      </w:r>
      <w:r>
        <w:rPr>
          <w:sz w:val="24"/>
          <w:szCs w:val="24"/>
        </w:rPr>
        <w:t xml:space="preserve"> за </w:t>
      </w:r>
      <w:r>
        <w:rPr>
          <w:sz w:val="24"/>
          <w:szCs w:val="24"/>
        </w:rPr>
        <w:t xml:space="preserve">обслуживание б</w:t>
      </w:r>
      <w:r>
        <w:rPr>
          <w:sz w:val="24"/>
          <w:szCs w:val="24"/>
        </w:rPr>
        <w:t xml:space="preserve">анковского счета</w:t>
      </w:r>
      <w:r>
        <w:rPr>
          <w:sz w:val="24"/>
          <w:szCs w:val="24"/>
        </w:rPr>
        <w:t xml:space="preserve">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0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задолженност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по налогам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сборам</w:t>
      </w:r>
      <w:r>
        <w:rPr>
          <w:sz w:val="24"/>
          <w:szCs w:val="24"/>
        </w:rPr>
        <w:t xml:space="preserve">, иным обязательным платежам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пеням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0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задолженност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перед контрагентами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 том числе по ранее вынесенным судебным решениям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0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на финансовое обеспечение затрат по выплате заработной </w:t>
      </w:r>
      <w:r>
        <w:rPr>
          <w:sz w:val="24"/>
          <w:szCs w:val="24"/>
        </w:rPr>
        <w:t xml:space="preserve">платы работникам и иных компенсационных выплат за ноябрь и декабрь</w:t>
      </w:r>
      <w:r>
        <w:rPr>
          <w:sz w:val="24"/>
          <w:szCs w:val="24"/>
        </w:rPr>
        <w:t xml:space="preserve"> текущего года</w:t>
      </w:r>
      <w:r>
        <w:rPr>
          <w:sz w:val="24"/>
          <w:szCs w:val="24"/>
        </w:rPr>
        <w:t xml:space="preserve"> и оплат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в связи с этим необходимых налогов и сборов</w:t>
      </w:r>
      <w:r>
        <w:rPr>
          <w:sz w:val="24"/>
          <w:szCs w:val="24"/>
        </w:rPr>
        <w:t xml:space="preserve">.».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0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Пункт </w:t>
      </w:r>
      <w:r>
        <w:rPr>
          <w:sz w:val="24"/>
          <w:szCs w:val="24"/>
        </w:rPr>
        <w:t xml:space="preserve">2.2.1</w:t>
      </w:r>
      <w:r>
        <w:rPr>
          <w:sz w:val="24"/>
          <w:szCs w:val="24"/>
        </w:rPr>
        <w:t xml:space="preserve"> Правил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0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«2.2.1. На момент подачи заявления на предоставление субсидии:»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0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1.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В пункте 2.3. Правил слова «не позднее 05 июля текущего года»</w:t>
      </w:r>
      <w:r>
        <w:rPr>
          <w:sz w:val="24"/>
          <w:szCs w:val="24"/>
        </w:rPr>
        <w:t xml:space="preserve"> исключить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0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В подпункте 4 пункта 2.3. Правил слова «финансовым отделом» заменить словами «финансовым органом».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0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1.5. </w:t>
      </w:r>
      <w:r>
        <w:rPr>
          <w:sz w:val="24"/>
          <w:szCs w:val="24"/>
        </w:rPr>
        <w:t xml:space="preserve">В подпункте 4 пункта 2.3. Правил слова «</w:t>
      </w:r>
      <w:r>
        <w:rPr>
          <w:sz w:val="24"/>
          <w:szCs w:val="24"/>
        </w:rPr>
        <w:t xml:space="preserve">на первое число месяца, предшествующего месяцу</w:t>
      </w:r>
      <w:bookmarkStart w:id="0" w:name="_GoBack"/>
      <w:r/>
      <w:bookmarkEnd w:id="0"/>
      <w:r>
        <w:rPr>
          <w:sz w:val="24"/>
          <w:szCs w:val="24"/>
        </w:rPr>
        <w:t xml:space="preserve">, в котором планируется заключение Соглашения о предоставлении субсидии</w:t>
      </w:r>
      <w:r>
        <w:rPr>
          <w:sz w:val="24"/>
          <w:szCs w:val="24"/>
        </w:rPr>
        <w:t xml:space="preserve">,»</w:t>
      </w:r>
      <w:r>
        <w:rPr>
          <w:sz w:val="24"/>
          <w:szCs w:val="24"/>
        </w:rPr>
        <w:t xml:space="preserve"> исключить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0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1.6</w:t>
      </w:r>
      <w:r>
        <w:rPr>
          <w:sz w:val="24"/>
          <w:szCs w:val="24"/>
        </w:rPr>
        <w:t xml:space="preserve">. Абзацы первый и второй пункта 2.11. Правил изложить в следующей редакции.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0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2.11. Получатель обязан в течение 10 рабочих дней после поступления средств субсидии на счет обеспечить погашение денежных обязательств по направлениям, указанным в Соглашении, </w:t>
      </w:r>
      <w:r>
        <w:rPr>
          <w:sz w:val="24"/>
          <w:szCs w:val="24"/>
        </w:rPr>
        <w:t xml:space="preserve">но не п</w:t>
      </w:r>
      <w:r>
        <w:rPr>
          <w:sz w:val="24"/>
          <w:szCs w:val="24"/>
        </w:rPr>
        <w:t xml:space="preserve">озднее 15 декабря текущего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0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В случае если Получатель не использовал средства субсидии </w:t>
      </w:r>
      <w:r>
        <w:rPr>
          <w:sz w:val="24"/>
          <w:szCs w:val="24"/>
        </w:rPr>
        <w:t xml:space="preserve">в указанные сроки </w:t>
      </w:r>
      <w:r>
        <w:rPr>
          <w:sz w:val="24"/>
          <w:szCs w:val="24"/>
        </w:rPr>
        <w:t xml:space="preserve">субсидия подлежит возврату на счет Администрации в размере неиспользованного остатка в течение 5 рабочих дней с даты предоставления получателем </w:t>
      </w:r>
      <w:hyperlink w:tooltip="ОТЧЕТ" w:anchor="Par222" w:history="1">
        <w:r>
          <w:rPr>
            <w:sz w:val="24"/>
            <w:szCs w:val="24"/>
          </w:rPr>
          <w:t xml:space="preserve">отчета</w:t>
        </w:r>
      </w:hyperlink>
      <w:r>
        <w:rPr>
          <w:sz w:val="24"/>
          <w:szCs w:val="24"/>
        </w:rPr>
        <w:t xml:space="preserve"> по форме согласно приложению № 2 к Правилам.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Абзац </w:t>
      </w:r>
      <w:r>
        <w:rPr>
          <w:sz w:val="24"/>
          <w:szCs w:val="24"/>
        </w:rPr>
        <w:t xml:space="preserve">первый</w:t>
      </w:r>
      <w:r>
        <w:rPr>
          <w:sz w:val="24"/>
          <w:szCs w:val="24"/>
        </w:rPr>
        <w:t xml:space="preserve"> пункт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3</w:t>
      </w:r>
      <w:r>
        <w:rPr>
          <w:sz w:val="24"/>
          <w:szCs w:val="24"/>
        </w:rPr>
        <w:t xml:space="preserve">.1.</w:t>
      </w:r>
      <w:r>
        <w:rPr>
          <w:sz w:val="24"/>
          <w:szCs w:val="24"/>
        </w:rPr>
        <w:t xml:space="preserve"> Правил изложить в следующей редакции.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«3.1. </w:t>
      </w:r>
      <w:r>
        <w:rPr>
          <w:sz w:val="24"/>
          <w:szCs w:val="24"/>
        </w:rPr>
        <w:t xml:space="preserve">Результатом предоставления субсидии является погашение Получателем денежных обязательств (задолженности) по направлени</w:t>
      </w:r>
      <w:r>
        <w:rPr>
          <w:sz w:val="24"/>
          <w:szCs w:val="24"/>
        </w:rPr>
        <w:t xml:space="preserve">ям</w:t>
      </w:r>
      <w:r>
        <w:rPr>
          <w:sz w:val="24"/>
          <w:szCs w:val="24"/>
        </w:rPr>
        <w:t xml:space="preserve">, указан</w:t>
      </w:r>
      <w:r>
        <w:rPr>
          <w:sz w:val="24"/>
          <w:szCs w:val="24"/>
        </w:rPr>
        <w:t xml:space="preserve">ным</w:t>
      </w:r>
      <w:r>
        <w:rPr>
          <w:sz w:val="24"/>
          <w:szCs w:val="24"/>
        </w:rPr>
        <w:t xml:space="preserve"> в </w:t>
      </w:r>
      <w:hyperlink w:tooltip="1.5. Субсидия носит заявительный характер и предоставляется на безвозмездной основе по следующим направлениям:" w:anchor="Par49" w:history="1">
        <w:r>
          <w:rPr>
            <w:rStyle w:val="881"/>
            <w:color w:val="auto"/>
            <w:sz w:val="24"/>
            <w:szCs w:val="24"/>
            <w:u w:val="none"/>
          </w:rPr>
          <w:t xml:space="preserve">пункт</w:t>
        </w:r>
        <w:r>
          <w:rPr>
            <w:rStyle w:val="881"/>
            <w:color w:val="auto"/>
            <w:sz w:val="24"/>
            <w:szCs w:val="24"/>
            <w:u w:val="none"/>
          </w:rPr>
          <w:t xml:space="preserve">е</w:t>
        </w:r>
        <w:r>
          <w:rPr>
            <w:rStyle w:val="881"/>
            <w:color w:val="auto"/>
            <w:sz w:val="24"/>
            <w:szCs w:val="24"/>
            <w:u w:val="none"/>
          </w:rPr>
          <w:t xml:space="preserve"> 1.5</w:t>
        </w:r>
      </w:hyperlink>
      <w:r>
        <w:rPr>
          <w:rStyle w:val="881"/>
          <w:color w:val="auto"/>
          <w:sz w:val="24"/>
          <w:szCs w:val="24"/>
          <w:u w:val="none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Правил, по состоянию на </w:t>
      </w:r>
      <w:r>
        <w:rPr>
          <w:sz w:val="24"/>
          <w:szCs w:val="24"/>
        </w:rPr>
        <w:t xml:space="preserve">15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декабря</w:t>
      </w:r>
      <w:r>
        <w:rPr>
          <w:sz w:val="24"/>
          <w:szCs w:val="24"/>
        </w:rPr>
        <w:t xml:space="preserve"> года, в котором Получателю предоставлена субсидия.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Пункты 4.1 и 4.2 Правил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«4.1</w:t>
      </w:r>
      <w:r>
        <w:rPr>
          <w:sz w:val="24"/>
          <w:szCs w:val="24"/>
        </w:rPr>
        <w:t xml:space="preserve">. </w:t>
      </w:r>
      <w:hyperlink w:tooltip="ОТЧЕТ" w:anchor="Par222" w:history="1">
        <w:r>
          <w:rPr>
            <w:rStyle w:val="881"/>
            <w:color w:val="auto"/>
            <w:sz w:val="24"/>
            <w:szCs w:val="24"/>
            <w:u w:val="none"/>
          </w:rPr>
          <w:t xml:space="preserve">Отчет</w:t>
        </w:r>
      </w:hyperlink>
      <w:r>
        <w:rPr>
          <w:sz w:val="24"/>
          <w:szCs w:val="24"/>
        </w:rPr>
        <w:t xml:space="preserve"> по форме согласно приложению № 2 к Правилам с приложением копий подтверждающих документов, заверенных надлежащим образом, - не позднее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декабря</w:t>
      </w:r>
      <w:r>
        <w:rPr>
          <w:sz w:val="24"/>
          <w:szCs w:val="24"/>
        </w:rPr>
        <w:t xml:space="preserve"> текущего года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4.2. Отчет о достижении значения результата предоставления субсидии по форме, установленной в Соглашении, - не позднее </w:t>
      </w:r>
      <w:r>
        <w:rPr>
          <w:sz w:val="24"/>
          <w:szCs w:val="24"/>
        </w:rPr>
        <w:t xml:space="preserve">конца текущего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года, в котором Получателю предоставлена субсидия</w:t>
      </w:r>
      <w:r>
        <w:rPr>
          <w:sz w:val="24"/>
          <w:szCs w:val="24"/>
        </w:rPr>
        <w:t xml:space="preserve">.»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ab/>
        <w:t xml:space="preserve">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ab/>
        <w:t xml:space="preserve"> Настоящее постановление подлежит размещению на официальном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Самойлов</w:t>
      </w:r>
      <w:r>
        <w:t xml:space="preserve"> С.А.</w:t>
      </w:r>
      <w:r>
        <w:t xml:space="preserve">,</w:t>
      </w:r>
      <w:r>
        <w:t xml:space="preserve"> </w:t>
      </w:r>
      <w:r>
        <w:t xml:space="preserve">62479</w:t>
      </w:r>
      <w:r>
        <w:t xml:space="preserve"> 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10"/>
  </w:num>
  <w:num w:numId="5">
    <w:abstractNumId w:val="8"/>
  </w:num>
  <w:num w:numId="6">
    <w:abstractNumId w:val="6"/>
  </w:num>
  <w:num w:numId="7">
    <w:abstractNumId w:val="2"/>
  </w:num>
  <w:num w:numId="8">
    <w:abstractNumId w:val="7"/>
  </w:num>
  <w:num w:numId="9">
    <w:abstractNumId w:val="5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6">
    <w:name w:val="Heading 1 Char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677">
    <w:name w:val="Heading 2 Char"/>
    <w:basedOn w:val="702"/>
    <w:link w:val="694"/>
    <w:uiPriority w:val="9"/>
    <w:rPr>
      <w:rFonts w:ascii="Arial" w:hAnsi="Arial" w:eastAsia="Arial" w:cs="Arial"/>
      <w:sz w:val="34"/>
    </w:rPr>
  </w:style>
  <w:style w:type="character" w:styleId="678">
    <w:name w:val="Heading 3 Char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679">
    <w:name w:val="Heading 5 Char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680">
    <w:name w:val="Heading 6 Char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681">
    <w:name w:val="Heading 7 Char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2">
    <w:name w:val="Heading 8 Char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683">
    <w:name w:val="Heading 9 Char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684">
    <w:name w:val="Title Char"/>
    <w:basedOn w:val="702"/>
    <w:link w:val="715"/>
    <w:uiPriority w:val="10"/>
    <w:rPr>
      <w:sz w:val="48"/>
      <w:szCs w:val="48"/>
    </w:rPr>
  </w:style>
  <w:style w:type="character" w:styleId="685">
    <w:name w:val="Subtitle Char"/>
    <w:basedOn w:val="702"/>
    <w:link w:val="717"/>
    <w:uiPriority w:val="11"/>
    <w:rPr>
      <w:sz w:val="24"/>
      <w:szCs w:val="24"/>
    </w:rPr>
  </w:style>
  <w:style w:type="character" w:styleId="686">
    <w:name w:val="Quote Char"/>
    <w:link w:val="719"/>
    <w:uiPriority w:val="29"/>
    <w:rPr>
      <w:i/>
    </w:rPr>
  </w:style>
  <w:style w:type="character" w:styleId="687">
    <w:name w:val="Intense Quote Char"/>
    <w:link w:val="721"/>
    <w:uiPriority w:val="30"/>
    <w:rPr>
      <w:i/>
    </w:rPr>
  </w:style>
  <w:style w:type="character" w:styleId="688">
    <w:name w:val="Header Char"/>
    <w:basedOn w:val="702"/>
    <w:link w:val="723"/>
    <w:uiPriority w:val="99"/>
  </w:style>
  <w:style w:type="character" w:styleId="689">
    <w:name w:val="Caption Char"/>
    <w:basedOn w:val="727"/>
    <w:link w:val="725"/>
    <w:uiPriority w:val="99"/>
  </w:style>
  <w:style w:type="character" w:styleId="690">
    <w:name w:val="Footnote Text Char"/>
    <w:link w:val="855"/>
    <w:uiPriority w:val="99"/>
    <w:rPr>
      <w:sz w:val="18"/>
    </w:rPr>
  </w:style>
  <w:style w:type="character" w:styleId="691">
    <w:name w:val="Endnote Text Char"/>
    <w:link w:val="858"/>
    <w:uiPriority w:val="99"/>
    <w:rPr>
      <w:sz w:val="20"/>
    </w:rPr>
  </w:style>
  <w:style w:type="paragraph" w:styleId="692" w:default="1">
    <w:name w:val="Normal"/>
    <w:qFormat/>
    <w:rPr>
      <w:rFonts w:ascii="Times New Roman" w:hAnsi="Times New Roman" w:eastAsia="Times New Roman"/>
    </w:rPr>
  </w:style>
  <w:style w:type="paragraph" w:styleId="693">
    <w:name w:val="Heading 1"/>
    <w:basedOn w:val="692"/>
    <w:next w:val="692"/>
    <w:link w:val="70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4">
    <w:name w:val="Heading 2"/>
    <w:basedOn w:val="692"/>
    <w:next w:val="692"/>
    <w:link w:val="70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5">
    <w:name w:val="Heading 3"/>
    <w:basedOn w:val="692"/>
    <w:next w:val="692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6">
    <w:name w:val="Heading 4"/>
    <w:basedOn w:val="692"/>
    <w:next w:val="692"/>
    <w:link w:val="873"/>
    <w:qFormat/>
    <w:pPr>
      <w:ind w:firstLine="709"/>
      <w:keepNext/>
      <w:outlineLvl w:val="3"/>
    </w:pPr>
    <w:rPr>
      <w:sz w:val="28"/>
    </w:rPr>
  </w:style>
  <w:style w:type="paragraph" w:styleId="697">
    <w:name w:val="Heading 5"/>
    <w:basedOn w:val="692"/>
    <w:next w:val="692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692"/>
    <w:next w:val="692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692"/>
    <w:next w:val="692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692"/>
    <w:next w:val="692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1">
    <w:name w:val="Heading 9"/>
    <w:basedOn w:val="692"/>
    <w:next w:val="692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character" w:styleId="705" w:customStyle="1">
    <w:name w:val="Заголовок 1 Знак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706" w:customStyle="1">
    <w:name w:val="Заголовок 2 Знак"/>
    <w:basedOn w:val="702"/>
    <w:link w:val="694"/>
    <w:uiPriority w:val="9"/>
    <w:rPr>
      <w:rFonts w:ascii="Arial" w:hAnsi="Arial" w:eastAsia="Arial" w:cs="Arial"/>
      <w:sz w:val="34"/>
    </w:rPr>
  </w:style>
  <w:style w:type="character" w:styleId="707" w:customStyle="1">
    <w:name w:val="Заголовок 3 Знак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708" w:customStyle="1">
    <w:name w:val="Heading 4 Char"/>
    <w:basedOn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09" w:customStyle="1">
    <w:name w:val="Заголовок 5 Знак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10" w:customStyle="1">
    <w:name w:val="Заголовок 6 Знак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11" w:customStyle="1">
    <w:name w:val="Заголовок 7 Знак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 w:customStyle="1">
    <w:name w:val="Заголовок 8 Знак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13" w:customStyle="1">
    <w:name w:val="Заголовок 9 Знак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No Spacing"/>
    <w:uiPriority w:val="1"/>
    <w:qFormat/>
  </w:style>
  <w:style w:type="paragraph" w:styleId="715">
    <w:name w:val="Title"/>
    <w:basedOn w:val="692"/>
    <w:next w:val="692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 w:customStyle="1">
    <w:name w:val="Заголовок Знак"/>
    <w:basedOn w:val="702"/>
    <w:link w:val="715"/>
    <w:uiPriority w:val="10"/>
    <w:rPr>
      <w:sz w:val="48"/>
      <w:szCs w:val="48"/>
    </w:rPr>
  </w:style>
  <w:style w:type="paragraph" w:styleId="717">
    <w:name w:val="Subtitle"/>
    <w:basedOn w:val="692"/>
    <w:next w:val="692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 w:customStyle="1">
    <w:name w:val="Подзаголовок Знак"/>
    <w:basedOn w:val="702"/>
    <w:link w:val="717"/>
    <w:uiPriority w:val="11"/>
    <w:rPr>
      <w:sz w:val="24"/>
      <w:szCs w:val="24"/>
    </w:rPr>
  </w:style>
  <w:style w:type="paragraph" w:styleId="719">
    <w:name w:val="Quote"/>
    <w:basedOn w:val="692"/>
    <w:next w:val="692"/>
    <w:link w:val="720"/>
    <w:uiPriority w:val="29"/>
    <w:qFormat/>
    <w:pPr>
      <w:ind w:left="720" w:right="720"/>
    </w:pPr>
    <w:rPr>
      <w:i/>
    </w:rPr>
  </w:style>
  <w:style w:type="character" w:styleId="720" w:customStyle="1">
    <w:name w:val="Цитата 2 Знак"/>
    <w:link w:val="719"/>
    <w:uiPriority w:val="29"/>
    <w:rPr>
      <w:i/>
    </w:rPr>
  </w:style>
  <w:style w:type="paragraph" w:styleId="721">
    <w:name w:val="Intense Quote"/>
    <w:basedOn w:val="692"/>
    <w:next w:val="692"/>
    <w:link w:val="72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 w:customStyle="1">
    <w:name w:val="Выделенная цитата Знак"/>
    <w:link w:val="721"/>
    <w:uiPriority w:val="30"/>
    <w:rPr>
      <w:i/>
    </w:rPr>
  </w:style>
  <w:style w:type="paragraph" w:styleId="723">
    <w:name w:val="Header"/>
    <w:basedOn w:val="692"/>
    <w:link w:val="72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4" w:customStyle="1">
    <w:name w:val="Верхний колонтитул Знак"/>
    <w:basedOn w:val="702"/>
    <w:link w:val="723"/>
    <w:uiPriority w:val="99"/>
  </w:style>
  <w:style w:type="paragraph" w:styleId="725">
    <w:name w:val="Footer"/>
    <w:basedOn w:val="692"/>
    <w:link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6" w:customStyle="1">
    <w:name w:val="Footer Char"/>
    <w:basedOn w:val="702"/>
    <w:uiPriority w:val="99"/>
  </w:style>
  <w:style w:type="paragraph" w:styleId="727">
    <w:name w:val="Caption"/>
    <w:basedOn w:val="692"/>
    <w:next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 w:customStyle="1">
    <w:name w:val="Нижний колонтитул Знак"/>
    <w:link w:val="725"/>
    <w:uiPriority w:val="99"/>
  </w:style>
  <w:style w:type="table" w:styleId="729">
    <w:name w:val="Table Grid"/>
    <w:basedOn w:val="70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30" w:customStyle="1">
    <w:name w:val="Table Grid Light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1">
    <w:name w:val="Plain Table 1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2"/>
    <w:basedOn w:val="70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3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>
    <w:name w:val="Plain Table 4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Plain Table 5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>
    <w:name w:val="Grid Table 1 Light"/>
    <w:basedOn w:val="70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2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4"/>
    <w:basedOn w:val="70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 w:customStyle="1">
    <w:name w:val="Grid Table 4 - Accent 1"/>
    <w:basedOn w:val="70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9" w:customStyle="1">
    <w:name w:val="Grid Table 4 - Accent 2"/>
    <w:basedOn w:val="70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0" w:customStyle="1">
    <w:name w:val="Grid Table 4 - Accent 3"/>
    <w:basedOn w:val="70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1" w:customStyle="1">
    <w:name w:val="Grid Table 4 - Accent 4"/>
    <w:basedOn w:val="70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2" w:customStyle="1">
    <w:name w:val="Grid Table 4 - Accent 5"/>
    <w:basedOn w:val="70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3" w:customStyle="1">
    <w:name w:val="Grid Table 4 - Accent 6"/>
    <w:basedOn w:val="70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4">
    <w:name w:val="Grid Table 5 Dark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- Accent 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2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3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- Accent 4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5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6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1">
    <w:name w:val="Grid Table 6 Colorful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2" w:customStyle="1">
    <w:name w:val="Grid Table 6 Colorful - Accent 1"/>
    <w:basedOn w:val="70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3" w:customStyle="1">
    <w:name w:val="Grid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4" w:customStyle="1">
    <w:name w:val="Grid Table 6 Colorful - Accent 3"/>
    <w:basedOn w:val="70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5" w:customStyle="1">
    <w:name w:val="Grid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6" w:customStyle="1">
    <w:name w:val="Grid Table 6 Colorful - Accent 5"/>
    <w:basedOn w:val="70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Grid Table 6 Colorful - Accent 6"/>
    <w:basedOn w:val="70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8">
    <w:name w:val="Grid Table 7 Colorful"/>
    <w:basedOn w:val="70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1"/>
    <w:basedOn w:val="70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5"/>
    <w:basedOn w:val="70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6"/>
    <w:basedOn w:val="70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>
    <w:name w:val="List Table 1 Light"/>
    <w:basedOn w:val="70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1"/>
    <w:basedOn w:val="70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2"/>
    <w:basedOn w:val="70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3"/>
    <w:basedOn w:val="70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4"/>
    <w:basedOn w:val="70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5"/>
    <w:basedOn w:val="70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6"/>
    <w:basedOn w:val="70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2"/>
    <w:basedOn w:val="70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9">
    <w:name w:val="List Table 3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5 Dark"/>
    <w:basedOn w:val="70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1"/>
    <w:basedOn w:val="70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>
    <w:name w:val="List Table 6 Colorful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1" w:customStyle="1">
    <w:name w:val="List Table 6 Colorful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2" w:customStyle="1">
    <w:name w:val="List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3" w:customStyle="1">
    <w:name w:val="List Table 6 Colorful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4" w:customStyle="1">
    <w:name w:val="List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5" w:customStyle="1">
    <w:name w:val="List Table 6 Colorful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6" w:customStyle="1">
    <w:name w:val="List Table 6 Colorful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7">
    <w:name w:val="List Table 7 Colorful"/>
    <w:basedOn w:val="70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1"/>
    <w:basedOn w:val="70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2"/>
    <w:basedOn w:val="70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3"/>
    <w:basedOn w:val="70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4"/>
    <w:basedOn w:val="70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5"/>
    <w:basedOn w:val="70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6"/>
    <w:basedOn w:val="70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ned - Accent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Lined - Accent 1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6" w:customStyle="1">
    <w:name w:val="Lined - Accent 2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7" w:customStyle="1">
    <w:name w:val="Lined - Accent 3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8" w:customStyle="1">
    <w:name w:val="Lined - Accent 4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9" w:customStyle="1">
    <w:name w:val="Lined - Accent 5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0" w:customStyle="1">
    <w:name w:val="Lined - Accent 6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1" w:customStyle="1">
    <w:name w:val="Bordered &amp; Lined - Accent"/>
    <w:basedOn w:val="70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2" w:customStyle="1">
    <w:name w:val="Bordered &amp; Lined - Accent 1"/>
    <w:basedOn w:val="70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3" w:customStyle="1">
    <w:name w:val="Bordered &amp; Lined - Accent 2"/>
    <w:basedOn w:val="70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4" w:customStyle="1">
    <w:name w:val="Bordered &amp; Lined - Accent 3"/>
    <w:basedOn w:val="70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5" w:customStyle="1">
    <w:name w:val="Bordered &amp; Lined - Accent 4"/>
    <w:basedOn w:val="70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6" w:customStyle="1">
    <w:name w:val="Bordered &amp; Lined - Accent 5"/>
    <w:basedOn w:val="70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7" w:customStyle="1">
    <w:name w:val="Bordered &amp; Lined - Accent 6"/>
    <w:basedOn w:val="70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8" w:customStyle="1">
    <w:name w:val="Bordered"/>
    <w:basedOn w:val="70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9" w:customStyle="1">
    <w:name w:val="Bordered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0" w:customStyle="1">
    <w:name w:val="Bordered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1" w:customStyle="1">
    <w:name w:val="Bordered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2" w:customStyle="1">
    <w:name w:val="Bordered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3" w:customStyle="1">
    <w:name w:val="Bordered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4" w:customStyle="1">
    <w:name w:val="Bordered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5">
    <w:name w:val="footnote text"/>
    <w:basedOn w:val="692"/>
    <w:link w:val="856"/>
    <w:uiPriority w:val="99"/>
    <w:semiHidden/>
    <w:unhideWhenUsed/>
    <w:pPr>
      <w:spacing w:after="40"/>
    </w:pPr>
    <w:rPr>
      <w:sz w:val="18"/>
    </w:rPr>
  </w:style>
  <w:style w:type="character" w:styleId="856" w:customStyle="1">
    <w:name w:val="Текст сноски Знак"/>
    <w:link w:val="855"/>
    <w:uiPriority w:val="99"/>
    <w:rPr>
      <w:sz w:val="18"/>
    </w:rPr>
  </w:style>
  <w:style w:type="character" w:styleId="857">
    <w:name w:val="footnote reference"/>
    <w:basedOn w:val="702"/>
    <w:uiPriority w:val="99"/>
    <w:unhideWhenUsed/>
    <w:rPr>
      <w:vertAlign w:val="superscript"/>
    </w:rPr>
  </w:style>
  <w:style w:type="paragraph" w:styleId="858">
    <w:name w:val="endnote text"/>
    <w:basedOn w:val="692"/>
    <w:link w:val="859"/>
    <w:uiPriority w:val="99"/>
    <w:semiHidden/>
    <w:unhideWhenUsed/>
  </w:style>
  <w:style w:type="character" w:styleId="859" w:customStyle="1">
    <w:name w:val="Текст концевой сноски Знак"/>
    <w:link w:val="858"/>
    <w:uiPriority w:val="99"/>
    <w:rPr>
      <w:sz w:val="20"/>
    </w:rPr>
  </w:style>
  <w:style w:type="character" w:styleId="860">
    <w:name w:val="endnote reference"/>
    <w:basedOn w:val="702"/>
    <w:uiPriority w:val="99"/>
    <w:semiHidden/>
    <w:unhideWhenUsed/>
    <w:rPr>
      <w:vertAlign w:val="superscript"/>
    </w:rPr>
  </w:style>
  <w:style w:type="paragraph" w:styleId="861">
    <w:name w:val="toc 1"/>
    <w:basedOn w:val="692"/>
    <w:next w:val="692"/>
    <w:uiPriority w:val="39"/>
    <w:unhideWhenUsed/>
    <w:pPr>
      <w:spacing w:after="57"/>
    </w:pPr>
  </w:style>
  <w:style w:type="paragraph" w:styleId="862">
    <w:name w:val="toc 2"/>
    <w:basedOn w:val="692"/>
    <w:next w:val="692"/>
    <w:uiPriority w:val="39"/>
    <w:unhideWhenUsed/>
    <w:pPr>
      <w:ind w:left="283"/>
      <w:spacing w:after="57"/>
    </w:pPr>
  </w:style>
  <w:style w:type="paragraph" w:styleId="863">
    <w:name w:val="toc 3"/>
    <w:basedOn w:val="692"/>
    <w:next w:val="692"/>
    <w:uiPriority w:val="39"/>
    <w:unhideWhenUsed/>
    <w:pPr>
      <w:ind w:left="567"/>
      <w:spacing w:after="57"/>
    </w:pPr>
  </w:style>
  <w:style w:type="paragraph" w:styleId="864">
    <w:name w:val="toc 4"/>
    <w:basedOn w:val="692"/>
    <w:next w:val="692"/>
    <w:uiPriority w:val="39"/>
    <w:unhideWhenUsed/>
    <w:pPr>
      <w:ind w:left="850"/>
      <w:spacing w:after="57"/>
    </w:pPr>
  </w:style>
  <w:style w:type="paragraph" w:styleId="865">
    <w:name w:val="toc 5"/>
    <w:basedOn w:val="692"/>
    <w:next w:val="692"/>
    <w:uiPriority w:val="39"/>
    <w:unhideWhenUsed/>
    <w:pPr>
      <w:ind w:left="1134"/>
      <w:spacing w:after="57"/>
    </w:pPr>
  </w:style>
  <w:style w:type="paragraph" w:styleId="866">
    <w:name w:val="toc 6"/>
    <w:basedOn w:val="692"/>
    <w:next w:val="692"/>
    <w:uiPriority w:val="39"/>
    <w:unhideWhenUsed/>
    <w:pPr>
      <w:ind w:left="1417"/>
      <w:spacing w:after="57"/>
    </w:pPr>
  </w:style>
  <w:style w:type="paragraph" w:styleId="867">
    <w:name w:val="toc 7"/>
    <w:basedOn w:val="692"/>
    <w:next w:val="692"/>
    <w:uiPriority w:val="39"/>
    <w:unhideWhenUsed/>
    <w:pPr>
      <w:ind w:left="1701"/>
      <w:spacing w:after="57"/>
    </w:pPr>
  </w:style>
  <w:style w:type="paragraph" w:styleId="868">
    <w:name w:val="toc 8"/>
    <w:basedOn w:val="692"/>
    <w:next w:val="692"/>
    <w:uiPriority w:val="39"/>
    <w:unhideWhenUsed/>
    <w:pPr>
      <w:ind w:left="1984"/>
      <w:spacing w:after="57"/>
    </w:pPr>
  </w:style>
  <w:style w:type="paragraph" w:styleId="869">
    <w:name w:val="toc 9"/>
    <w:basedOn w:val="692"/>
    <w:next w:val="692"/>
    <w:uiPriority w:val="39"/>
    <w:unhideWhenUsed/>
    <w:pPr>
      <w:ind w:left="2268"/>
      <w:spacing w:after="57"/>
    </w:pPr>
  </w:style>
  <w:style w:type="paragraph" w:styleId="870">
    <w:name w:val="TOC Heading"/>
    <w:uiPriority w:val="39"/>
    <w:unhideWhenUsed/>
  </w:style>
  <w:style w:type="paragraph" w:styleId="871">
    <w:name w:val="table of figures"/>
    <w:basedOn w:val="692"/>
    <w:next w:val="692"/>
    <w:uiPriority w:val="99"/>
    <w:unhideWhenUsed/>
  </w:style>
  <w:style w:type="paragraph" w:styleId="872" w:customStyle="1">
    <w:name w:val="Стиль1"/>
    <w:basedOn w:val="692"/>
    <w:qFormat/>
    <w:rPr>
      <w:sz w:val="24"/>
    </w:rPr>
  </w:style>
  <w:style w:type="character" w:styleId="873" w:customStyle="1">
    <w:name w:val="Заголовок 4 Знак"/>
    <w:link w:val="696"/>
    <w:rPr>
      <w:rFonts w:ascii="Times New Roman" w:hAnsi="Times New Roman" w:eastAsia="Times New Roman"/>
      <w:szCs w:val="20"/>
      <w:lang w:eastAsia="ru-RU"/>
    </w:rPr>
  </w:style>
  <w:style w:type="paragraph" w:styleId="874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75">
    <w:name w:val="Balloon Text"/>
    <w:basedOn w:val="692"/>
    <w:link w:val="876"/>
    <w:uiPriority w:val="99"/>
    <w:semiHidden/>
    <w:unhideWhenUsed/>
    <w:rPr>
      <w:rFonts w:ascii="Tahoma" w:hAnsi="Tahoma" w:cs="Tahoma"/>
      <w:sz w:val="16"/>
      <w:szCs w:val="16"/>
    </w:rPr>
  </w:style>
  <w:style w:type="character" w:styleId="876" w:customStyle="1">
    <w:name w:val="Текст выноски Знак"/>
    <w:link w:val="875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77">
    <w:name w:val="List Paragraph"/>
    <w:basedOn w:val="692"/>
    <w:uiPriority w:val="34"/>
    <w:qFormat/>
    <w:pPr>
      <w:contextualSpacing/>
      <w:ind w:left="720"/>
    </w:pPr>
  </w:style>
  <w:style w:type="paragraph" w:styleId="878" w:customStyle="1">
    <w:name w:val="Знак Знак Знак Знак Знак Знак Знак Знак Знак Знак"/>
    <w:basedOn w:val="69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79" w:customStyle="1">
    <w:name w:val="Знак Знак Знак Знак"/>
    <w:basedOn w:val="69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80" w:customStyle="1">
    <w:name w:val="Знак Знак1 Знак Знак Знак Знак"/>
    <w:basedOn w:val="69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81">
    <w:name w:val="Hyperlink"/>
    <w:basedOn w:val="702"/>
    <w:uiPriority w:val="99"/>
    <w:unhideWhenUsed/>
    <w:rPr>
      <w:color w:val="0000ff" w:themeColor="hyperlink"/>
      <w:u w:val="single"/>
    </w:rPr>
  </w:style>
  <w:style w:type="paragraph" w:styleId="882">
    <w:name w:val="Normal (Web)"/>
    <w:basedOn w:val="692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0E793-607A-43CF-891F-1438C4EA9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10</cp:revision>
  <dcterms:created xsi:type="dcterms:W3CDTF">2024-11-19T06:57:00Z</dcterms:created>
  <dcterms:modified xsi:type="dcterms:W3CDTF">2024-11-26T11:49:40Z</dcterms:modified>
</cp:coreProperties>
</file>