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3"/>
        <w:tabs>
          <w:tab w:val="left" w:pos="5220" w:leader="none"/>
        </w:tabs>
        <w:rPr>
          <w:b w:val="0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42950"/>
                <wp:effectExtent l="0" t="0" r="9525" b="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007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5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 w:val="0"/>
        </w:rPr>
      </w:r>
      <w:r>
        <w:rPr>
          <w:b w:val="0"/>
        </w:rPr>
      </w:r>
    </w:p>
    <w:p>
      <w:pPr>
        <w:pStyle w:val="843"/>
        <w:tabs>
          <w:tab w:val="left" w:pos="5220" w:leader="none"/>
        </w:tabs>
        <w:rPr>
          <w:sz w:val="20"/>
          <w:szCs w:val="16"/>
        </w:rPr>
      </w:pPr>
      <w:r>
        <w:rPr>
          <w:sz w:val="20"/>
          <w:szCs w:val="16"/>
        </w:rPr>
      </w:r>
      <w:r>
        <w:rPr>
          <w:sz w:val="20"/>
          <w:szCs w:val="16"/>
        </w:rPr>
      </w:r>
      <w:r>
        <w:rPr>
          <w:sz w:val="20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о</w:t>
      </w:r>
      <w:r>
        <w:rPr>
          <w:b/>
          <w:bCs/>
          <w:iCs/>
          <w:sz w:val="24"/>
          <w:szCs w:val="24"/>
        </w:rPr>
        <w:t xml:space="preserve">т</w:t>
      </w:r>
      <w:r>
        <w:rPr>
          <w:b/>
          <w:bCs/>
          <w:iCs/>
          <w:sz w:val="24"/>
          <w:szCs w:val="24"/>
          <w:lang w:val="en-US"/>
        </w:rPr>
        <w:t xml:space="preserve"> 30</w:t>
      </w:r>
      <w:r>
        <w:rPr>
          <w:b/>
          <w:bCs/>
          <w:iCs/>
          <w:sz w:val="24"/>
          <w:szCs w:val="24"/>
          <w:lang w:val="ru-RU"/>
        </w:rPr>
        <w:t xml:space="preserve">.</w:t>
      </w:r>
      <w:r>
        <w:rPr>
          <w:b/>
          <w:bCs/>
          <w:iCs/>
          <w:sz w:val="24"/>
          <w:szCs w:val="24"/>
          <w:lang w:val="en-US"/>
        </w:rPr>
        <w:t xml:space="preserve">10</w:t>
      </w:r>
      <w:r>
        <w:rPr>
          <w:b/>
          <w:bCs/>
          <w:iCs/>
          <w:sz w:val="24"/>
          <w:szCs w:val="24"/>
          <w:lang w:val="ru-RU"/>
        </w:rPr>
        <w:t xml:space="preserve">.</w:t>
      </w:r>
      <w:r>
        <w:rPr>
          <w:b/>
          <w:bCs/>
          <w:iCs/>
          <w:sz w:val="24"/>
          <w:szCs w:val="24"/>
          <w:lang w:val="en-US"/>
        </w:rPr>
        <w:t xml:space="preserve">2024 </w:t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 xml:space="preserve"> №</w:t>
      </w:r>
      <w:r>
        <w:rPr>
          <w:b/>
          <w:bCs/>
          <w:iCs/>
          <w:sz w:val="24"/>
          <w:szCs w:val="24"/>
        </w:rPr>
        <w:t xml:space="preserve"> 1685</w:t>
      </w:r>
      <w:r>
        <w:rPr>
          <w:b/>
          <w:bCs/>
          <w:iCs/>
          <w:sz w:val="24"/>
          <w:szCs w:val="24"/>
        </w:rPr>
      </w:r>
      <w:r>
        <w:rPr>
          <w:b/>
          <w:bCs/>
          <w:iCs/>
          <w:sz w:val="24"/>
          <w:szCs w:val="24"/>
        </w:rPr>
      </w:r>
    </w:p>
    <w:p>
      <w:pPr>
        <w:jc w:val="center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п.г.т. Никель</w:t>
      </w:r>
      <w:r>
        <w:rPr>
          <w:b/>
          <w:bCs/>
          <w:iCs/>
          <w:sz w:val="24"/>
          <w:szCs w:val="24"/>
        </w:rPr>
      </w:r>
      <w:r>
        <w:rPr>
          <w:b/>
          <w:bCs/>
          <w:iCs/>
          <w:sz w:val="24"/>
          <w:szCs w:val="24"/>
        </w:rPr>
      </w:r>
    </w:p>
    <w:p>
      <w:pPr>
        <w:pStyle w:val="837"/>
        <w:jc w:val="center"/>
        <w:widowControl/>
        <w:rPr>
          <w:rFonts w:ascii="Times New Roman" w:hAnsi="Times New Roman" w:cs="Times New Roman"/>
          <w:b w:val="0"/>
          <w:sz w:val="24"/>
          <w:szCs w:val="24"/>
        </w:rPr>
        <w:outlineLvl w:val="0"/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37"/>
        <w:jc w:val="center"/>
        <w:widowControl/>
        <w:rPr>
          <w:rFonts w:ascii="Times New Roman" w:hAnsi="Times New Roman" w:cs="Times New Roman"/>
          <w:b w:val="0"/>
          <w:sz w:val="24"/>
          <w:szCs w:val="24"/>
        </w:rPr>
        <w:outlineLvl w:val="0"/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48"/>
        <w:jc w:val="center"/>
        <w:rPr>
          <w:b/>
          <w:color w:val="000000" w:themeColor="text1"/>
          <w:sz w:val="20"/>
          <w:szCs w:val="20"/>
        </w:rPr>
      </w:pPr>
      <w:r>
        <w:rPr>
          <w:b/>
          <w:sz w:val="20"/>
          <w:szCs w:val="20"/>
        </w:rPr>
        <w:t xml:space="preserve">О</w:t>
      </w:r>
      <w:r>
        <w:rPr>
          <w:b/>
          <w:sz w:val="20"/>
          <w:szCs w:val="20"/>
        </w:rPr>
        <w:t xml:space="preserve"> внесении изменений </w:t>
      </w:r>
      <w:r>
        <w:rPr>
          <w:b/>
          <w:sz w:val="20"/>
          <w:szCs w:val="20"/>
        </w:rPr>
        <w:t xml:space="preserve">в </w:t>
      </w:r>
      <w:r>
        <w:rPr>
          <w:b/>
          <w:bCs/>
          <w:iCs/>
          <w:sz w:val="20"/>
          <w:szCs w:val="20"/>
        </w:rPr>
        <w:t xml:space="preserve">примерное Положение </w:t>
      </w:r>
      <w:r>
        <w:rPr>
          <w:b/>
          <w:bCs/>
          <w:iCs/>
          <w:sz w:val="20"/>
          <w:szCs w:val="20"/>
        </w:rPr>
        <w:t xml:space="preserve">об </w:t>
      </w:r>
      <w:r>
        <w:rPr>
          <w:b/>
          <w:bCs/>
          <w:sz w:val="20"/>
          <w:szCs w:val="20"/>
        </w:rPr>
        <w:t xml:space="preserve">оплате труда работников муниципальных учреждений Печенгского муниципального округа, осуществляющих профессиональную деятельность</w:t>
      </w:r>
      <w:r>
        <w:rPr>
          <w:b/>
          <w:bCs/>
          <w:sz w:val="20"/>
          <w:szCs w:val="20"/>
        </w:rPr>
        <w:br/>
      </w:r>
      <w:r>
        <w:rPr>
          <w:b/>
          <w:bCs/>
          <w:sz w:val="20"/>
          <w:szCs w:val="20"/>
        </w:rPr>
        <w:t xml:space="preserve"> по общеотраслевым должностям служащих и по общеотраслевым профессиям рабочих</w:t>
      </w:r>
      <w:r>
        <w:rPr>
          <w:b/>
          <w:color w:val="000000" w:themeColor="text1"/>
          <w:sz w:val="20"/>
          <w:szCs w:val="20"/>
        </w:rPr>
        <w:t xml:space="preserve">,</w:t>
      </w:r>
      <w:r>
        <w:rPr>
          <w:b/>
          <w:color w:val="000000" w:themeColor="text1"/>
          <w:sz w:val="20"/>
          <w:szCs w:val="20"/>
        </w:rPr>
      </w:r>
      <w:r>
        <w:rPr>
          <w:b/>
          <w:color w:val="000000" w:themeColor="text1"/>
          <w:sz w:val="20"/>
          <w:szCs w:val="20"/>
        </w:rPr>
      </w:r>
    </w:p>
    <w:p>
      <w:pPr>
        <w:pStyle w:val="848"/>
        <w:jc w:val="center"/>
        <w:rPr>
          <w:b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 xml:space="preserve">утвержденное </w:t>
      </w:r>
      <w:r>
        <w:rPr>
          <w:b/>
          <w:sz w:val="20"/>
          <w:szCs w:val="20"/>
        </w:rPr>
        <w:t xml:space="preserve">постановление</w:t>
      </w:r>
      <w:r>
        <w:rPr>
          <w:b/>
          <w:sz w:val="20"/>
          <w:szCs w:val="20"/>
        </w:rPr>
        <w:t xml:space="preserve">м администрации</w:t>
      </w:r>
      <w:r>
        <w:rPr>
          <w:b/>
          <w:sz w:val="20"/>
          <w:szCs w:val="20"/>
        </w:rPr>
        <w:t xml:space="preserve"> Печенгского муниципального округа </w:t>
        <w:br/>
      </w:r>
      <w:r>
        <w:rPr>
          <w:b/>
          <w:sz w:val="20"/>
          <w:szCs w:val="20"/>
        </w:rPr>
        <w:t xml:space="preserve">от </w:t>
      </w:r>
      <w:r>
        <w:rPr>
          <w:b/>
          <w:sz w:val="20"/>
          <w:szCs w:val="20"/>
        </w:rPr>
        <w:t xml:space="preserve">25</w:t>
      </w:r>
      <w:r>
        <w:rPr>
          <w:b/>
          <w:sz w:val="20"/>
          <w:szCs w:val="20"/>
        </w:rPr>
        <w:t xml:space="preserve">.</w:t>
      </w:r>
      <w:r>
        <w:rPr>
          <w:b/>
          <w:sz w:val="20"/>
          <w:szCs w:val="20"/>
        </w:rPr>
        <w:t xml:space="preserve">11</w:t>
      </w:r>
      <w:r>
        <w:rPr>
          <w:b/>
          <w:sz w:val="20"/>
          <w:szCs w:val="20"/>
        </w:rPr>
        <w:t xml:space="preserve">.2022 № </w:t>
      </w:r>
      <w:r>
        <w:rPr>
          <w:b/>
          <w:sz w:val="20"/>
          <w:szCs w:val="20"/>
        </w:rPr>
        <w:t xml:space="preserve">1600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pStyle w:val="8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1"/>
        <w:ind w:firstLine="700"/>
        <w:jc w:val="both"/>
        <w:rPr>
          <w:rFonts w:eastAsiaTheme="minorHAnsi"/>
          <w:sz w:val="24"/>
          <w:szCs w:val="24"/>
        </w:rPr>
      </w:pP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цел</w:t>
      </w:r>
      <w:r>
        <w:rPr>
          <w:sz w:val="24"/>
          <w:szCs w:val="24"/>
        </w:rPr>
        <w:t xml:space="preserve">ях единообразного подхода к системе оплаты труда</w:t>
      </w:r>
      <w:r>
        <w:rPr>
          <w:rFonts w:eastAsiaTheme="minorHAnsi"/>
          <w:sz w:val="24"/>
          <w:szCs w:val="24"/>
        </w:rPr>
      </w:r>
      <w:r>
        <w:rPr>
          <w:rFonts w:eastAsiaTheme="minorHAnsi"/>
          <w:sz w:val="24"/>
          <w:szCs w:val="24"/>
        </w:rPr>
      </w:r>
    </w:p>
    <w:p>
      <w:pPr>
        <w:pStyle w:val="83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835"/>
        <w:jc w:val="both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pStyle w:val="83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Внес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и в </w:t>
      </w:r>
      <w:r>
        <w:rPr>
          <w:sz w:val="24"/>
          <w:szCs w:val="24"/>
        </w:rPr>
        <w:t xml:space="preserve">примерное </w:t>
      </w:r>
      <w:hyperlink w:tooltip="#P51" w:anchor="P51" w:history="1">
        <w:r>
          <w:rPr>
            <w:color w:val="000000" w:themeColor="text1"/>
            <w:sz w:val="24"/>
            <w:szCs w:val="24"/>
          </w:rPr>
          <w:t xml:space="preserve">П</w:t>
        </w:r>
        <w:r>
          <w:rPr>
            <w:color w:val="000000" w:themeColor="text1"/>
            <w:sz w:val="24"/>
            <w:szCs w:val="24"/>
          </w:rPr>
          <w:t xml:space="preserve">оложение</w:t>
        </w:r>
      </w:hyperlink>
      <w:r>
        <w:rPr>
          <w:color w:val="000000" w:themeColor="text1"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 xml:space="preserve">об </w:t>
      </w:r>
      <w:r>
        <w:rPr>
          <w:bCs/>
          <w:sz w:val="24"/>
          <w:szCs w:val="24"/>
        </w:rPr>
        <w:t xml:space="preserve">оплате труда работников муниципальных учреждений Печенгского муниципального округа, осуществляющих профессиональную деятельность по общеотраслевым должностям служащих и по общеотраслевым профессиям рабочих</w:t>
      </w:r>
      <w:r>
        <w:rPr>
          <w:color w:val="000000" w:themeColor="text1"/>
          <w:sz w:val="24"/>
          <w:szCs w:val="24"/>
        </w:rPr>
        <w:t xml:space="preserve">,</w:t>
      </w:r>
      <w:r>
        <w:rPr>
          <w:color w:val="000000" w:themeColor="text1"/>
          <w:sz w:val="24"/>
          <w:szCs w:val="24"/>
        </w:rPr>
        <w:t xml:space="preserve"> утвержденное </w:t>
      </w:r>
      <w:r>
        <w:rPr>
          <w:sz w:val="24"/>
          <w:szCs w:val="24"/>
        </w:rPr>
        <w:t xml:space="preserve">постановление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 администрации Печенгского муниципального округа от </w:t>
      </w:r>
      <w:r>
        <w:rPr>
          <w:sz w:val="24"/>
          <w:szCs w:val="24"/>
        </w:rPr>
        <w:t xml:space="preserve">25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11</w:t>
      </w:r>
      <w:r>
        <w:rPr>
          <w:sz w:val="24"/>
          <w:szCs w:val="24"/>
        </w:rPr>
        <w:t xml:space="preserve">.2022 № </w:t>
      </w:r>
      <w:r>
        <w:rPr>
          <w:sz w:val="24"/>
          <w:szCs w:val="24"/>
        </w:rPr>
        <w:t xml:space="preserve">1600</w:t>
      </w:r>
      <w:r>
        <w:rPr>
          <w:sz w:val="24"/>
          <w:szCs w:val="24"/>
        </w:rPr>
        <w:t xml:space="preserve"> «Об утверждении примерного Положения об оплате труда работников муниципальных учреждений Печенгского муниципального округа, осуществляющих профессиональную деятельность по общеотраслевым должностям служащих и</w:t>
      </w:r>
      <w:r>
        <w:rPr>
          <w:sz w:val="24"/>
          <w:szCs w:val="24"/>
        </w:rPr>
        <w:t xml:space="preserve"> по</w:t>
      </w:r>
      <w:r>
        <w:rPr>
          <w:sz w:val="24"/>
          <w:szCs w:val="24"/>
        </w:rPr>
        <w:t xml:space="preserve"> общеотраслевым профессиям рабочих» (далее – П</w:t>
      </w:r>
      <w:r>
        <w:rPr>
          <w:sz w:val="24"/>
          <w:szCs w:val="24"/>
        </w:rPr>
        <w:t xml:space="preserve">оложение</w:t>
      </w:r>
      <w:r>
        <w:rPr>
          <w:sz w:val="24"/>
          <w:szCs w:val="24"/>
        </w:rPr>
        <w:t xml:space="preserve">)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1.1. А</w:t>
      </w:r>
      <w:r>
        <w:rPr>
          <w:sz w:val="24"/>
          <w:szCs w:val="24"/>
        </w:rPr>
        <w:t xml:space="preserve">бзац 22 раздела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По</w:t>
      </w:r>
      <w:r>
        <w:rPr>
          <w:sz w:val="24"/>
          <w:szCs w:val="24"/>
        </w:rPr>
        <w:t xml:space="preserve">ложения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При увольнении работника по собственному желанию работник лишается права на получение премии по итогам работы за период (квартал, год).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 увольнении работника по собственному желанию работник не лишается права на получение премии по итогам работы за месяц.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Раздел</w:t>
      </w:r>
      <w:r>
        <w:rPr>
          <w:sz w:val="24"/>
          <w:szCs w:val="24"/>
        </w:rPr>
        <w:t xml:space="preserve"> 3 Положения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За</w:t>
      </w:r>
      <w:bookmarkStart w:id="0" w:name="_GoBack"/>
      <w:r>
        <w:rPr>
          <w:sz w:val="24"/>
          <w:szCs w:val="24"/>
        </w:rPr>
      </w:r>
      <w:bookmarkEnd w:id="0"/>
      <w:r>
        <w:rPr>
          <w:sz w:val="24"/>
          <w:szCs w:val="24"/>
        </w:rPr>
        <w:t xml:space="preserve">работная плата руководителей учреждений (за исключением учреждений образования, дополнительного образования, культуры </w:t>
      </w:r>
      <w:r>
        <w:rPr>
          <w:sz w:val="24"/>
          <w:szCs w:val="24"/>
        </w:rPr>
        <w:t xml:space="preserve">и спорта), их заместителей и главных бухгалтеров состоит из должностного оклада, выплат компенсационного и стимулирующего характера и иных выплат, предусмотренных законодательством Российской Федерации, Мурманской области и муниципальными правовыми актами.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Должностной оклад руководителей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(за исключением учреждений образования, дополнительного образования, культуры и спорта)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условия и размеры выплат компенсационного и стимулирующего характера и иных выплат к должностному окладу устанавливаются в трудовом договоре (дополнительном соглашении к трудовому договору) с </w:t>
      </w:r>
      <w:r>
        <w:rPr>
          <w:sz w:val="24"/>
          <w:szCs w:val="24"/>
        </w:rPr>
        <w:t xml:space="preserve">работодателем в лице Главы Печенгского муниципального 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Условия оплаты труда ру</w:t>
      </w:r>
      <w:r>
        <w:rPr>
          <w:sz w:val="24"/>
          <w:szCs w:val="24"/>
        </w:rPr>
        <w:t xml:space="preserve">ководителя учреждения устанавливаются в трудовом договоре (дополнительном соглашении к трудовому договору), оформляемом в соответствии с типовой формой трудового договора с руководителем муниципального учреждения, утвержденной постановлением Правительства </w:t>
      </w:r>
      <w:r>
        <w:rPr>
          <w:sz w:val="24"/>
          <w:szCs w:val="24"/>
        </w:rPr>
        <w:t xml:space="preserve">Мурманской области от 27.01.</w:t>
      </w:r>
      <w:r>
        <w:rPr>
          <w:sz w:val="24"/>
          <w:szCs w:val="24"/>
        </w:rPr>
        <w:t xml:space="preserve">2011 № 21-ПП «О положениях об осуществлении исполнительными</w:t>
      </w:r>
      <w:r>
        <w:rPr>
          <w:sz w:val="24"/>
          <w:szCs w:val="24"/>
        </w:rPr>
        <w:t xml:space="preserve"> органами Мурманской области</w:t>
      </w:r>
      <w:r>
        <w:rPr>
          <w:sz w:val="24"/>
          <w:szCs w:val="24"/>
        </w:rPr>
        <w:t xml:space="preserve"> функций и полномочий учредителя государственного областного </w:t>
      </w:r>
      <w:r>
        <w:rPr>
          <w:sz w:val="24"/>
          <w:szCs w:val="24"/>
        </w:rPr>
        <w:t xml:space="preserve">учреждения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устанавливается органом, осуществляющим функции и полномочия учредителя, в зависимости от сложности труда, в том числе с учетом масштаба управления и особенностей деятельности и значимости муниципального учреждения.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Порядок определ</w:t>
      </w:r>
      <w:r>
        <w:rPr>
          <w:sz w:val="24"/>
          <w:szCs w:val="24"/>
        </w:rPr>
        <w:t xml:space="preserve">ения должностного оклада руководителей учреждений, условия и размеры выплат компенсационного и стимулирующего характера и иных выплат к должностному окладу устанавливаются в положении об оплате труда работников учреждения на основании настоящего Положения.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Должностные оклады заместителей руководителей и главных бухгалтеров учреждений устанавливаются на 10 - 30 процентов ниже должностных окладов руководителей этих учреждений.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Выплаты стимулирующего характера </w:t>
      </w:r>
      <w:r>
        <w:rPr>
          <w:sz w:val="24"/>
          <w:szCs w:val="24"/>
        </w:rPr>
        <w:t xml:space="preserve">устанавливаются для руководителей, заместителей руководителей и главных бухгалтеров</w:t>
      </w:r>
      <w:r>
        <w:rPr>
          <w:sz w:val="24"/>
          <w:szCs w:val="24"/>
        </w:rPr>
        <w:t xml:space="preserve"> в соответствии с Положением.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Выплаты компенсацион</w:t>
      </w:r>
      <w:r>
        <w:rPr>
          <w:sz w:val="24"/>
          <w:szCs w:val="24"/>
        </w:rPr>
        <w:t xml:space="preserve">ного характера устанавливаются для руководителей, заместителей руководителей и главных бухгалтеров в процентном отношении к должностным окладам или в абсолютных размерах, если иное не установлено законодательством Российской Федерации и Мурманской области.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Предельный уровень соотношения среднемесячной заработной платы руководителей, заместителе</w:t>
      </w:r>
      <w:r>
        <w:rPr>
          <w:sz w:val="24"/>
          <w:szCs w:val="24"/>
        </w:rPr>
        <w:t xml:space="preserve">й руководителей и главных бухгалтеров устанавливается через определение соотношения среднемесячной заработной платы руководителей, заместителей руководителей и главных бухгалтеров и среднемесячной заработной платы работников учреждений, формируемой за счет</w:t>
      </w:r>
      <w:r>
        <w:rPr>
          <w:sz w:val="24"/>
          <w:szCs w:val="24"/>
        </w:rPr>
        <w:t xml:space="preserve"> всех источников финансового обеспечения и рассчитываемой за календарный год. Предельный уровень соотношения среднемесячной заработной платы руководителей, заместителей руководителей и главных бухгалтеров и работников учреждения определяется в кратности 8.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bCs/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В п</w:t>
      </w:r>
      <w:r>
        <w:rPr>
          <w:sz w:val="24"/>
          <w:szCs w:val="24"/>
        </w:rPr>
        <w:t xml:space="preserve">риложени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к </w:t>
      </w:r>
      <w:r>
        <w:rPr>
          <w:sz w:val="24"/>
          <w:szCs w:val="24"/>
        </w:rPr>
        <w:t xml:space="preserve">примерному </w:t>
      </w:r>
      <w:r>
        <w:rPr>
          <w:sz w:val="24"/>
          <w:szCs w:val="24"/>
        </w:rPr>
        <w:t xml:space="preserve">Положению</w:t>
      </w:r>
      <w:r>
        <w:rPr>
          <w:sz w:val="24"/>
          <w:szCs w:val="24"/>
        </w:rPr>
        <w:t xml:space="preserve"> таблицу </w:t>
      </w:r>
      <w:r>
        <w:rPr>
          <w:sz w:val="24"/>
          <w:szCs w:val="24"/>
        </w:rPr>
        <w:t xml:space="preserve">«</w:t>
      </w:r>
      <w:r>
        <w:rPr>
          <w:bCs/>
          <w:sz w:val="24"/>
          <w:szCs w:val="24"/>
        </w:rPr>
        <w:t xml:space="preserve">М</w:t>
      </w:r>
      <w:r>
        <w:rPr>
          <w:bCs/>
          <w:sz w:val="24"/>
          <w:szCs w:val="24"/>
        </w:rPr>
        <w:t xml:space="preserve">инимальные размеры окладов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по должностям, не отнесенным к профессиональным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квалификационным группам» </w:t>
      </w:r>
      <w:r>
        <w:rPr>
          <w:color w:val="000000" w:themeColor="text1"/>
          <w:sz w:val="24"/>
          <w:szCs w:val="24"/>
        </w:rPr>
        <w:t xml:space="preserve">изложить в следующей редакции</w:t>
      </w:r>
      <w:r>
        <w:rPr>
          <w:color w:val="000000" w:themeColor="text1"/>
          <w:sz w:val="24"/>
          <w:szCs w:val="24"/>
        </w:rPr>
        <w:t xml:space="preserve"> согласно приложению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к настоящему постановлению.</w:t>
      </w:r>
      <w:r>
        <w:rPr>
          <w:color w:val="000000" w:themeColor="text1"/>
          <w:sz w:val="24"/>
          <w:szCs w:val="24"/>
        </w:rPr>
        <w:t xml:space="preserve">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Настоящее постановление вступает в силу </w:t>
      </w:r>
      <w:r>
        <w:rPr>
          <w:sz w:val="24"/>
          <w:szCs w:val="24"/>
        </w:rPr>
        <w:t xml:space="preserve">с </w:t>
      </w:r>
      <w:r>
        <w:rPr>
          <w:sz w:val="24"/>
          <w:szCs w:val="24"/>
        </w:rPr>
        <w:t xml:space="preserve">01.01.2025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Морозова М.Е.</w:t>
      </w:r>
      <w:r>
        <w:rPr>
          <w:rFonts w:ascii="Times New Roman" w:hAnsi="Times New Roman" w:cs="Times New Roman"/>
          <w:sz w:val="16"/>
          <w:szCs w:val="16"/>
        </w:rPr>
        <w:t xml:space="preserve">,</w:t>
      </w:r>
      <w:r>
        <w:rPr>
          <w:rFonts w:ascii="Times New Roman" w:hAnsi="Times New Roman" w:cs="Times New Roman"/>
          <w:sz w:val="16"/>
          <w:szCs w:val="16"/>
        </w:rPr>
        <w:t xml:space="preserve"> 50179</w:t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ind w:left="5528" w:right="0" w:firstLine="0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от</w:t>
      </w:r>
      <w:r>
        <w:rPr>
          <w:sz w:val="24"/>
          <w:szCs w:val="24"/>
        </w:rPr>
        <w:t xml:space="preserve"> 30.10.2024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1685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5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caps/>
          <w:sz w:val="24"/>
          <w:szCs w:val="24"/>
        </w:rPr>
      </w:r>
      <w:r>
        <w:rPr>
          <w:rFonts w:ascii="Times New Roman" w:hAnsi="Times New Roman" w:cs="Times New Roman"/>
          <w:b/>
          <w:caps/>
          <w:sz w:val="24"/>
          <w:szCs w:val="24"/>
        </w:rPr>
      </w:r>
      <w:r>
        <w:rPr>
          <w:rFonts w:ascii="Times New Roman" w:hAnsi="Times New Roman" w:cs="Times New Roman"/>
          <w:b/>
          <w:bCs/>
          <w:caps/>
          <w:sz w:val="24"/>
          <w:szCs w:val="24"/>
        </w:rPr>
      </w:r>
    </w:p>
    <w:p>
      <w:pPr>
        <w:pStyle w:val="835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caps/>
          <w:sz w:val="24"/>
          <w:szCs w:val="24"/>
        </w:rPr>
      </w:r>
      <w:r>
        <w:rPr>
          <w:rFonts w:ascii="Times New Roman" w:hAnsi="Times New Roman" w:cs="Times New Roman"/>
          <w:b/>
          <w:bCs/>
          <w:caps/>
          <w:sz w:val="24"/>
          <w:szCs w:val="24"/>
        </w:rPr>
      </w:r>
      <w:r>
        <w:rPr>
          <w:rFonts w:ascii="Times New Roman" w:hAnsi="Times New Roman" w:cs="Times New Roman"/>
          <w:b/>
          <w:bCs/>
          <w:caps/>
          <w:sz w:val="24"/>
          <w:szCs w:val="24"/>
        </w:rPr>
      </w:r>
    </w:p>
    <w:p>
      <w:pPr>
        <w:jc w:val="center"/>
        <w:rPr>
          <w:rFonts w:eastAsiaTheme="minorHAnsi"/>
          <w:b/>
          <w:bCs/>
          <w:lang w:eastAsia="en-US"/>
        </w:rPr>
        <w:outlineLvl w:val="0"/>
      </w:pPr>
      <w:r>
        <w:rPr>
          <w:rFonts w:eastAsiaTheme="minorHAnsi"/>
          <w:b/>
          <w:bCs/>
          <w:sz w:val="24"/>
          <w:szCs w:val="24"/>
          <w:lang w:eastAsia="en-US"/>
        </w:rPr>
        <w:t xml:space="preserve">МИНИМАЛЬНЫЕ РАЗМЕРЫ</w:t>
      </w:r>
      <w:r>
        <w:rPr>
          <w:rFonts w:eastAsiaTheme="minorHAnsi"/>
          <w:b/>
          <w:bCs/>
          <w:sz w:val="24"/>
          <w:szCs w:val="24"/>
          <w:lang w:eastAsia="en-US"/>
        </w:rPr>
        <w:t xml:space="preserve"> </w:t>
      </w:r>
      <w:r>
        <w:rPr>
          <w:rFonts w:eastAsiaTheme="minorHAnsi"/>
          <w:b/>
          <w:bCs/>
          <w:sz w:val="24"/>
          <w:szCs w:val="24"/>
          <w:lang w:eastAsia="en-US"/>
        </w:rPr>
        <w:t xml:space="preserve">ОКЛАДОВ</w:t>
      </w:r>
      <w:r>
        <w:rPr>
          <w:rFonts w:eastAsiaTheme="minorHAnsi"/>
          <w:b/>
          <w:bCs/>
          <w:lang w:eastAsia="en-US"/>
        </w:rPr>
      </w:r>
      <w:r>
        <w:rPr>
          <w:rFonts w:eastAsiaTheme="minorHAnsi"/>
          <w:b/>
          <w:bCs/>
          <w:lang w:eastAsia="en-US"/>
        </w:rPr>
      </w:r>
    </w:p>
    <w:p>
      <w:pPr>
        <w:jc w:val="center"/>
        <w:rPr>
          <w:rFonts w:eastAsiaTheme="minorHAnsi"/>
          <w:bCs/>
          <w:sz w:val="24"/>
          <w:szCs w:val="24"/>
          <w:lang w:eastAsia="en-US"/>
        </w:rPr>
        <w:outlineLvl w:val="0"/>
      </w:pPr>
      <w:r>
        <w:rPr>
          <w:rFonts w:eastAsiaTheme="minorHAnsi"/>
          <w:bCs/>
          <w:sz w:val="24"/>
          <w:szCs w:val="24"/>
          <w:lang w:eastAsia="en-US"/>
        </w:rPr>
        <w:t xml:space="preserve">по должностям, не отнесенным к профессиональным</w:t>
      </w:r>
      <w:r>
        <w:rPr>
          <w:rFonts w:eastAsiaTheme="minorHAnsi"/>
          <w:bCs/>
          <w:sz w:val="24"/>
          <w:szCs w:val="24"/>
          <w:lang w:eastAsia="en-US"/>
        </w:rPr>
      </w:r>
      <w:r>
        <w:rPr>
          <w:rFonts w:eastAsiaTheme="minorHAnsi"/>
          <w:bCs/>
          <w:sz w:val="24"/>
          <w:szCs w:val="24"/>
          <w:lang w:eastAsia="en-US"/>
        </w:rPr>
      </w:r>
    </w:p>
    <w:p>
      <w:pPr>
        <w:jc w:val="center"/>
        <w:rPr>
          <w:rFonts w:eastAsiaTheme="minorHAnsi"/>
          <w:bCs/>
          <w:sz w:val="24"/>
          <w:szCs w:val="24"/>
          <w:lang w:eastAsia="en-US"/>
        </w:rPr>
      </w:pPr>
      <w:r>
        <w:rPr>
          <w:rFonts w:eastAsiaTheme="minorHAnsi"/>
          <w:bCs/>
          <w:sz w:val="24"/>
          <w:szCs w:val="24"/>
          <w:lang w:eastAsia="en-US"/>
        </w:rPr>
        <w:t xml:space="preserve">квалификационным группам</w:t>
      </w:r>
      <w:r>
        <w:rPr>
          <w:rFonts w:eastAsiaTheme="minorHAnsi"/>
          <w:bCs/>
          <w:sz w:val="24"/>
          <w:szCs w:val="24"/>
          <w:lang w:eastAsia="en-US"/>
        </w:rPr>
      </w:r>
      <w:r>
        <w:rPr>
          <w:rFonts w:eastAsiaTheme="minorHAnsi"/>
          <w:bCs/>
          <w:sz w:val="24"/>
          <w:szCs w:val="24"/>
          <w:lang w:eastAsia="en-US"/>
        </w:rPr>
      </w:r>
    </w:p>
    <w:p>
      <w:pPr>
        <w:jc w:val="center"/>
        <w:rPr>
          <w:rFonts w:eastAsiaTheme="minorHAnsi"/>
          <w:bCs/>
          <w:sz w:val="24"/>
          <w:szCs w:val="24"/>
          <w:lang w:eastAsia="en-US"/>
        </w:rPr>
      </w:pPr>
      <w:r>
        <w:rPr>
          <w:rFonts w:eastAsiaTheme="minorHAnsi"/>
          <w:bCs/>
          <w:sz w:val="24"/>
          <w:szCs w:val="24"/>
          <w:lang w:eastAsia="en-US"/>
        </w:rPr>
      </w:r>
      <w:r>
        <w:rPr>
          <w:rFonts w:eastAsiaTheme="minorHAnsi"/>
          <w:bCs/>
          <w:sz w:val="24"/>
          <w:szCs w:val="24"/>
          <w:lang w:eastAsia="en-US"/>
        </w:rPr>
      </w:r>
      <w:r>
        <w:rPr>
          <w:rFonts w:eastAsiaTheme="minorHAnsi"/>
          <w:bCs/>
          <w:sz w:val="24"/>
          <w:szCs w:val="24"/>
          <w:lang w:eastAsia="en-US"/>
        </w:rPr>
      </w:r>
    </w:p>
    <w:tbl>
      <w:tblPr>
        <w:tblW w:w="956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6973"/>
        <w:gridCol w:w="2587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73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  <w:outlineLvl w:val="0"/>
            </w:pPr>
            <w:r>
              <w:rPr>
                <w:b/>
                <w:bCs/>
              </w:rPr>
              <w:t xml:space="preserve">Должности, не отнесенные к профессиональным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квалификационным группам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87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Минимальный размер должностного оклада (рублей)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73" w:type="dxa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Заместитель начальника структурного подразделения (отдела)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87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10357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73" w:type="dxa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Заместитель главного бухгалтера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87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10989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</w:tbl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Примечание: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 Минимальный размер оклад</w:t>
      </w:r>
      <w:r>
        <w:rPr>
          <w:sz w:val="24"/>
          <w:szCs w:val="24"/>
        </w:rPr>
        <w:t xml:space="preserve">а работника устанавливается по соответствующим профессиональным квалификационным группам с учетом требований к профессиональной подготовке и уровню квалификации, установленных Квалификационным справочником должностей руководителей, специалистов и служащих.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 Установление минимальных размеров окладов иных должностей работников, отсутствующих в таблице, осуществляется на основании отнесения к соответствующим </w:t>
      </w:r>
      <w:hyperlink r:id="rId10" w:tooltip="consultantplus://offline/main?base=LAW;n=84164;fld=134;dst=100009" w:history="1">
        <w:r>
          <w:rPr>
            <w:sz w:val="24"/>
            <w:szCs w:val="24"/>
          </w:rPr>
          <w:t xml:space="preserve">профессиональным квалификационным группам</w:t>
        </w:r>
      </w:hyperlink>
      <w:r>
        <w:rPr>
          <w:sz w:val="24"/>
          <w:szCs w:val="24"/>
        </w:rPr>
        <w:t xml:space="preserve">, утвержденным Приказом Минздравсоцразвития РФ от 29.05.2008 № 247Н «Об утверждении профессиональных квалификационных групп общеотраслевых должностей руководителей, специалистов и служащих».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shd w:val="nil" w:color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  <w:bCs/>
        </w:rPr>
      </w:r>
    </w:p>
    <w:sectPr>
      <w:footnotePr/>
      <w:endnotePr/>
      <w:type w:val="nextPage"/>
      <w:pgSz w:w="11905" w:h="16838" w:orient="portrait"/>
      <w:pgMar w:top="1134" w:right="850" w:bottom="1134" w:left="1701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7">
    <w:name w:val="Heading 1"/>
    <w:basedOn w:val="831"/>
    <w:next w:val="831"/>
    <w:link w:val="65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8">
    <w:name w:val="Heading 1 Char"/>
    <w:basedOn w:val="832"/>
    <w:link w:val="657"/>
    <w:uiPriority w:val="9"/>
    <w:rPr>
      <w:rFonts w:ascii="Arial" w:hAnsi="Arial" w:eastAsia="Arial" w:cs="Arial"/>
      <w:sz w:val="40"/>
      <w:szCs w:val="40"/>
    </w:rPr>
  </w:style>
  <w:style w:type="paragraph" w:styleId="659">
    <w:name w:val="Heading 2"/>
    <w:basedOn w:val="831"/>
    <w:next w:val="831"/>
    <w:link w:val="66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0">
    <w:name w:val="Heading 2 Char"/>
    <w:basedOn w:val="832"/>
    <w:link w:val="659"/>
    <w:uiPriority w:val="9"/>
    <w:rPr>
      <w:rFonts w:ascii="Arial" w:hAnsi="Arial" w:eastAsia="Arial" w:cs="Arial"/>
      <w:sz w:val="34"/>
    </w:rPr>
  </w:style>
  <w:style w:type="paragraph" w:styleId="661">
    <w:name w:val="Heading 3"/>
    <w:basedOn w:val="831"/>
    <w:next w:val="831"/>
    <w:link w:val="66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2">
    <w:name w:val="Heading 3 Char"/>
    <w:basedOn w:val="832"/>
    <w:link w:val="661"/>
    <w:uiPriority w:val="9"/>
    <w:rPr>
      <w:rFonts w:ascii="Arial" w:hAnsi="Arial" w:eastAsia="Arial" w:cs="Arial"/>
      <w:sz w:val="30"/>
      <w:szCs w:val="30"/>
    </w:rPr>
  </w:style>
  <w:style w:type="paragraph" w:styleId="663">
    <w:name w:val="Heading 4"/>
    <w:basedOn w:val="831"/>
    <w:next w:val="831"/>
    <w:link w:val="66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4">
    <w:name w:val="Heading 4 Char"/>
    <w:basedOn w:val="832"/>
    <w:link w:val="663"/>
    <w:uiPriority w:val="9"/>
    <w:rPr>
      <w:rFonts w:ascii="Arial" w:hAnsi="Arial" w:eastAsia="Arial" w:cs="Arial"/>
      <w:b/>
      <w:bCs/>
      <w:sz w:val="26"/>
      <w:szCs w:val="26"/>
    </w:rPr>
  </w:style>
  <w:style w:type="paragraph" w:styleId="665">
    <w:name w:val="Heading 5"/>
    <w:basedOn w:val="831"/>
    <w:next w:val="831"/>
    <w:link w:val="66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6">
    <w:name w:val="Heading 5 Char"/>
    <w:basedOn w:val="832"/>
    <w:link w:val="665"/>
    <w:uiPriority w:val="9"/>
    <w:rPr>
      <w:rFonts w:ascii="Arial" w:hAnsi="Arial" w:eastAsia="Arial" w:cs="Arial"/>
      <w:b/>
      <w:bCs/>
      <w:sz w:val="24"/>
      <w:szCs w:val="24"/>
    </w:rPr>
  </w:style>
  <w:style w:type="paragraph" w:styleId="667">
    <w:name w:val="Heading 6"/>
    <w:basedOn w:val="831"/>
    <w:next w:val="831"/>
    <w:link w:val="66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8">
    <w:name w:val="Heading 6 Char"/>
    <w:basedOn w:val="832"/>
    <w:link w:val="667"/>
    <w:uiPriority w:val="9"/>
    <w:rPr>
      <w:rFonts w:ascii="Arial" w:hAnsi="Arial" w:eastAsia="Arial" w:cs="Arial"/>
      <w:b/>
      <w:bCs/>
      <w:sz w:val="22"/>
      <w:szCs w:val="22"/>
    </w:rPr>
  </w:style>
  <w:style w:type="paragraph" w:styleId="669">
    <w:name w:val="Heading 7"/>
    <w:basedOn w:val="831"/>
    <w:next w:val="831"/>
    <w:link w:val="67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7 Char"/>
    <w:basedOn w:val="832"/>
    <w:link w:val="6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1">
    <w:name w:val="Heading 8"/>
    <w:basedOn w:val="831"/>
    <w:next w:val="831"/>
    <w:link w:val="67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2">
    <w:name w:val="Heading 8 Char"/>
    <w:basedOn w:val="832"/>
    <w:link w:val="671"/>
    <w:uiPriority w:val="9"/>
    <w:rPr>
      <w:rFonts w:ascii="Arial" w:hAnsi="Arial" w:eastAsia="Arial" w:cs="Arial"/>
      <w:i/>
      <w:iCs/>
      <w:sz w:val="22"/>
      <w:szCs w:val="22"/>
    </w:rPr>
  </w:style>
  <w:style w:type="paragraph" w:styleId="673">
    <w:name w:val="Heading 9"/>
    <w:basedOn w:val="831"/>
    <w:next w:val="831"/>
    <w:link w:val="67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>
    <w:name w:val="Heading 9 Char"/>
    <w:basedOn w:val="832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75">
    <w:name w:val="No Spacing"/>
    <w:uiPriority w:val="1"/>
    <w:qFormat/>
    <w:pPr>
      <w:spacing w:before="0" w:after="0" w:line="240" w:lineRule="auto"/>
    </w:pPr>
  </w:style>
  <w:style w:type="character" w:styleId="676">
    <w:name w:val="Title Char"/>
    <w:basedOn w:val="832"/>
    <w:link w:val="843"/>
    <w:uiPriority w:val="10"/>
    <w:rPr>
      <w:sz w:val="48"/>
      <w:szCs w:val="48"/>
    </w:rPr>
  </w:style>
  <w:style w:type="paragraph" w:styleId="677">
    <w:name w:val="Subtitle"/>
    <w:basedOn w:val="831"/>
    <w:next w:val="831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2"/>
    <w:link w:val="677"/>
    <w:uiPriority w:val="11"/>
    <w:rPr>
      <w:sz w:val="24"/>
      <w:szCs w:val="24"/>
    </w:rPr>
  </w:style>
  <w:style w:type="paragraph" w:styleId="679">
    <w:name w:val="Quote"/>
    <w:basedOn w:val="831"/>
    <w:next w:val="831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1"/>
    <w:next w:val="831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character" w:styleId="683">
    <w:name w:val="Header Char"/>
    <w:basedOn w:val="832"/>
    <w:link w:val="853"/>
    <w:uiPriority w:val="99"/>
  </w:style>
  <w:style w:type="character" w:styleId="684">
    <w:name w:val="Footer Char"/>
    <w:basedOn w:val="832"/>
    <w:link w:val="855"/>
    <w:uiPriority w:val="99"/>
  </w:style>
  <w:style w:type="paragraph" w:styleId="685">
    <w:name w:val="Caption"/>
    <w:basedOn w:val="831"/>
    <w:next w:val="83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6">
    <w:name w:val="Caption Char"/>
    <w:basedOn w:val="685"/>
    <w:link w:val="855"/>
    <w:uiPriority w:val="99"/>
  </w:style>
  <w:style w:type="table" w:styleId="687">
    <w:name w:val="Table Grid"/>
    <w:basedOn w:val="83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Table Grid Light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Plain Table 1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2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2">
    <w:name w:val="Plain Table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Plain Table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4">
    <w:name w:val="Grid Table 1 Light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4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6">
    <w:name w:val="Grid Table 4 - Accent 1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7">
    <w:name w:val="Grid Table 4 - Accent 2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8">
    <w:name w:val="Grid Table 4 - Accent 3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9">
    <w:name w:val="Grid Table 4 - Accent 4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0">
    <w:name w:val="Grid Table 4 - Accent 5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1">
    <w:name w:val="Grid Table 4 - Accent 6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2">
    <w:name w:val="Grid Table 5 Dark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3">
    <w:name w:val="Grid Table 5 Dark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9">
    <w:name w:val="Grid Table 6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0">
    <w:name w:val="Grid Table 6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1">
    <w:name w:val="Grid Table 6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2">
    <w:name w:val="Grid Table 6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3">
    <w:name w:val="Grid Table 6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4">
    <w:name w:val="Grid Table 6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6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6">
    <w:name w:val="Grid Table 7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1">
    <w:name w:val="List Table 2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2">
    <w:name w:val="List Table 2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3">
    <w:name w:val="List Table 2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4">
    <w:name w:val="List Table 2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5">
    <w:name w:val="List Table 2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6">
    <w:name w:val="List Table 2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7">
    <w:name w:val="List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5 Dark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6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9">
    <w:name w:val="List Table 6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0">
    <w:name w:val="List Table 6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1">
    <w:name w:val="List Table 6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2">
    <w:name w:val="List Table 6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3">
    <w:name w:val="List Table 6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4">
    <w:name w:val="List Table 6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5">
    <w:name w:val="List Table 7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6">
    <w:name w:val="List Table 7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7">
    <w:name w:val="List Table 7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8">
    <w:name w:val="List Table 7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9">
    <w:name w:val="List Table 7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0">
    <w:name w:val="List Table 7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1">
    <w:name w:val="List Table 7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2">
    <w:name w:val="Lined - Accent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3">
    <w:name w:val="Lined - Accent 1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4">
    <w:name w:val="Lined - Accent 2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5">
    <w:name w:val="Lined - Accent 3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6">
    <w:name w:val="Lined - Accent 4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7">
    <w:name w:val="Lined - Accent 5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8">
    <w:name w:val="Lined - Accent 6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9">
    <w:name w:val="Bordered &amp; Lined - Accent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Bordered &amp; Lined - Accent 1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1">
    <w:name w:val="Bordered &amp; Lined - Accent 2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2">
    <w:name w:val="Bordered &amp; Lined - Accent 3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3">
    <w:name w:val="Bordered &amp; Lined - Accent 4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4">
    <w:name w:val="Bordered &amp; Lined - Accent 5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5">
    <w:name w:val="Bordered &amp; Lined - Accent 6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6">
    <w:name w:val="Bordered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7">
    <w:name w:val="Bordered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8">
    <w:name w:val="Bordered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9">
    <w:name w:val="Bordered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0">
    <w:name w:val="Bordered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1">
    <w:name w:val="Bordered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2">
    <w:name w:val="Bordered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3">
    <w:name w:val="Hyperlink"/>
    <w:uiPriority w:val="99"/>
    <w:unhideWhenUsed/>
    <w:rPr>
      <w:color w:val="0000ff" w:themeColor="hyperlink"/>
      <w:u w:val="single"/>
    </w:rPr>
  </w:style>
  <w:style w:type="paragraph" w:styleId="814">
    <w:name w:val="footnote text"/>
    <w:basedOn w:val="831"/>
    <w:link w:val="815"/>
    <w:uiPriority w:val="99"/>
    <w:semiHidden/>
    <w:unhideWhenUsed/>
    <w:pPr>
      <w:spacing w:after="40" w:line="240" w:lineRule="auto"/>
    </w:pPr>
    <w:rPr>
      <w:sz w:val="18"/>
    </w:rPr>
  </w:style>
  <w:style w:type="character" w:styleId="815">
    <w:name w:val="Footnote Text Char"/>
    <w:link w:val="814"/>
    <w:uiPriority w:val="99"/>
    <w:rPr>
      <w:sz w:val="18"/>
    </w:rPr>
  </w:style>
  <w:style w:type="character" w:styleId="816">
    <w:name w:val="footnote reference"/>
    <w:basedOn w:val="832"/>
    <w:uiPriority w:val="99"/>
    <w:unhideWhenUsed/>
    <w:rPr>
      <w:vertAlign w:val="superscript"/>
    </w:rPr>
  </w:style>
  <w:style w:type="paragraph" w:styleId="817">
    <w:name w:val="endnote text"/>
    <w:basedOn w:val="831"/>
    <w:link w:val="818"/>
    <w:uiPriority w:val="99"/>
    <w:semiHidden/>
    <w:unhideWhenUsed/>
    <w:pPr>
      <w:spacing w:after="0" w:line="240" w:lineRule="auto"/>
    </w:pPr>
    <w:rPr>
      <w:sz w:val="20"/>
    </w:rPr>
  </w:style>
  <w:style w:type="character" w:styleId="818">
    <w:name w:val="Endnote Text Char"/>
    <w:link w:val="817"/>
    <w:uiPriority w:val="99"/>
    <w:rPr>
      <w:sz w:val="20"/>
    </w:rPr>
  </w:style>
  <w:style w:type="character" w:styleId="819">
    <w:name w:val="endnote reference"/>
    <w:basedOn w:val="832"/>
    <w:uiPriority w:val="99"/>
    <w:semiHidden/>
    <w:unhideWhenUsed/>
    <w:rPr>
      <w:vertAlign w:val="superscript"/>
    </w:rPr>
  </w:style>
  <w:style w:type="paragraph" w:styleId="820">
    <w:name w:val="toc 1"/>
    <w:basedOn w:val="831"/>
    <w:next w:val="831"/>
    <w:uiPriority w:val="39"/>
    <w:unhideWhenUsed/>
    <w:pPr>
      <w:ind w:left="0" w:right="0" w:firstLine="0"/>
      <w:spacing w:after="57"/>
    </w:pPr>
  </w:style>
  <w:style w:type="paragraph" w:styleId="821">
    <w:name w:val="toc 2"/>
    <w:basedOn w:val="831"/>
    <w:next w:val="831"/>
    <w:uiPriority w:val="39"/>
    <w:unhideWhenUsed/>
    <w:pPr>
      <w:ind w:left="283" w:right="0" w:firstLine="0"/>
      <w:spacing w:after="57"/>
    </w:pPr>
  </w:style>
  <w:style w:type="paragraph" w:styleId="822">
    <w:name w:val="toc 3"/>
    <w:basedOn w:val="831"/>
    <w:next w:val="831"/>
    <w:uiPriority w:val="39"/>
    <w:unhideWhenUsed/>
    <w:pPr>
      <w:ind w:left="567" w:right="0" w:firstLine="0"/>
      <w:spacing w:after="57"/>
    </w:pPr>
  </w:style>
  <w:style w:type="paragraph" w:styleId="823">
    <w:name w:val="toc 4"/>
    <w:basedOn w:val="831"/>
    <w:next w:val="831"/>
    <w:uiPriority w:val="39"/>
    <w:unhideWhenUsed/>
    <w:pPr>
      <w:ind w:left="850" w:right="0" w:firstLine="0"/>
      <w:spacing w:after="57"/>
    </w:pPr>
  </w:style>
  <w:style w:type="paragraph" w:styleId="824">
    <w:name w:val="toc 5"/>
    <w:basedOn w:val="831"/>
    <w:next w:val="831"/>
    <w:uiPriority w:val="39"/>
    <w:unhideWhenUsed/>
    <w:pPr>
      <w:ind w:left="1134" w:right="0" w:firstLine="0"/>
      <w:spacing w:after="57"/>
    </w:pPr>
  </w:style>
  <w:style w:type="paragraph" w:styleId="825">
    <w:name w:val="toc 6"/>
    <w:basedOn w:val="831"/>
    <w:next w:val="831"/>
    <w:uiPriority w:val="39"/>
    <w:unhideWhenUsed/>
    <w:pPr>
      <w:ind w:left="1417" w:right="0" w:firstLine="0"/>
      <w:spacing w:after="57"/>
    </w:pPr>
  </w:style>
  <w:style w:type="paragraph" w:styleId="826">
    <w:name w:val="toc 7"/>
    <w:basedOn w:val="831"/>
    <w:next w:val="831"/>
    <w:uiPriority w:val="39"/>
    <w:unhideWhenUsed/>
    <w:pPr>
      <w:ind w:left="1701" w:right="0" w:firstLine="0"/>
      <w:spacing w:after="57"/>
    </w:pPr>
  </w:style>
  <w:style w:type="paragraph" w:styleId="827">
    <w:name w:val="toc 8"/>
    <w:basedOn w:val="831"/>
    <w:next w:val="831"/>
    <w:uiPriority w:val="39"/>
    <w:unhideWhenUsed/>
    <w:pPr>
      <w:ind w:left="1984" w:right="0" w:firstLine="0"/>
      <w:spacing w:after="57"/>
    </w:pPr>
  </w:style>
  <w:style w:type="paragraph" w:styleId="828">
    <w:name w:val="toc 9"/>
    <w:basedOn w:val="831"/>
    <w:next w:val="831"/>
    <w:uiPriority w:val="39"/>
    <w:unhideWhenUsed/>
    <w:pPr>
      <w:ind w:left="2268" w:right="0" w:firstLine="0"/>
      <w:spacing w:after="57"/>
    </w:pPr>
  </w:style>
  <w:style w:type="paragraph" w:styleId="829">
    <w:name w:val="TOC Heading"/>
    <w:uiPriority w:val="39"/>
    <w:unhideWhenUsed/>
  </w:style>
  <w:style w:type="paragraph" w:styleId="830">
    <w:name w:val="table of figures"/>
    <w:basedOn w:val="831"/>
    <w:next w:val="831"/>
    <w:uiPriority w:val="99"/>
    <w:unhideWhenUsed/>
    <w:pPr>
      <w:spacing w:after="0" w:afterAutospacing="0"/>
    </w:pPr>
  </w:style>
  <w:style w:type="paragraph" w:styleId="831" w:default="1">
    <w:name w:val="Normal"/>
    <w:qFormat/>
    <w:pPr>
      <w:spacing w:after="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832" w:default="1">
    <w:name w:val="Default Paragraph Font"/>
    <w:uiPriority w:val="1"/>
    <w:semiHidden/>
    <w:unhideWhenUsed/>
  </w:style>
  <w:style w:type="table" w:styleId="83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4" w:default="1">
    <w:name w:val="No List"/>
    <w:uiPriority w:val="99"/>
    <w:semiHidden/>
    <w:unhideWhenUsed/>
  </w:style>
  <w:style w:type="paragraph" w:styleId="835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36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37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838" w:customStyle="1">
    <w:name w:val="ConsPlusCell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39" w:customStyle="1">
    <w:name w:val="ConsPlusDocList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40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841" w:customStyle="1">
    <w:name w:val="ConsPlusJurTerm"/>
    <w:pPr>
      <w:spacing w:after="0" w:line="240" w:lineRule="auto"/>
      <w:widowControl w:val="off"/>
    </w:pPr>
    <w:rPr>
      <w:rFonts w:ascii="Tahoma" w:hAnsi="Tahoma" w:eastAsia="Times New Roman" w:cs="Tahoma"/>
      <w:sz w:val="26"/>
      <w:szCs w:val="20"/>
      <w:lang w:eastAsia="ru-RU"/>
    </w:rPr>
  </w:style>
  <w:style w:type="paragraph" w:styleId="842" w:customStyle="1">
    <w:name w:val="ConsPlusTextList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843">
    <w:name w:val="Title"/>
    <w:basedOn w:val="831"/>
    <w:link w:val="844"/>
    <w:qFormat/>
    <w:pPr>
      <w:jc w:val="center"/>
    </w:pPr>
    <w:rPr>
      <w:rFonts w:eastAsia="Times New Roman"/>
      <w:b/>
      <w:bCs/>
      <w:sz w:val="48"/>
      <w:szCs w:val="24"/>
    </w:rPr>
  </w:style>
  <w:style w:type="character" w:styleId="844" w:customStyle="1">
    <w:name w:val="Заголовок Знак"/>
    <w:basedOn w:val="832"/>
    <w:link w:val="843"/>
    <w:rPr>
      <w:rFonts w:ascii="Times New Roman" w:hAnsi="Times New Roman" w:eastAsia="Times New Roman" w:cs="Times New Roman"/>
      <w:b/>
      <w:bCs/>
      <w:sz w:val="48"/>
      <w:szCs w:val="24"/>
      <w:lang w:eastAsia="ru-RU"/>
    </w:rPr>
  </w:style>
  <w:style w:type="paragraph" w:styleId="845">
    <w:name w:val="Balloon Text"/>
    <w:basedOn w:val="831"/>
    <w:link w:val="846"/>
    <w:uiPriority w:val="99"/>
    <w:semiHidden/>
    <w:unhideWhenUsed/>
    <w:rPr>
      <w:rFonts w:ascii="Tahoma" w:hAnsi="Tahoma" w:cs="Tahoma"/>
      <w:sz w:val="16"/>
      <w:szCs w:val="16"/>
    </w:rPr>
  </w:style>
  <w:style w:type="character" w:styleId="846" w:customStyle="1">
    <w:name w:val="Текст выноски Знак"/>
    <w:basedOn w:val="832"/>
    <w:link w:val="845"/>
    <w:uiPriority w:val="99"/>
    <w:semiHidden/>
    <w:rPr>
      <w:rFonts w:ascii="Tahoma" w:hAnsi="Tahoma" w:eastAsia="Calibri" w:cs="Tahoma"/>
      <w:sz w:val="16"/>
      <w:szCs w:val="16"/>
      <w:lang w:eastAsia="ru-RU"/>
    </w:rPr>
  </w:style>
  <w:style w:type="character" w:styleId="847" w:customStyle="1">
    <w:name w:val="WW8Num1z0"/>
  </w:style>
  <w:style w:type="paragraph" w:styleId="848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849">
    <w:name w:val="Normal (Web)"/>
    <w:basedOn w:val="831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850" w:customStyle="1">
    <w:name w:val="Знак Знак"/>
    <w:basedOn w:val="831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851">
    <w:name w:val="Body Text 3"/>
    <w:basedOn w:val="831"/>
    <w:link w:val="852"/>
    <w:pPr>
      <w:spacing w:after="120"/>
    </w:pPr>
    <w:rPr>
      <w:rFonts w:eastAsia="Times New Roman"/>
      <w:sz w:val="16"/>
      <w:szCs w:val="16"/>
    </w:rPr>
  </w:style>
  <w:style w:type="character" w:styleId="852" w:customStyle="1">
    <w:name w:val="Основной текст 3 Знак"/>
    <w:basedOn w:val="832"/>
    <w:link w:val="851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853">
    <w:name w:val="Header"/>
    <w:basedOn w:val="831"/>
    <w:link w:val="85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54" w:customStyle="1">
    <w:name w:val="Верхний колонтитул Знак"/>
    <w:basedOn w:val="832"/>
    <w:link w:val="853"/>
    <w:uiPriority w:val="99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855">
    <w:name w:val="Footer"/>
    <w:basedOn w:val="831"/>
    <w:link w:val="85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56" w:customStyle="1">
    <w:name w:val="Нижний колонтитул Знак"/>
    <w:basedOn w:val="832"/>
    <w:link w:val="855"/>
    <w:uiPriority w:val="99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857">
    <w:name w:val="List Paragraph"/>
    <w:basedOn w:val="831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consultantplus://offline/main?base=LAW;n=84164;fld=134;dst=100009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Kraftway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Ильина</dc:creator>
  <cp:revision>8</cp:revision>
  <dcterms:created xsi:type="dcterms:W3CDTF">2024-11-07T10:19:00Z</dcterms:created>
  <dcterms:modified xsi:type="dcterms:W3CDTF">2024-11-26T11:50:08Z</dcterms:modified>
</cp:coreProperties>
</file>