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</w:t>
      </w:r>
      <w:r>
        <w:rPr>
          <w:b/>
          <w:color w:val="000000"/>
          <w:sz w:val="24"/>
        </w:rPr>
        <w:t xml:space="preserve">т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14.11.2024 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ab/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</w:t>
      </w:r>
      <w:r>
        <w:rPr>
          <w:b/>
          <w:color w:val="000000"/>
          <w:sz w:val="24"/>
        </w:rPr>
        <w:t xml:space="preserve"> 1784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О внесении изменений в муниципальную программу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Печенгского</w:t>
      </w:r>
      <w:r>
        <w:rPr>
          <w:b/>
          <w:szCs w:val="24"/>
        </w:rPr>
        <w:t xml:space="preserve"> муниципального округа 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bCs/>
        </w:rPr>
      </w:pPr>
      <w:r>
        <w:rPr>
          <w:b/>
          <w:szCs w:val="24"/>
        </w:rPr>
        <w:t xml:space="preserve">«Молодежная политика</w:t>
      </w:r>
      <w:r>
        <w:rPr>
          <w:b/>
          <w:szCs w:val="24"/>
        </w:rPr>
        <w:t xml:space="preserve"> и взаимодействие с общественными организациями в </w:t>
      </w:r>
      <w:r>
        <w:rPr>
          <w:b/>
          <w:szCs w:val="24"/>
        </w:rPr>
      </w:r>
      <w:r>
        <w:rPr>
          <w:b/>
          <w:bCs/>
        </w:rPr>
      </w:r>
    </w:p>
    <w:p>
      <w:pPr>
        <w:ind w:left="0" w:right="0" w:firstLine="0"/>
        <w:jc w:val="center"/>
        <w:rPr>
          <w:b/>
          <w:bCs/>
        </w:rPr>
      </w:pPr>
      <w:r>
        <w:rPr>
          <w:b/>
          <w:szCs w:val="24"/>
        </w:rPr>
        <w:t xml:space="preserve">Печенгском</w:t>
      </w:r>
      <w:r>
        <w:rPr>
          <w:b/>
          <w:szCs w:val="24"/>
        </w:rPr>
        <w:t xml:space="preserve"> муниципальном округе</w:t>
      </w:r>
      <w:r>
        <w:rPr>
          <w:b/>
          <w:szCs w:val="24"/>
        </w:rPr>
        <w:t xml:space="preserve">»</w:t>
      </w:r>
      <w:r>
        <w:rPr>
          <w:b/>
          <w:szCs w:val="24"/>
        </w:rPr>
        <w:t xml:space="preserve"> на 2025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– 2027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годы</w:t>
      </w:r>
      <w:r>
        <w:rPr>
          <w:b/>
          <w:szCs w:val="24"/>
        </w:rPr>
        <w:t xml:space="preserve">, </w:t>
      </w:r>
      <w:r>
        <w:rPr>
          <w:b/>
          <w:szCs w:val="24"/>
        </w:rPr>
        <w:t xml:space="preserve">утвержденную</w:t>
      </w:r>
      <w:r>
        <w:rPr>
          <w:b/>
          <w:szCs w:val="24"/>
        </w:rPr>
        <w:t xml:space="preserve"> постановлением </w:t>
      </w:r>
      <w:r>
        <w:rPr>
          <w:b/>
          <w:szCs w:val="24"/>
        </w:rPr>
        <w:br/>
      </w:r>
      <w:r>
        <w:rPr>
          <w:b/>
          <w:szCs w:val="24"/>
        </w:rPr>
        <w:t xml:space="preserve">администрации </w:t>
      </w:r>
      <w:r>
        <w:rPr>
          <w:b/>
          <w:szCs w:val="24"/>
        </w:rPr>
        <w:t xml:space="preserve">Печенгского</w:t>
      </w:r>
      <w:r>
        <w:rPr>
          <w:b/>
          <w:szCs w:val="24"/>
        </w:rPr>
        <w:t xml:space="preserve"> мун</w:t>
      </w:r>
      <w:r>
        <w:rPr>
          <w:b/>
          <w:szCs w:val="24"/>
        </w:rPr>
        <w:t xml:space="preserve">иципального округа от 01.11.2024</w:t>
      </w:r>
      <w:r>
        <w:rPr>
          <w:b/>
          <w:szCs w:val="24"/>
        </w:rPr>
        <w:t xml:space="preserve"> №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1</w:t>
      </w:r>
      <w:r>
        <w:rPr>
          <w:b/>
          <w:szCs w:val="24"/>
        </w:rPr>
        <w:t xml:space="preserve">710</w:t>
      </w:r>
      <w:r>
        <w:rPr>
          <w:b/>
          <w:szCs w:val="24"/>
        </w:rPr>
      </w:r>
      <w:r>
        <w:rPr>
          <w:b/>
          <w:bCs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color w:val="000000"/>
          <w:sz w:val="24"/>
          <w:szCs w:val="24"/>
        </w:rPr>
        <w:t xml:space="preserve">Печенгского</w:t>
      </w:r>
      <w:r>
        <w:rPr>
          <w:color w:val="000000"/>
          <w:sz w:val="24"/>
          <w:szCs w:val="24"/>
        </w:rPr>
        <w:t xml:space="preserve"> муниципального округа, утвержденным постановлением администрации </w:t>
      </w:r>
      <w:r>
        <w:rPr>
          <w:color w:val="000000"/>
          <w:sz w:val="24"/>
          <w:szCs w:val="24"/>
        </w:rPr>
        <w:t xml:space="preserve">Печенгского</w:t>
      </w:r>
      <w:r>
        <w:rPr>
          <w:color w:val="000000"/>
          <w:sz w:val="24"/>
          <w:szCs w:val="24"/>
        </w:rPr>
        <w:t xml:space="preserve"> муниципального округа от 16.08.2021 № 838, в целях повышения эффективности использования бюджетных средств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 xml:space="preserve">ПОСТАНОВЛЯЮ:</w:t>
      </w:r>
      <w:r>
        <w:rPr>
          <w:rFonts w:eastAsia="Calibri"/>
          <w:b/>
          <w:bCs/>
          <w:sz w:val="24"/>
          <w:szCs w:val="24"/>
        </w:rPr>
      </w:r>
      <w:r>
        <w:rPr>
          <w:rFonts w:eastAsia="Calibri"/>
          <w:b/>
          <w:bCs/>
          <w:sz w:val="24"/>
          <w:szCs w:val="24"/>
        </w:rPr>
      </w:r>
    </w:p>
    <w:p>
      <w:pPr>
        <w:ind w:right="-5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1. </w:t>
      </w:r>
      <w:r>
        <w:rPr>
          <w:rFonts w:eastAsia="Calibri"/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</w:t>
      </w:r>
      <w:r>
        <w:rPr>
          <w:sz w:val="24"/>
          <w:szCs w:val="24"/>
        </w:rPr>
        <w:t xml:space="preserve">га «Молодежная политика и </w:t>
      </w:r>
      <w:r>
        <w:rPr>
          <w:sz w:val="24"/>
          <w:szCs w:val="24"/>
        </w:rPr>
        <w:t xml:space="preserve">взаимодействие с общественными организациями в </w:t>
      </w:r>
      <w:r>
        <w:rPr>
          <w:sz w:val="24"/>
          <w:szCs w:val="24"/>
        </w:rPr>
        <w:t xml:space="preserve">Печенгском</w:t>
      </w:r>
      <w:r>
        <w:rPr>
          <w:sz w:val="24"/>
          <w:szCs w:val="24"/>
        </w:rPr>
        <w:t xml:space="preserve"> муниципальном округе</w:t>
      </w:r>
      <w:r>
        <w:rPr>
          <w:sz w:val="24"/>
          <w:szCs w:val="24"/>
        </w:rPr>
        <w:t xml:space="preserve">» на 2025–2027</w:t>
      </w:r>
      <w:r>
        <w:rPr>
          <w:sz w:val="24"/>
          <w:szCs w:val="24"/>
        </w:rPr>
        <w:t xml:space="preserve"> годы,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</w:t>
      </w:r>
      <w:r>
        <w:rPr>
          <w:sz w:val="24"/>
          <w:szCs w:val="24"/>
        </w:rPr>
        <w:t xml:space="preserve">иципального округа от 01.11.2024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1710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4923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97"/>
        <w:gridCol w:w="7162"/>
      </w:tblGrid>
      <w:tr>
        <w:tblPrEx/>
        <w:trPr>
          <w:trHeight w:val="542"/>
        </w:trPr>
        <w:tc>
          <w:tcPr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826" w:type="pct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52 895,7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52895,7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21366,7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16738,3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14790,7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widowControl/>
        <w:tabs>
          <w:tab w:val="left" w:pos="0" w:leader="none"/>
          <w:tab w:val="left" w:pos="709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 xml:space="preserve">-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строк</w:t>
      </w:r>
      <w:r>
        <w:rPr>
          <w:rFonts w:eastAsia="Calibri"/>
          <w:sz w:val="24"/>
          <w:szCs w:val="24"/>
        </w:rPr>
        <w:t xml:space="preserve">у </w:t>
      </w:r>
      <w:r>
        <w:rPr>
          <w:rFonts w:eastAsia="Calibri"/>
          <w:sz w:val="24"/>
          <w:szCs w:val="24"/>
        </w:rPr>
        <w:t xml:space="preserve">2.11 </w:t>
      </w:r>
      <w:r>
        <w:rPr>
          <w:rFonts w:eastAsia="Calibri"/>
          <w:sz w:val="24"/>
          <w:szCs w:val="24"/>
        </w:rPr>
        <w:t xml:space="preserve">таблицы</w:t>
      </w:r>
      <w:r>
        <w:rPr>
          <w:rFonts w:eastAsia="Calibri"/>
          <w:sz w:val="24"/>
          <w:szCs w:val="24"/>
        </w:rPr>
        <w:t xml:space="preserve">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к Программе изложить в </w:t>
      </w:r>
      <w:r>
        <w:rPr>
          <w:rFonts w:eastAsia="Calibri"/>
          <w:sz w:val="24"/>
          <w:szCs w:val="24"/>
        </w:rPr>
        <w:t xml:space="preserve">следующей редакции: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693"/>
        <w:gridCol w:w="709"/>
        <w:gridCol w:w="709"/>
        <w:gridCol w:w="709"/>
        <w:gridCol w:w="850"/>
        <w:gridCol w:w="851"/>
        <w:gridCol w:w="708"/>
        <w:gridCol w:w="1418"/>
      </w:tblGrid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«</w:t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2.11.</w:t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Количество восстановленных (отремонтированных) памятников Великой Отечественной войны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7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left="0" w:right="0" w:firstLine="709"/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</w:t>
      </w:r>
      <w:r>
        <w:rPr>
          <w:rFonts w:eastAsia="Calibri"/>
          <w:sz w:val="24"/>
          <w:szCs w:val="24"/>
        </w:rPr>
        <w:t xml:space="preserve"> строки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1.2, </w:t>
      </w:r>
      <w:r>
        <w:rPr>
          <w:rFonts w:eastAsia="Calibri"/>
          <w:sz w:val="24"/>
          <w:szCs w:val="24"/>
        </w:rPr>
        <w:t xml:space="preserve">1.3</w:t>
      </w:r>
      <w:r>
        <w:rPr>
          <w:rFonts w:eastAsia="Calibri"/>
          <w:sz w:val="24"/>
          <w:szCs w:val="24"/>
        </w:rPr>
        <w:t xml:space="preserve"> и</w:t>
      </w:r>
      <w:r>
        <w:rPr>
          <w:rFonts w:eastAsia="Calibri"/>
          <w:sz w:val="24"/>
          <w:szCs w:val="24"/>
        </w:rPr>
        <w:t xml:space="preserve"> «Итого по основному мероприятию 1» </w:t>
      </w:r>
      <w:r>
        <w:rPr>
          <w:rFonts w:eastAsia="Calibri"/>
          <w:sz w:val="24"/>
          <w:szCs w:val="24"/>
        </w:rPr>
        <w:t xml:space="preserve">Приложения 1 «Перечень мероприятий программы с объёмом финансирования» к Программе изложить в </w:t>
      </w:r>
      <w:r>
        <w:rPr>
          <w:rFonts w:eastAsia="Calibri"/>
          <w:sz w:val="24"/>
          <w:szCs w:val="24"/>
        </w:rPr>
        <w:t xml:space="preserve">следующей редакции: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2128"/>
        <w:gridCol w:w="709"/>
        <w:gridCol w:w="851"/>
        <w:gridCol w:w="992"/>
        <w:gridCol w:w="850"/>
        <w:gridCol w:w="850"/>
        <w:gridCol w:w="994"/>
        <w:gridCol w:w="1276"/>
      </w:tblGrid>
      <w:tr>
        <w:tblPrEx/>
        <w:trPr>
          <w:trHeight w:val="185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1.</w:t>
            </w:r>
            <w:r>
              <w:rPr>
                <w:sz w:val="18"/>
                <w:szCs w:val="18"/>
              </w:rPr>
              <w:t xml:space="preserve">2</w:t>
            </w:r>
            <w:r>
              <w:rPr>
                <w:sz w:val="18"/>
                <w:szCs w:val="18"/>
              </w:rPr>
              <w:t xml:space="preserve">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7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комплекса работ по ремонту фасада, ремонту крылец, благоустройству территории МБУ «</w:t>
            </w:r>
            <w:r>
              <w:rPr>
                <w:sz w:val="18"/>
                <w:szCs w:val="18"/>
              </w:rPr>
              <w:t xml:space="preserve">ЦПиРМИ</w:t>
            </w:r>
            <w:r>
              <w:rPr>
                <w:sz w:val="18"/>
                <w:szCs w:val="18"/>
              </w:rPr>
              <w:t xml:space="preserve">», расположенного по адресу: г. </w:t>
            </w:r>
            <w:r>
              <w:rPr>
                <w:sz w:val="18"/>
                <w:szCs w:val="18"/>
              </w:rPr>
              <w:t xml:space="preserve">Заполярный</w:t>
            </w:r>
            <w:r>
              <w:rPr>
                <w:sz w:val="18"/>
                <w:szCs w:val="18"/>
              </w:rPr>
              <w:t xml:space="preserve">, ул. Мира, д. 2Б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  <w:t xml:space="preserve">2025</w:t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W w:w="68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</w:t>
            </w:r>
            <w:r>
              <w:rPr>
                <w:sz w:val="18"/>
                <w:szCs w:val="18"/>
              </w:rPr>
              <w:t xml:space="preserve">ЦПиРМИ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W w:w="68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4378,8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4378,8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W w:w="68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W w:w="68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4378,8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4378,8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8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1.3.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7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Создание возможностей для интеллектуального и творческого развития молодежи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  <w:t xml:space="preserve">2025-2027</w:t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W w:w="68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</w:t>
            </w:r>
            <w:r>
              <w:rPr>
                <w:sz w:val="18"/>
                <w:szCs w:val="18"/>
              </w:rPr>
              <w:t xml:space="preserve">КСиМП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</w:t>
            </w:r>
            <w:r>
              <w:rPr>
                <w:sz w:val="18"/>
                <w:szCs w:val="18"/>
              </w:rPr>
              <w:t xml:space="preserve">ЦПиРМИ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W w:w="68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3</w:t>
            </w:r>
            <w:r>
              <w:rPr>
                <w:bCs/>
                <w:color w:val="000000"/>
                <w:sz w:val="18"/>
                <w:szCs w:val="18"/>
              </w:rPr>
              <w:t xml:space="preserve">231,0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1</w:t>
            </w:r>
            <w:r>
              <w:rPr>
                <w:bCs/>
                <w:color w:val="000000"/>
                <w:sz w:val="18"/>
                <w:szCs w:val="18"/>
              </w:rPr>
              <w:t xml:space="preserve">577,0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1</w:t>
            </w:r>
            <w:r>
              <w:rPr>
                <w:bCs/>
                <w:sz w:val="18"/>
                <w:szCs w:val="18"/>
              </w:rPr>
              <w:t xml:space="preserve">327,0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327,0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W w:w="68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W w:w="68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3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231,0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1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577,0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</w:t>
            </w:r>
            <w:r>
              <w:rPr>
                <w:b/>
                <w:bCs/>
                <w:sz w:val="18"/>
                <w:szCs w:val="18"/>
              </w:rPr>
              <w:t xml:space="preserve">327,0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327,0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W w:w="68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18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/>
                <w:color w:val="000000"/>
                <w:spacing w:val="1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 по основному мероприятию 1</w:t>
            </w:r>
            <w:r>
              <w:rPr>
                <w:b/>
                <w:color w:val="000000"/>
                <w:spacing w:val="1"/>
                <w:sz w:val="18"/>
                <w:szCs w:val="18"/>
              </w:rPr>
            </w:r>
            <w:r>
              <w:rPr>
                <w:b/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W w:w="68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W w:w="68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49401,7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19</w:t>
            </w:r>
            <w:r>
              <w:rPr>
                <w:b/>
                <w:sz w:val="18"/>
                <w:szCs w:val="18"/>
              </w:rPr>
              <w:t xml:space="preserve">868,7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  <w:t xml:space="preserve">240,3</w:t>
            </w:r>
            <w:r>
              <w:rPr>
                <w:b/>
                <w:sz w:val="18"/>
                <w:szCs w:val="18"/>
                <w:highlight w:val="yellow"/>
              </w:rPr>
            </w:r>
            <w:r>
              <w:rPr>
                <w:b/>
                <w:sz w:val="18"/>
                <w:szCs w:val="18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  <w:t xml:space="preserve">292,7</w:t>
            </w:r>
            <w:r>
              <w:rPr>
                <w:b/>
                <w:sz w:val="18"/>
                <w:szCs w:val="18"/>
                <w:highlight w:val="yellow"/>
              </w:rPr>
            </w:r>
            <w:r>
              <w:rPr>
                <w:b/>
                <w:sz w:val="18"/>
                <w:szCs w:val="18"/>
                <w:highlight w:val="yellow"/>
              </w:rPr>
            </w:r>
          </w:p>
        </w:tc>
        <w:tc>
          <w:tcPr>
            <w:tcW w:w="68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W w:w="68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49401,7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19868,7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  <w:t xml:space="preserve">240,3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  <w:t xml:space="preserve">292,7</w:t>
            </w:r>
            <w:r>
              <w:rPr>
                <w:b/>
                <w:sz w:val="18"/>
                <w:szCs w:val="18"/>
              </w:rPr>
              <w:t xml:space="preserve">»</w:t>
            </w:r>
            <w:r>
              <w:rPr>
                <w:b/>
                <w:sz w:val="18"/>
                <w:szCs w:val="18"/>
              </w:rPr>
              <w:t xml:space="preserve">;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8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  <w:t xml:space="preserve">- стро</w:t>
      </w:r>
      <w:r>
        <w:rPr>
          <w:rFonts w:eastAsia="Calibri"/>
          <w:sz w:val="24"/>
          <w:szCs w:val="24"/>
        </w:rPr>
        <w:t xml:space="preserve">к</w:t>
      </w:r>
      <w:r>
        <w:rPr>
          <w:rFonts w:eastAsia="Calibri"/>
          <w:sz w:val="24"/>
          <w:szCs w:val="24"/>
        </w:rPr>
        <w:t xml:space="preserve">и </w:t>
      </w:r>
      <w:r>
        <w:rPr>
          <w:rFonts w:eastAsia="Calibri"/>
          <w:sz w:val="24"/>
          <w:szCs w:val="24"/>
        </w:rPr>
        <w:t xml:space="preserve">2.1, 2.2</w:t>
      </w:r>
      <w:r>
        <w:rPr>
          <w:rFonts w:eastAsia="Calibri"/>
          <w:sz w:val="24"/>
          <w:szCs w:val="24"/>
        </w:rPr>
        <w:t xml:space="preserve">,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2.3</w:t>
      </w:r>
      <w:r>
        <w:rPr>
          <w:rFonts w:eastAsia="Calibri"/>
          <w:sz w:val="24"/>
          <w:szCs w:val="24"/>
        </w:rPr>
        <w:t xml:space="preserve">,</w:t>
      </w:r>
      <w:r>
        <w:rPr>
          <w:rFonts w:eastAsia="Calibri"/>
          <w:sz w:val="24"/>
          <w:szCs w:val="24"/>
        </w:rPr>
        <w:t xml:space="preserve"> «Итого по основному мероприятию 2» и «Всего по программе» Приложения 1 «Перечень мероприятий программы с объёмом финансирования» к Программе изложить в следующей редакции: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Style w:val="917"/>
        <w:tblW w:w="9356" w:type="dxa"/>
        <w:tblInd w:w="108" w:type="dxa"/>
        <w:tblBorders>
          <w:bottom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993"/>
        <w:gridCol w:w="992"/>
        <w:gridCol w:w="850"/>
        <w:gridCol w:w="851"/>
        <w:gridCol w:w="992"/>
        <w:gridCol w:w="1276"/>
      </w:tblGrid>
      <w:tr>
        <w:tblPrEx/>
        <w:trPr>
          <w:trHeight w:val="171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«2.1.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Создание условий для гражданского становления молодежи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2025-2027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</w:t>
            </w:r>
            <w:r>
              <w:rPr>
                <w:sz w:val="18"/>
                <w:szCs w:val="18"/>
              </w:rPr>
              <w:t xml:space="preserve">КСиМП</w:t>
            </w:r>
            <w:r>
              <w:rPr>
                <w:sz w:val="18"/>
                <w:szCs w:val="18"/>
              </w:rPr>
              <w:t xml:space="preserve">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tabs>
                <w:tab w:val="left" w:pos="0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</w:t>
            </w:r>
            <w:r>
              <w:rPr>
                <w:sz w:val="18"/>
                <w:szCs w:val="18"/>
              </w:rPr>
              <w:t xml:space="preserve">ЦПиРМИ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1399,5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566,5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566,5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  <w:r>
              <w:rPr>
                <w:sz w:val="18"/>
                <w:szCs w:val="18"/>
              </w:rPr>
              <w:t xml:space="preserve">66,5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1399,5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566,5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566,5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266,5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51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2.2.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Участие молодежи в мероприятиях, направленных на сохранность и восстановление воинских памятников и захоронений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2025-2027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</w:t>
            </w:r>
            <w:r>
              <w:rPr>
                <w:sz w:val="18"/>
                <w:szCs w:val="18"/>
              </w:rPr>
              <w:t xml:space="preserve">КСиМП</w:t>
            </w:r>
            <w:r>
              <w:rPr>
                <w:sz w:val="18"/>
                <w:szCs w:val="18"/>
              </w:rPr>
              <w:t xml:space="preserve">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</w:t>
            </w:r>
            <w:r>
              <w:rPr>
                <w:sz w:val="18"/>
                <w:szCs w:val="18"/>
              </w:rPr>
              <w:t xml:space="preserve">ЦПиРМИ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25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22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25</w:t>
            </w:r>
            <w:r>
              <w:rPr>
                <w:bCs/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100</w:t>
            </w:r>
            <w:r>
              <w:rPr>
                <w:bCs/>
                <w:sz w:val="18"/>
                <w:szCs w:val="18"/>
              </w:rPr>
              <w:t xml:space="preserve">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7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</w:t>
            </w:r>
            <w:bookmarkStart w:id="0" w:name="_GoBack"/>
            <w:r/>
            <w:bookmarkEnd w:id="0"/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</w:tbl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7"/>
        <w:gridCol w:w="1999"/>
        <w:gridCol w:w="707"/>
        <w:gridCol w:w="990"/>
        <w:gridCol w:w="990"/>
        <w:gridCol w:w="850"/>
        <w:gridCol w:w="850"/>
        <w:gridCol w:w="990"/>
        <w:gridCol w:w="1274"/>
      </w:tblGrid>
      <w:tr>
        <w:tblPrEx/>
        <w:trPr>
          <w:trHeight w:val="225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2.</w:t>
            </w:r>
            <w:r>
              <w:rPr>
                <w:rFonts w:eastAsia="Calibri"/>
                <w:sz w:val="18"/>
                <w:szCs w:val="18"/>
              </w:rPr>
              <w:t xml:space="preserve">3</w:t>
            </w:r>
            <w:r>
              <w:rPr>
                <w:rFonts w:eastAsia="Calibri"/>
                <w:sz w:val="18"/>
                <w:szCs w:val="18"/>
              </w:rPr>
              <w:t xml:space="preserve">.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auto"/>
            <w:tcW w:w="1068" w:type="pct"/>
            <w:vMerge w:val="restart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Осуществление работ по сохранению памятников Великой Отечественной войны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2025-2027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81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</w:t>
            </w:r>
            <w:r>
              <w:rPr>
                <w:sz w:val="18"/>
                <w:szCs w:val="18"/>
              </w:rPr>
              <w:t xml:space="preserve">КСиМП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0"/>
        </w:trPr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1068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8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0"/>
        </w:trPr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1068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8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0"/>
        </w:trPr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1068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8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0"/>
        </w:trPr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1068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750,0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750,0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8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2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b/>
                <w:color w:val="000000"/>
                <w:spacing w:val="1"/>
                <w:sz w:val="18"/>
                <w:szCs w:val="18"/>
              </w:rPr>
              <w:t xml:space="preserve">Итого по основному мероприятию 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81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2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2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</w:t>
            </w:r>
            <w:r>
              <w:rPr>
                <w:b/>
                <w:bCs/>
                <w:sz w:val="18"/>
                <w:szCs w:val="18"/>
              </w:rPr>
              <w:t xml:space="preserve">249,5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</w:t>
            </w:r>
            <w:r>
              <w:rPr>
                <w:b/>
                <w:bCs/>
                <w:sz w:val="18"/>
                <w:szCs w:val="18"/>
              </w:rPr>
              <w:t xml:space="preserve">416,5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</w:t>
            </w:r>
            <w:r>
              <w:rPr>
                <w:b/>
                <w:bCs/>
                <w:sz w:val="18"/>
                <w:szCs w:val="18"/>
              </w:rPr>
              <w:t xml:space="preserve">416,5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416,5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5"/>
        </w:trPr>
        <w:tc>
          <w:tcPr>
            <w:gridSpan w:val="3"/>
            <w:shd w:val="clear" w:color="auto" w:fill="auto"/>
            <w:tcW w:w="182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2"/>
        </w:trPr>
        <w:tc>
          <w:tcPr>
            <w:gridSpan w:val="3"/>
            <w:shd w:val="clear" w:color="auto" w:fill="auto"/>
            <w:tcW w:w="182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</w:t>
            </w:r>
            <w:r>
              <w:rPr>
                <w:b/>
                <w:bCs/>
                <w:sz w:val="18"/>
                <w:szCs w:val="18"/>
              </w:rPr>
              <w:t xml:space="preserve">249,5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</w:t>
            </w:r>
            <w:r>
              <w:rPr>
                <w:b/>
                <w:bCs/>
                <w:sz w:val="18"/>
                <w:szCs w:val="18"/>
              </w:rPr>
              <w:t xml:space="preserve">416,5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</w:t>
            </w:r>
            <w:r>
              <w:rPr>
                <w:b/>
                <w:bCs/>
                <w:sz w:val="18"/>
                <w:szCs w:val="18"/>
              </w:rPr>
              <w:t xml:space="preserve">416,5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416,5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2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/>
                <w:color w:val="000000"/>
                <w:spacing w:val="1"/>
                <w:sz w:val="18"/>
                <w:szCs w:val="18"/>
              </w:rPr>
            </w:pPr>
            <w:r>
              <w:rPr>
                <w:b/>
                <w:color w:val="000000"/>
                <w:spacing w:val="1"/>
                <w:sz w:val="18"/>
                <w:szCs w:val="18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18"/>
                <w:szCs w:val="18"/>
              </w:rPr>
            </w:r>
            <w:r>
              <w:rPr>
                <w:b/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81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2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8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2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52</w:t>
            </w:r>
            <w:r>
              <w:rPr>
                <w:b/>
                <w:bCs/>
                <w:sz w:val="18"/>
                <w:szCs w:val="18"/>
              </w:rPr>
              <w:t xml:space="preserve">895,7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21</w:t>
            </w:r>
            <w:r>
              <w:rPr>
                <w:b/>
                <w:sz w:val="18"/>
                <w:szCs w:val="18"/>
              </w:rPr>
              <w:t xml:space="preserve">366,7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</w:t>
            </w:r>
            <w:r>
              <w:rPr>
                <w:b/>
                <w:sz w:val="18"/>
                <w:szCs w:val="18"/>
              </w:rPr>
              <w:t xml:space="preserve">738,3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  <w:t xml:space="preserve">790,7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8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2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8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2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52895,7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21366,7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</w:t>
            </w:r>
            <w:r>
              <w:rPr>
                <w:b/>
                <w:sz w:val="18"/>
                <w:szCs w:val="18"/>
              </w:rPr>
              <w:t xml:space="preserve">738,3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  <w:t xml:space="preserve">790,7</w:t>
            </w:r>
            <w:r>
              <w:rPr>
                <w:b/>
                <w:sz w:val="18"/>
                <w:szCs w:val="18"/>
              </w:rPr>
              <w:t xml:space="preserve">»;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8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widowControl/>
        <w:tabs>
          <w:tab w:val="left" w:pos="993" w:leader="none"/>
        </w:tabs>
        <w:rPr>
          <w:sz w:val="24"/>
          <w:szCs w:val="22"/>
        </w:rPr>
      </w:pPr>
      <w:r>
        <w:rPr>
          <w:sz w:val="24"/>
          <w:szCs w:val="22"/>
        </w:rPr>
      </w:r>
      <w:r>
        <w:rPr>
          <w:sz w:val="24"/>
          <w:szCs w:val="22"/>
        </w:rPr>
      </w:r>
      <w:r>
        <w:rPr>
          <w:sz w:val="24"/>
          <w:szCs w:val="22"/>
        </w:rPr>
      </w:r>
    </w:p>
    <w:p>
      <w:pPr>
        <w:ind w:firstLine="708"/>
        <w:jc w:val="both"/>
        <w:widowControl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строки</w:t>
      </w:r>
      <w:r>
        <w:rPr>
          <w:rFonts w:eastAsia="Calibri"/>
          <w:sz w:val="24"/>
          <w:szCs w:val="24"/>
        </w:rPr>
        <w:t xml:space="preserve"> 2.</w:t>
      </w:r>
      <w:r>
        <w:rPr>
          <w:rFonts w:eastAsia="Calibri"/>
          <w:sz w:val="24"/>
          <w:szCs w:val="24"/>
        </w:rPr>
        <w:t xml:space="preserve">3 и 3.1</w:t>
      </w:r>
      <w:r>
        <w:rPr>
          <w:rFonts w:eastAsia="Calibri"/>
          <w:sz w:val="24"/>
          <w:szCs w:val="24"/>
        </w:rPr>
        <w:t xml:space="preserve"> Приложения 2 «Перечень мероприятий программы с показателями результативности выполнения мероприятий» к Программе изложить в следующей редакции: 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Style w:val="937"/>
        <w:tblW w:w="9356" w:type="dxa"/>
        <w:tblInd w:w="108" w:type="dxa"/>
        <w:tblBorders>
          <w:bottom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709"/>
        <w:gridCol w:w="2126"/>
        <w:gridCol w:w="567"/>
        <w:gridCol w:w="709"/>
        <w:gridCol w:w="708"/>
        <w:gridCol w:w="709"/>
        <w:gridCol w:w="1276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«2.3.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Осуществление работ по сохранению памятников Великой Отечественной войны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2025-2027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Количество восстановленных (отремонтированных) памятников Великой Отечественной войны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Шт.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1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</w:t>
            </w:r>
            <w:r>
              <w:rPr>
                <w:sz w:val="18"/>
                <w:szCs w:val="18"/>
              </w:rPr>
              <w:t xml:space="preserve">КСиМП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tbl>
      <w:tblPr>
        <w:tblStyle w:val="936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709"/>
        <w:gridCol w:w="2126"/>
        <w:gridCol w:w="567"/>
        <w:gridCol w:w="709"/>
        <w:gridCol w:w="708"/>
        <w:gridCol w:w="709"/>
        <w:gridCol w:w="1276"/>
      </w:tblGrid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3.1.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 целенаправленной работы по профилактике злоупотреблений и правонарушений в молодежной среде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2025-2027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Численность молодежи, охваченной кампаниями по профилактике потребления наркотических средств, </w:t>
            </w:r>
            <w:r>
              <w:rPr>
                <w:rFonts w:eastAsia="Calibri"/>
                <w:sz w:val="18"/>
                <w:szCs w:val="18"/>
              </w:rPr>
              <w:t xml:space="preserve">психоактивных</w:t>
            </w:r>
            <w:r>
              <w:rPr>
                <w:rFonts w:eastAsia="Calibri"/>
                <w:sz w:val="18"/>
                <w:szCs w:val="18"/>
              </w:rPr>
              <w:t xml:space="preserve"> веществ и алкоголя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Чел.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Не менее 1700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Не менее 1730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Не менее 1730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</w:t>
            </w:r>
            <w:r>
              <w:rPr>
                <w:sz w:val="18"/>
                <w:szCs w:val="18"/>
              </w:rPr>
              <w:t xml:space="preserve">КСиМП</w:t>
            </w:r>
            <w:r>
              <w:rPr>
                <w:sz w:val="18"/>
                <w:szCs w:val="18"/>
              </w:rPr>
              <w:t xml:space="preserve">; МБУ «</w:t>
            </w:r>
            <w:r>
              <w:rPr>
                <w:sz w:val="18"/>
                <w:szCs w:val="18"/>
              </w:rPr>
              <w:t xml:space="preserve">ЦПиРМИ</w:t>
            </w:r>
            <w:r>
              <w:rPr>
                <w:sz w:val="18"/>
                <w:szCs w:val="18"/>
              </w:rPr>
              <w:t xml:space="preserve">»».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Количество общественных объединений, вовлеченных в проведение профилактических мероприятий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Шт.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Не менее 5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Не менее 5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Не менее 5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8"/>
        <w:jc w:val="both"/>
        <w:widowControl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left="0" w:right="0" w:firstLine="709"/>
        <w:jc w:val="both"/>
        <w:widowControl/>
        <w:tabs>
          <w:tab w:val="left" w:pos="0" w:leader="none"/>
        </w:tabs>
        <w:rPr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Настоящее постановление </w:t>
      </w:r>
      <w:r>
        <w:rPr>
          <w:sz w:val="24"/>
          <w:szCs w:val="24"/>
          <w:lang w:eastAsia="en-US"/>
        </w:rPr>
        <w:t xml:space="preserve">вступает в силу </w:t>
      </w:r>
      <w:r>
        <w:rPr>
          <w:sz w:val="24"/>
          <w:szCs w:val="24"/>
          <w:lang w:eastAsia="en-US"/>
        </w:rPr>
        <w:t xml:space="preserve">с 01 января 2025 года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3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Настоящее постановление </w:t>
      </w:r>
      <w:r>
        <w:rPr>
          <w:sz w:val="24"/>
          <w:szCs w:val="24"/>
          <w:lang w:eastAsia="en-US"/>
        </w:rPr>
        <w:t xml:space="preserve">опубликова</w:t>
      </w:r>
      <w:r>
        <w:rPr>
          <w:sz w:val="24"/>
          <w:szCs w:val="24"/>
          <w:lang w:eastAsia="en-US"/>
        </w:rPr>
        <w:t xml:space="preserve">ть</w:t>
      </w:r>
      <w:r>
        <w:rPr>
          <w:sz w:val="24"/>
          <w:szCs w:val="24"/>
          <w:lang w:eastAsia="en-US"/>
        </w:rPr>
        <w:t xml:space="preserve"> в </w:t>
      </w:r>
      <w:r>
        <w:rPr>
          <w:sz w:val="24"/>
          <w:szCs w:val="24"/>
          <w:lang w:eastAsia="en-US"/>
        </w:rPr>
        <w:t xml:space="preserve">официальном издании </w:t>
      </w:r>
      <w:r>
        <w:rPr>
          <w:sz w:val="24"/>
          <w:szCs w:val="24"/>
          <w:lang w:eastAsia="en-US"/>
        </w:rPr>
        <w:t xml:space="preserve">газет</w:t>
      </w:r>
      <w:r>
        <w:rPr>
          <w:sz w:val="24"/>
          <w:szCs w:val="24"/>
          <w:lang w:eastAsia="en-US"/>
        </w:rPr>
        <w:t xml:space="preserve">а</w:t>
      </w:r>
      <w:r>
        <w:rPr>
          <w:sz w:val="24"/>
          <w:szCs w:val="24"/>
          <w:lang w:eastAsia="en-US"/>
        </w:rPr>
        <w:t xml:space="preserve"> «Печенга» и разме</w:t>
      </w:r>
      <w:r>
        <w:rPr>
          <w:sz w:val="24"/>
          <w:szCs w:val="24"/>
          <w:lang w:eastAsia="en-US"/>
        </w:rPr>
        <w:t xml:space="preserve">стить на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сайте </w:t>
      </w:r>
      <w:r>
        <w:rPr>
          <w:sz w:val="24"/>
          <w:szCs w:val="24"/>
          <w:lang w:eastAsia="en-US"/>
        </w:rPr>
        <w:t xml:space="preserve">Печенгского</w:t>
      </w:r>
      <w:r>
        <w:rPr>
          <w:sz w:val="24"/>
          <w:szCs w:val="24"/>
          <w:lang w:eastAsia="en-US"/>
        </w:rPr>
        <w:t xml:space="preserve"> муниципального округа в сети Интернет.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rPr>
          <w:rFonts w:eastAsia="Calibri"/>
          <w:sz w:val="24"/>
          <w:szCs w:val="24"/>
          <w:highlight w:val="yellow"/>
        </w:rPr>
      </w:pPr>
      <w:r>
        <w:rPr>
          <w:rFonts w:eastAsia="Calibri"/>
          <w:sz w:val="24"/>
          <w:szCs w:val="24"/>
          <w:highlight w:val="yellow"/>
        </w:rPr>
      </w:r>
      <w:r>
        <w:rPr>
          <w:rFonts w:eastAsia="Calibri"/>
          <w:sz w:val="24"/>
          <w:szCs w:val="24"/>
          <w:highlight w:val="yellow"/>
        </w:rPr>
      </w:r>
      <w:r>
        <w:rPr>
          <w:rFonts w:eastAsia="Calibri"/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             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Большакова О.В.  5-27-25</w:t>
      </w:r>
      <w:bookmarkStart w:id="1" w:name="Par557"/>
      <w:r/>
      <w:bookmarkEnd w:id="1"/>
      <w:r/>
      <w:r/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SimSun">
    <w:panose1 w:val="02010600030101010101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7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ind w:left="0" w:firstLine="709"/>
        <w:tabs>
          <w:tab w:val="num" w:pos="1134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russianLower"/>
      <w:isLgl w:val="false"/>
      <w:suff w:val="tab"/>
      <w:lvlText w:val="%2)"/>
      <w:lvlJc w:val="left"/>
      <w:pPr>
        <w:ind w:left="371" w:firstLine="709"/>
        <w:tabs>
          <w:tab w:val="num" w:pos="150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8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­"/>
      <w:lvlJc w:val="left"/>
      <w:pPr>
        <w:ind w:left="1440" w:hanging="360"/>
        <w:tabs>
          <w:tab w:val="num" w:pos="1440" w:leader="none"/>
        </w:tabs>
      </w:pPr>
      <w:rPr>
        <w:rFonts w:hint="default" w:ascii="Constantia" w:hAnsi="Constantia"/>
      </w:rPr>
    </w:lvl>
    <w:lvl w:ilvl="2">
      <w:start w:val="8"/>
      <w:numFmt w:val="bullet"/>
      <w:isLgl w:val="false"/>
      <w:suff w:val="tab"/>
      <w:lvlText w:val=""/>
      <w:lvlJc w:val="left"/>
      <w:pPr>
        <w:ind w:left="2340" w:hanging="360"/>
      </w:pPr>
      <w:rPr>
        <w:rFonts w:hint="default" w:ascii="Symbol" w:hAnsi="Symbol" w:eastAsia="Times New Roman"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3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decimal"/>
      <w:isLgl w:val="false"/>
      <w:suff w:val="tab"/>
      <w:lvlText w:val="3.%2."/>
      <w:lvlJc w:val="left"/>
      <w:pPr>
        <w:ind w:left="1080" w:firstLine="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2">
      <w:start w:val="1"/>
      <w:numFmt w:val="russianLower"/>
      <w:isLgl w:val="false"/>
      <w:suff w:val="tab"/>
      <w:lvlText w:val="%3)"/>
      <w:lvlJc w:val="left"/>
      <w:pPr>
        <w:ind w:left="0" w:firstLine="709"/>
        <w:tabs>
          <w:tab w:val="num" w:pos="1134" w:leader="none"/>
        </w:tabs>
      </w:pPr>
      <w:rPr>
        <w:rFonts w:hint="default"/>
      </w:rPr>
    </w:lvl>
    <w:lvl w:ilvl="3">
      <w:start w:val="1"/>
      <w:numFmt w:val="bullet"/>
      <w:isLgl w:val="false"/>
      <w:suff w:val="tab"/>
      <w:lvlText w:val="­"/>
      <w:lvlJc w:val="left"/>
      <w:pPr>
        <w:ind w:left="2880" w:hanging="360"/>
        <w:tabs>
          <w:tab w:val="num" w:pos="2880" w:leader="none"/>
        </w:tabs>
      </w:pPr>
      <w:rPr>
        <w:rFonts w:hint="default" w:ascii="Constantia" w:hAnsi="Constantia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0" w:hanging="360"/>
        <w:tabs>
          <w:tab w:val="num" w:pos="126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-141" w:firstLine="709"/>
        <w:tabs>
          <w:tab w:val="num" w:pos="568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99" w:hanging="360"/>
        <w:tabs>
          <w:tab w:val="num" w:pos="129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19" w:hanging="180"/>
        <w:tabs>
          <w:tab w:val="num" w:pos="201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739" w:hanging="360"/>
        <w:tabs>
          <w:tab w:val="num" w:pos="273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459" w:hanging="360"/>
        <w:tabs>
          <w:tab w:val="num" w:pos="345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179" w:hanging="180"/>
        <w:tabs>
          <w:tab w:val="num" w:pos="417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899" w:hanging="360"/>
        <w:tabs>
          <w:tab w:val="num" w:pos="489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19" w:hanging="360"/>
        <w:tabs>
          <w:tab w:val="num" w:pos="561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339" w:hanging="180"/>
        <w:tabs>
          <w:tab w:val="num" w:pos="6339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5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10.%1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915" w:firstLine="709"/>
        <w:tabs>
          <w:tab w:val="num" w:pos="1624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355" w:hanging="360"/>
        <w:tabs>
          <w:tab w:val="num" w:pos="235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075" w:hanging="180"/>
        <w:tabs>
          <w:tab w:val="num" w:pos="307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795" w:hanging="360"/>
        <w:tabs>
          <w:tab w:val="num" w:pos="379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515" w:hanging="360"/>
        <w:tabs>
          <w:tab w:val="num" w:pos="451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235" w:hanging="180"/>
        <w:tabs>
          <w:tab w:val="num" w:pos="523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955" w:hanging="360"/>
        <w:tabs>
          <w:tab w:val="num" w:pos="595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675" w:hanging="360"/>
        <w:tabs>
          <w:tab w:val="num" w:pos="667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395" w:hanging="180"/>
        <w:tabs>
          <w:tab w:val="num" w:pos="7395" w:leader="none"/>
        </w:tabs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­"/>
      <w:lvlJc w:val="left"/>
      <w:pPr>
        <w:ind w:left="1069" w:hanging="360"/>
      </w:pPr>
      <w:rPr>
        <w:rFonts w:hint="default" w:ascii="Constantia" w:hAnsi="Constanti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  <w:b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33"/>
  </w:num>
  <w:num w:numId="2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0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62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4">
    <w:abstractNumId w:val="29"/>
  </w:num>
  <w:num w:numId="5">
    <w:abstractNumId w:val="1"/>
  </w:num>
  <w:num w:numId="6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7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7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4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8">
    <w:abstractNumId w:val="22"/>
  </w:num>
  <w:num w:numId="9">
    <w:abstractNumId w:val="12"/>
  </w:num>
  <w:num w:numId="10">
    <w:abstractNumId w:val="34"/>
  </w:num>
  <w:num w:numId="11">
    <w:abstractNumId w:val="11"/>
  </w:num>
  <w:num w:numId="12">
    <w:abstractNumId w:val="8"/>
  </w:num>
  <w:num w:numId="13">
    <w:abstractNumId w:val="5"/>
  </w:num>
  <w:num w:numId="14">
    <w:abstractNumId w:val="13"/>
  </w:num>
  <w:num w:numId="15">
    <w:abstractNumId w:val="2"/>
  </w:num>
  <w:num w:numId="16">
    <w:abstractNumId w:val="9"/>
  </w:num>
  <w:num w:numId="17">
    <w:abstractNumId w:val="0"/>
    <w:lvlOverride w:ilvl="0">
      <w:lvl w:ilvl="0">
        <w:start w:val="1"/>
        <w:numFmt w:val="decimal"/>
        <w:isLgl w:val="false"/>
        <w:suff w:val="tab"/>
        <w:lvlText w:val="7.%1."/>
        <w:lvlJc w:val="left"/>
        <w:pPr>
          <w:ind w:left="0" w:firstLine="0"/>
          <w:tabs>
            <w:tab w:val="num" w:pos="0" w:leader="none"/>
          </w:tabs>
        </w:pPr>
        <w:rPr>
          <w:rFonts w:hint="default" w:ascii="Times New Roman" w:hAnsi="Times New Roman" w:cs="Times New Roman"/>
        </w:rPr>
      </w:lvl>
    </w:lvlOverride>
  </w:num>
  <w:num w:numId="18">
    <w:abstractNumId w:val="15"/>
  </w:num>
  <w:num w:numId="19">
    <w:abstractNumId w:val="7"/>
  </w:num>
  <w:num w:numId="20">
    <w:abstractNumId w:val="10"/>
  </w:num>
  <w:num w:numId="21">
    <w:abstractNumId w:val="26"/>
  </w:num>
  <w:num w:numId="22">
    <w:abstractNumId w:val="38"/>
  </w:num>
  <w:num w:numId="23">
    <w:abstractNumId w:val="19"/>
  </w:num>
  <w:num w:numId="24">
    <w:abstractNumId w:val="25"/>
  </w:num>
  <w:num w:numId="25">
    <w:abstractNumId w:val="16"/>
  </w:num>
  <w:num w:numId="26">
    <w:abstractNumId w:val="4"/>
  </w:num>
  <w:num w:numId="27">
    <w:abstractNumId w:val="14"/>
  </w:num>
  <w:num w:numId="28">
    <w:abstractNumId w:val="27"/>
  </w:num>
  <w:num w:numId="29">
    <w:abstractNumId w:val="36"/>
  </w:num>
  <w:num w:numId="30">
    <w:abstractNumId w:val="20"/>
  </w:num>
  <w:num w:numId="31">
    <w:abstractNumId w:val="21"/>
  </w:num>
  <w:num w:numId="32">
    <w:abstractNumId w:val="31"/>
  </w:num>
  <w:num w:numId="33">
    <w:abstractNumId w:val="17"/>
  </w:num>
  <w:num w:numId="34">
    <w:abstractNumId w:val="23"/>
  </w:num>
  <w:num w:numId="35">
    <w:abstractNumId w:val="39"/>
  </w:num>
  <w:num w:numId="36">
    <w:abstractNumId w:val="6"/>
  </w:num>
  <w:num w:numId="37">
    <w:abstractNumId w:val="24"/>
  </w:num>
  <w:num w:numId="38">
    <w:abstractNumId w:val="30"/>
  </w:num>
  <w:num w:numId="39">
    <w:abstractNumId w:val="32"/>
  </w:num>
  <w:num w:numId="40">
    <w:abstractNumId w:val="37"/>
  </w:num>
  <w:num w:numId="41">
    <w:abstractNumId w:val="18"/>
  </w:num>
  <w:num w:numId="42">
    <w:abstractNumId w:val="35"/>
  </w:num>
  <w:num w:numId="43">
    <w:abstractNumId w:val="28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8">
    <w:name w:val="Heading 1"/>
    <w:basedOn w:val="908"/>
    <w:next w:val="908"/>
    <w:link w:val="73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9">
    <w:name w:val="Heading 1 Char"/>
    <w:basedOn w:val="910"/>
    <w:link w:val="738"/>
    <w:uiPriority w:val="9"/>
    <w:rPr>
      <w:rFonts w:ascii="Arial" w:hAnsi="Arial" w:eastAsia="Arial" w:cs="Arial"/>
      <w:sz w:val="40"/>
      <w:szCs w:val="40"/>
    </w:rPr>
  </w:style>
  <w:style w:type="character" w:styleId="740">
    <w:name w:val="Heading 2 Char"/>
    <w:basedOn w:val="910"/>
    <w:link w:val="909"/>
    <w:uiPriority w:val="9"/>
    <w:rPr>
      <w:rFonts w:ascii="Arial" w:hAnsi="Arial" w:eastAsia="Arial" w:cs="Arial"/>
      <w:sz w:val="34"/>
    </w:rPr>
  </w:style>
  <w:style w:type="paragraph" w:styleId="741">
    <w:name w:val="Heading 3"/>
    <w:basedOn w:val="908"/>
    <w:next w:val="908"/>
    <w:link w:val="74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2">
    <w:name w:val="Heading 3 Char"/>
    <w:basedOn w:val="910"/>
    <w:link w:val="741"/>
    <w:uiPriority w:val="9"/>
    <w:rPr>
      <w:rFonts w:ascii="Arial" w:hAnsi="Arial" w:eastAsia="Arial" w:cs="Arial"/>
      <w:sz w:val="30"/>
      <w:szCs w:val="30"/>
    </w:rPr>
  </w:style>
  <w:style w:type="paragraph" w:styleId="743">
    <w:name w:val="Heading 4"/>
    <w:basedOn w:val="908"/>
    <w:next w:val="908"/>
    <w:link w:val="74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4">
    <w:name w:val="Heading 4 Char"/>
    <w:basedOn w:val="910"/>
    <w:link w:val="743"/>
    <w:uiPriority w:val="9"/>
    <w:rPr>
      <w:rFonts w:ascii="Arial" w:hAnsi="Arial" w:eastAsia="Arial" w:cs="Arial"/>
      <w:b/>
      <w:bCs/>
      <w:sz w:val="26"/>
      <w:szCs w:val="26"/>
    </w:rPr>
  </w:style>
  <w:style w:type="paragraph" w:styleId="745">
    <w:name w:val="Heading 5"/>
    <w:basedOn w:val="908"/>
    <w:next w:val="908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6">
    <w:name w:val="Heading 5 Char"/>
    <w:basedOn w:val="910"/>
    <w:link w:val="745"/>
    <w:uiPriority w:val="9"/>
    <w:rPr>
      <w:rFonts w:ascii="Arial" w:hAnsi="Arial" w:eastAsia="Arial" w:cs="Arial"/>
      <w:b/>
      <w:bCs/>
      <w:sz w:val="24"/>
      <w:szCs w:val="24"/>
    </w:rPr>
  </w:style>
  <w:style w:type="paragraph" w:styleId="747">
    <w:name w:val="Heading 6"/>
    <w:basedOn w:val="908"/>
    <w:next w:val="908"/>
    <w:link w:val="74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8">
    <w:name w:val="Heading 6 Char"/>
    <w:basedOn w:val="910"/>
    <w:link w:val="747"/>
    <w:uiPriority w:val="9"/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908"/>
    <w:next w:val="908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0">
    <w:name w:val="Heading 7 Char"/>
    <w:basedOn w:val="910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1">
    <w:name w:val="Heading 8"/>
    <w:basedOn w:val="908"/>
    <w:next w:val="908"/>
    <w:link w:val="75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2">
    <w:name w:val="Heading 8 Char"/>
    <w:basedOn w:val="910"/>
    <w:link w:val="751"/>
    <w:uiPriority w:val="9"/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908"/>
    <w:next w:val="908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>
    <w:name w:val="Heading 9 Char"/>
    <w:basedOn w:val="910"/>
    <w:link w:val="753"/>
    <w:uiPriority w:val="9"/>
    <w:rPr>
      <w:rFonts w:ascii="Arial" w:hAnsi="Arial" w:eastAsia="Arial" w:cs="Arial"/>
      <w:i/>
      <w:iCs/>
      <w:sz w:val="21"/>
      <w:szCs w:val="21"/>
    </w:rPr>
  </w:style>
  <w:style w:type="paragraph" w:styleId="755">
    <w:name w:val="Title"/>
    <w:basedOn w:val="908"/>
    <w:next w:val="908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>
    <w:name w:val="Title Char"/>
    <w:basedOn w:val="910"/>
    <w:link w:val="755"/>
    <w:uiPriority w:val="10"/>
    <w:rPr>
      <w:sz w:val="48"/>
      <w:szCs w:val="48"/>
    </w:rPr>
  </w:style>
  <w:style w:type="paragraph" w:styleId="757">
    <w:name w:val="Subtitle"/>
    <w:basedOn w:val="908"/>
    <w:next w:val="908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0"/>
    <w:link w:val="757"/>
    <w:uiPriority w:val="11"/>
    <w:rPr>
      <w:sz w:val="24"/>
      <w:szCs w:val="24"/>
    </w:rPr>
  </w:style>
  <w:style w:type="paragraph" w:styleId="759">
    <w:name w:val="Quote"/>
    <w:basedOn w:val="908"/>
    <w:next w:val="908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08"/>
    <w:next w:val="908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0"/>
    <w:link w:val="918"/>
    <w:uiPriority w:val="99"/>
  </w:style>
  <w:style w:type="character" w:styleId="764">
    <w:name w:val="Footer Char"/>
    <w:basedOn w:val="910"/>
    <w:link w:val="932"/>
    <w:uiPriority w:val="99"/>
  </w:style>
  <w:style w:type="character" w:styleId="765">
    <w:name w:val="Caption Char"/>
    <w:basedOn w:val="925"/>
    <w:link w:val="932"/>
    <w:uiPriority w:val="99"/>
  </w:style>
  <w:style w:type="table" w:styleId="766">
    <w:name w:val="Table Grid Light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Plain Table 1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>
    <w:name w:val="Plain Table 2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>
    <w:name w:val="Grid Table 4 - Accent 1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5">
    <w:name w:val="Grid Table 4 - Accent 2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Grid Table 4 - Accent 3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7">
    <w:name w:val="Grid Table 4 - Accent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Grid Table 4 - Accent 5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9">
    <w:name w:val="Grid Table 4 - Accent 6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0">
    <w:name w:val="Grid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7">
    <w:name w:val="Grid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8">
    <w:name w:val="Grid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9">
    <w:name w:val="Grid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0">
    <w:name w:val="Grid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1">
    <w:name w:val="Grid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2">
    <w:name w:val="Grid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3">
    <w:name w:val="Grid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4">
    <w:name w:val="Grid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9">
    <w:name w:val="List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8">
    <w:name w:val="List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9">
    <w:name w:val="List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0">
    <w:name w:val="List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1">
    <w:name w:val="List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2">
    <w:name w:val="List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3">
    <w:name w:val="List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4">
    <w:name w:val="List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5">
    <w:name w:val="List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6">
    <w:name w:val="List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7">
    <w:name w:val="List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8">
    <w:name w:val="List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9">
    <w:name w:val="List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0">
    <w:name w:val="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 &amp; 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Bordered &amp; 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9">
    <w:name w:val="Bordered &amp; 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0">
    <w:name w:val="Bordered &amp; 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1">
    <w:name w:val="Bordered &amp; 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2">
    <w:name w:val="Bordered &amp; 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3">
    <w:name w:val="Bordered &amp; 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4">
    <w:name w:val="Bordered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5">
    <w:name w:val="Bordered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6">
    <w:name w:val="Bordered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7">
    <w:name w:val="Bordered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8">
    <w:name w:val="Bordered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9">
    <w:name w:val="Bordered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0">
    <w:name w:val="Bordered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1">
    <w:name w:val="footnote text"/>
    <w:basedOn w:val="908"/>
    <w:link w:val="892"/>
    <w:uiPriority w:val="99"/>
    <w:semiHidden/>
    <w:unhideWhenUsed/>
    <w:pPr>
      <w:spacing w:after="40" w:line="240" w:lineRule="auto"/>
    </w:pPr>
    <w:rPr>
      <w:sz w:val="18"/>
    </w:rPr>
  </w:style>
  <w:style w:type="character" w:styleId="892">
    <w:name w:val="Footnote Text Char"/>
    <w:link w:val="891"/>
    <w:uiPriority w:val="99"/>
    <w:rPr>
      <w:sz w:val="18"/>
    </w:rPr>
  </w:style>
  <w:style w:type="character" w:styleId="893">
    <w:name w:val="footnote reference"/>
    <w:basedOn w:val="910"/>
    <w:uiPriority w:val="99"/>
    <w:unhideWhenUsed/>
    <w:rPr>
      <w:vertAlign w:val="superscript"/>
    </w:rPr>
  </w:style>
  <w:style w:type="paragraph" w:styleId="894">
    <w:name w:val="endnote text"/>
    <w:basedOn w:val="908"/>
    <w:link w:val="895"/>
    <w:uiPriority w:val="99"/>
    <w:semiHidden/>
    <w:unhideWhenUsed/>
    <w:pPr>
      <w:spacing w:after="0" w:line="240" w:lineRule="auto"/>
    </w:pPr>
    <w:rPr>
      <w:sz w:val="20"/>
    </w:rPr>
  </w:style>
  <w:style w:type="character" w:styleId="895">
    <w:name w:val="Endnote Text Char"/>
    <w:link w:val="894"/>
    <w:uiPriority w:val="99"/>
    <w:rPr>
      <w:sz w:val="20"/>
    </w:rPr>
  </w:style>
  <w:style w:type="character" w:styleId="896">
    <w:name w:val="endnote reference"/>
    <w:basedOn w:val="910"/>
    <w:uiPriority w:val="99"/>
    <w:semiHidden/>
    <w:unhideWhenUsed/>
    <w:rPr>
      <w:vertAlign w:val="superscript"/>
    </w:rPr>
  </w:style>
  <w:style w:type="paragraph" w:styleId="897">
    <w:name w:val="toc 1"/>
    <w:basedOn w:val="908"/>
    <w:next w:val="908"/>
    <w:uiPriority w:val="39"/>
    <w:unhideWhenUsed/>
    <w:pPr>
      <w:ind w:left="0" w:right="0" w:firstLine="0"/>
      <w:spacing w:after="57"/>
    </w:pPr>
  </w:style>
  <w:style w:type="paragraph" w:styleId="898">
    <w:name w:val="toc 2"/>
    <w:basedOn w:val="908"/>
    <w:next w:val="908"/>
    <w:uiPriority w:val="39"/>
    <w:unhideWhenUsed/>
    <w:pPr>
      <w:ind w:left="283" w:right="0" w:firstLine="0"/>
      <w:spacing w:after="57"/>
    </w:pPr>
  </w:style>
  <w:style w:type="paragraph" w:styleId="899">
    <w:name w:val="toc 3"/>
    <w:basedOn w:val="908"/>
    <w:next w:val="908"/>
    <w:uiPriority w:val="39"/>
    <w:unhideWhenUsed/>
    <w:pPr>
      <w:ind w:left="567" w:right="0" w:firstLine="0"/>
      <w:spacing w:after="57"/>
    </w:pPr>
  </w:style>
  <w:style w:type="paragraph" w:styleId="900">
    <w:name w:val="toc 4"/>
    <w:basedOn w:val="908"/>
    <w:next w:val="908"/>
    <w:uiPriority w:val="39"/>
    <w:unhideWhenUsed/>
    <w:pPr>
      <w:ind w:left="850" w:right="0" w:firstLine="0"/>
      <w:spacing w:after="57"/>
    </w:pPr>
  </w:style>
  <w:style w:type="paragraph" w:styleId="901">
    <w:name w:val="toc 5"/>
    <w:basedOn w:val="908"/>
    <w:next w:val="908"/>
    <w:uiPriority w:val="39"/>
    <w:unhideWhenUsed/>
    <w:pPr>
      <w:ind w:left="1134" w:right="0" w:firstLine="0"/>
      <w:spacing w:after="57"/>
    </w:pPr>
  </w:style>
  <w:style w:type="paragraph" w:styleId="902">
    <w:name w:val="toc 6"/>
    <w:basedOn w:val="908"/>
    <w:next w:val="908"/>
    <w:uiPriority w:val="39"/>
    <w:unhideWhenUsed/>
    <w:pPr>
      <w:ind w:left="1417" w:right="0" w:firstLine="0"/>
      <w:spacing w:after="57"/>
    </w:pPr>
  </w:style>
  <w:style w:type="paragraph" w:styleId="903">
    <w:name w:val="toc 7"/>
    <w:basedOn w:val="908"/>
    <w:next w:val="908"/>
    <w:uiPriority w:val="39"/>
    <w:unhideWhenUsed/>
    <w:pPr>
      <w:ind w:left="1701" w:right="0" w:firstLine="0"/>
      <w:spacing w:after="57"/>
    </w:pPr>
  </w:style>
  <w:style w:type="paragraph" w:styleId="904">
    <w:name w:val="toc 8"/>
    <w:basedOn w:val="908"/>
    <w:next w:val="908"/>
    <w:uiPriority w:val="39"/>
    <w:unhideWhenUsed/>
    <w:pPr>
      <w:ind w:left="1984" w:right="0" w:firstLine="0"/>
      <w:spacing w:after="57"/>
    </w:pPr>
  </w:style>
  <w:style w:type="paragraph" w:styleId="905">
    <w:name w:val="toc 9"/>
    <w:basedOn w:val="908"/>
    <w:next w:val="908"/>
    <w:uiPriority w:val="39"/>
    <w:unhideWhenUsed/>
    <w:pPr>
      <w:ind w:left="2268" w:right="0" w:firstLine="0"/>
      <w:spacing w:after="57"/>
    </w:pPr>
  </w:style>
  <w:style w:type="paragraph" w:styleId="906">
    <w:name w:val="TOC Heading"/>
    <w:uiPriority w:val="39"/>
    <w:unhideWhenUsed/>
  </w:style>
  <w:style w:type="paragraph" w:styleId="907">
    <w:name w:val="table of figures"/>
    <w:basedOn w:val="908"/>
    <w:next w:val="908"/>
    <w:uiPriority w:val="99"/>
    <w:unhideWhenUsed/>
    <w:pPr>
      <w:spacing w:after="0" w:afterAutospacing="0"/>
    </w:pPr>
  </w:style>
  <w:style w:type="paragraph" w:styleId="908" w:default="1">
    <w:name w:val="Normal"/>
    <w:qFormat/>
    <w:pPr>
      <w:widowControl w:val="off"/>
    </w:pPr>
    <w:rPr>
      <w:rFonts w:ascii="Times New Roman" w:hAnsi="Times New Roman" w:eastAsia="Times New Roman"/>
    </w:rPr>
  </w:style>
  <w:style w:type="paragraph" w:styleId="909">
    <w:name w:val="Heading 2"/>
    <w:basedOn w:val="908"/>
    <w:next w:val="908"/>
    <w:link w:val="913"/>
    <w:qFormat/>
    <w:pPr>
      <w:jc w:val="center"/>
      <w:keepNext/>
      <w:widowControl/>
      <w:outlineLvl w:val="1"/>
    </w:pPr>
    <w:rPr>
      <w:b/>
      <w:sz w:val="44"/>
      <w:szCs w:val="24"/>
    </w:rPr>
  </w:style>
  <w:style w:type="character" w:styleId="910" w:default="1">
    <w:name w:val="Default Paragraph Font"/>
    <w:uiPriority w:val="1"/>
    <w:semiHidden/>
    <w:unhideWhenUsed/>
  </w:style>
  <w:style w:type="table" w:styleId="9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2" w:default="1">
    <w:name w:val="No List"/>
    <w:uiPriority w:val="99"/>
    <w:semiHidden/>
    <w:unhideWhenUsed/>
  </w:style>
  <w:style w:type="character" w:styleId="913" w:customStyle="1">
    <w:name w:val="Заголовок 2 Знак"/>
    <w:link w:val="909"/>
    <w:rPr>
      <w:rFonts w:ascii="Times New Roman" w:hAnsi="Times New Roman" w:eastAsia="Times New Roman" w:cs="Times New Roman"/>
      <w:b/>
      <w:sz w:val="44"/>
      <w:szCs w:val="24"/>
      <w:lang w:eastAsia="ru-RU"/>
    </w:rPr>
  </w:style>
  <w:style w:type="paragraph" w:styleId="914">
    <w:name w:val="Balloon Text"/>
    <w:basedOn w:val="908"/>
    <w:link w:val="915"/>
    <w:semiHidden/>
    <w:rPr>
      <w:rFonts w:ascii="Tahoma" w:hAnsi="Tahoma" w:cs="Tahoma"/>
      <w:sz w:val="16"/>
      <w:szCs w:val="16"/>
    </w:rPr>
  </w:style>
  <w:style w:type="character" w:styleId="915" w:customStyle="1">
    <w:name w:val="Текст выноски Знак"/>
    <w:link w:val="914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16">
    <w:name w:val="Normal (Web)"/>
    <w:basedOn w:val="908"/>
    <w:pPr>
      <w:spacing w:before="100" w:beforeAutospacing="1" w:after="100" w:afterAutospacing="1"/>
      <w:widowControl/>
    </w:pPr>
    <w:rPr>
      <w:sz w:val="24"/>
      <w:szCs w:val="24"/>
    </w:rPr>
  </w:style>
  <w:style w:type="table" w:styleId="917">
    <w:name w:val="Table Grid"/>
    <w:basedOn w:val="911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8">
    <w:name w:val="Header"/>
    <w:basedOn w:val="908"/>
    <w:link w:val="919"/>
    <w:pPr>
      <w:widowControl/>
      <w:tabs>
        <w:tab w:val="center" w:pos="4677" w:leader="none"/>
        <w:tab w:val="right" w:pos="9355" w:leader="none"/>
      </w:tabs>
    </w:pPr>
    <w:rPr>
      <w:sz w:val="28"/>
      <w:szCs w:val="24"/>
    </w:rPr>
  </w:style>
  <w:style w:type="character" w:styleId="919" w:customStyle="1">
    <w:name w:val="Верхний колонтитул Знак"/>
    <w:link w:val="918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920">
    <w:name w:val="Body Text Indent"/>
    <w:basedOn w:val="908"/>
    <w:link w:val="921"/>
    <w:pPr>
      <w:ind w:left="283"/>
      <w:spacing w:after="120"/>
      <w:widowControl/>
    </w:pPr>
    <w:rPr>
      <w:sz w:val="24"/>
      <w:szCs w:val="24"/>
    </w:rPr>
  </w:style>
  <w:style w:type="character" w:styleId="921" w:customStyle="1">
    <w:name w:val="Основной текст с отступом Знак"/>
    <w:link w:val="92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2" w:customStyle="1">
    <w:name w:val="ConsPlusNonformat"/>
    <w:rPr>
      <w:rFonts w:ascii="Courier New" w:hAnsi="Courier New" w:eastAsia="Times New Roman" w:cs="Courier New"/>
    </w:rPr>
  </w:style>
  <w:style w:type="paragraph" w:styleId="923">
    <w:name w:val="Body Text"/>
    <w:basedOn w:val="908"/>
    <w:link w:val="924"/>
    <w:pPr>
      <w:spacing w:after="120"/>
    </w:pPr>
  </w:style>
  <w:style w:type="character" w:styleId="924" w:customStyle="1">
    <w:name w:val="Основной текст Знак"/>
    <w:link w:val="92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25">
    <w:name w:val="Caption"/>
    <w:basedOn w:val="908"/>
    <w:next w:val="908"/>
    <w:qFormat/>
    <w:pPr>
      <w:jc w:val="center"/>
      <w:widowControl/>
    </w:pPr>
    <w:rPr>
      <w:b/>
      <w:sz w:val="32"/>
    </w:rPr>
  </w:style>
  <w:style w:type="paragraph" w:styleId="926">
    <w:name w:val="Body Text Indent 2"/>
    <w:basedOn w:val="908"/>
    <w:link w:val="927"/>
    <w:pPr>
      <w:ind w:left="283"/>
      <w:spacing w:after="120" w:line="480" w:lineRule="auto"/>
      <w:widowControl/>
    </w:pPr>
    <w:rPr>
      <w:sz w:val="24"/>
      <w:szCs w:val="24"/>
    </w:rPr>
  </w:style>
  <w:style w:type="character" w:styleId="927" w:customStyle="1">
    <w:name w:val="Основной текст с отступом 2 Знак"/>
    <w:link w:val="926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8">
    <w:name w:val="List Paragraph"/>
    <w:basedOn w:val="908"/>
    <w:qFormat/>
    <w:pPr>
      <w:contextualSpacing/>
      <w:ind w:left="720"/>
      <w:spacing w:after="200" w:line="276" w:lineRule="auto"/>
      <w:widowControl/>
    </w:pPr>
    <w:rPr>
      <w:rFonts w:ascii="Calibri" w:hAnsi="Calibri" w:eastAsia="Calibri"/>
      <w:sz w:val="22"/>
      <w:szCs w:val="22"/>
      <w:lang w:eastAsia="en-US"/>
    </w:rPr>
  </w:style>
  <w:style w:type="paragraph" w:styleId="929">
    <w:name w:val="No Spacing"/>
    <w:uiPriority w:val="1"/>
    <w:qFormat/>
    <w:rPr>
      <w:rFonts w:cs="Calibri"/>
      <w:sz w:val="22"/>
      <w:szCs w:val="22"/>
      <w:lang w:eastAsia="en-US"/>
    </w:rPr>
  </w:style>
  <w:style w:type="paragraph" w:styleId="930" w:customStyle="1">
    <w:name w:val="ConsPlusNormal"/>
    <w:rPr>
      <w:rFonts w:ascii="Times New Roman" w:hAnsi="Times New Roman" w:eastAsia="Times New Roman"/>
      <w:sz w:val="24"/>
      <w:szCs w:val="24"/>
    </w:rPr>
  </w:style>
  <w:style w:type="character" w:styleId="931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paragraph" w:styleId="932">
    <w:name w:val="Footer"/>
    <w:basedOn w:val="908"/>
    <w:link w:val="93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3" w:customStyle="1">
    <w:name w:val="Нижний колонтитул Знак"/>
    <w:link w:val="932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34">
    <w:name w:val="Hyperlink"/>
    <w:basedOn w:val="910"/>
    <w:uiPriority w:val="99"/>
    <w:unhideWhenUsed/>
    <w:rPr>
      <w:color w:val="0000ff" w:themeColor="hyperlink"/>
      <w:u w:val="single"/>
    </w:rPr>
  </w:style>
  <w:style w:type="paragraph" w:styleId="935" w:customStyle="1">
    <w:name w:val="Абзац списка1"/>
    <w:basedOn w:val="908"/>
    <w:pPr>
      <w:ind w:left="720"/>
      <w:spacing w:after="200" w:line="276" w:lineRule="auto"/>
      <w:widowControl/>
    </w:pPr>
    <w:rPr>
      <w:rFonts w:ascii="Calibri" w:hAnsi="Calibri" w:eastAsia="Calibri" w:cs="Calibri"/>
      <w:sz w:val="22"/>
      <w:szCs w:val="22"/>
      <w:lang w:eastAsia="en-US"/>
    </w:rPr>
  </w:style>
  <w:style w:type="table" w:styleId="936" w:customStyle="1">
    <w:name w:val="Сетка таблицы1"/>
    <w:basedOn w:val="911"/>
    <w:next w:val="917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37" w:customStyle="1">
    <w:name w:val="Сетка таблицы2"/>
    <w:basedOn w:val="911"/>
    <w:next w:val="917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C5CBD-61D9-4212-9FA6-BCFAAD7EF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Татаринцева Наталия Андреевна</dc:creator>
  <cp:revision>4</cp:revision>
  <dcterms:created xsi:type="dcterms:W3CDTF">2024-11-21T05:56:00Z</dcterms:created>
  <dcterms:modified xsi:type="dcterms:W3CDTF">2024-12-06T06:43:47Z</dcterms:modified>
</cp:coreProperties>
</file>