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14.11.2024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1786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-5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 «</w:t>
      </w:r>
      <w:r>
        <w:rPr>
          <w:b/>
        </w:rPr>
        <w:t xml:space="preserve">Обеспечение общественного порядка </w:t>
      </w:r>
      <w:r>
        <w:rPr>
          <w:b/>
        </w:rPr>
      </w:r>
      <w:r>
        <w:rPr>
          <w:b/>
          <w:bCs/>
        </w:rPr>
      </w:r>
    </w:p>
    <w:p>
      <w:pPr>
        <w:ind w:right="-5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и</w:t>
      </w:r>
      <w:r>
        <w:rPr>
          <w:b/>
        </w:rPr>
        <w:t xml:space="preserve"> безопасности населения</w:t>
      </w:r>
      <w:r>
        <w:rPr>
          <w:b/>
        </w:rPr>
        <w:t xml:space="preserve">» на 202</w:t>
      </w:r>
      <w:r>
        <w:rPr>
          <w:b/>
        </w:rPr>
        <w:t xml:space="preserve">5</w:t>
      </w:r>
      <w:r>
        <w:rPr>
          <w:b/>
        </w:rPr>
        <w:t xml:space="preserve">-202</w:t>
      </w:r>
      <w:r>
        <w:rPr>
          <w:b/>
        </w:rPr>
        <w:t xml:space="preserve">7</w:t>
      </w:r>
      <w:r>
        <w:rPr>
          <w:b/>
        </w:rPr>
        <w:t xml:space="preserve"> годы, </w:t>
      </w:r>
      <w:r>
        <w:rPr>
          <w:b/>
        </w:rPr>
        <w:t xml:space="preserve">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</w:t>
      </w:r>
      <w:r>
        <w:rPr>
          <w:b/>
        </w:rPr>
        <w:t xml:space="preserve">1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712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</w:t>
      </w:r>
      <w:r>
        <w:rPr>
          <w:rFonts w:eastAsia="Times New Roman"/>
          <w:sz w:val="24"/>
          <w:szCs w:val="24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sz w:val="24"/>
          <w:szCs w:val="24"/>
        </w:rPr>
        <w:t xml:space="preserve">я</w:t>
      </w:r>
      <w:r>
        <w:rPr>
          <w:rFonts w:eastAsia="Times New Roman"/>
          <w:sz w:val="24"/>
          <w:szCs w:val="24"/>
        </w:rPr>
        <w:t xml:space="preserve"> эффективности использования бюджетных средств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-202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 постановлением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 дополнить пунктом 42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60"/>
        <w:tblW w:w="4888" w:type="pct"/>
        <w:tblInd w:w="108" w:type="dxa"/>
        <w:tblLook w:val="04A0" w:firstRow="1" w:lastRow="0" w:firstColumn="1" w:lastColumn="0" w:noHBand="0" w:noVBand="1"/>
      </w:tblPr>
      <w:tblGrid>
        <w:gridCol w:w="1986"/>
        <w:gridCol w:w="7371"/>
      </w:tblGrid>
      <w:tr>
        <w:tblPrEx/>
        <w:trPr/>
        <w:tc>
          <w:tcPr>
            <w:tcW w:w="1061" w:type="pct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939" w:type="pct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«42. Количество учреждений, в которых произведена установка системы оповещения и управления эвакуацией при пожаре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5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Ind w:w="8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72 363,3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 9113,7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63249,6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24450,1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19393,5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19406,0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строку «Исполнители программы» паспорта Программы дополнить словами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«, муниципальное </w:t>
      </w:r>
      <w:r>
        <w:rPr>
          <w:rFonts w:eastAsia="Times New Roman"/>
          <w:sz w:val="24"/>
          <w:szCs w:val="24"/>
        </w:rPr>
        <w:t xml:space="preserve">бюджетное учреждение дополнительного образования «Детская музыкальная школа № 2» (далее </w:t>
      </w:r>
      <w:r>
        <w:rPr>
          <w:rFonts w:eastAsia="Times New Roman"/>
          <w:sz w:val="24"/>
          <w:szCs w:val="24"/>
        </w:rPr>
        <w:t xml:space="preserve"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МБУДО «</w:t>
      </w:r>
      <w:r>
        <w:rPr>
          <w:rFonts w:eastAsia="Times New Roman"/>
          <w:sz w:val="24"/>
          <w:szCs w:val="24"/>
        </w:rPr>
        <w:t xml:space="preserve">ДМШ № 2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)</w:t>
      </w:r>
      <w:r>
        <w:rPr>
          <w:rFonts w:eastAsia="Times New Roman"/>
          <w:sz w:val="24"/>
          <w:szCs w:val="24"/>
        </w:rPr>
        <w:t xml:space="preserve">, м</w:t>
      </w:r>
      <w:r>
        <w:rPr>
          <w:rFonts w:eastAsia="Times New Roman"/>
          <w:sz w:val="24"/>
          <w:szCs w:val="24"/>
        </w:rPr>
        <w:t xml:space="preserve">униципальное бюджетное культурно-просветительное учреждение «</w:t>
      </w:r>
      <w:r>
        <w:rPr>
          <w:rFonts w:eastAsia="Times New Roman"/>
          <w:sz w:val="24"/>
          <w:szCs w:val="24"/>
        </w:rPr>
        <w:t xml:space="preserve">Печенгское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межпоселенческое</w:t>
      </w:r>
      <w:r>
        <w:rPr>
          <w:rFonts w:eastAsia="Times New Roman"/>
          <w:sz w:val="24"/>
          <w:szCs w:val="24"/>
        </w:rPr>
        <w:t xml:space="preserve"> библиотечное объединение» (далее – </w:t>
      </w:r>
      <w:r>
        <w:rPr>
          <w:rFonts w:eastAsia="Times New Roman"/>
          <w:sz w:val="24"/>
          <w:szCs w:val="24"/>
        </w:rPr>
        <w:t xml:space="preserve">МБКПУ «</w:t>
      </w:r>
      <w:r>
        <w:rPr>
          <w:rFonts w:eastAsia="Times New Roman"/>
          <w:sz w:val="24"/>
          <w:szCs w:val="24"/>
        </w:rPr>
        <w:t xml:space="preserve">Печенгское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МБО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)</w:t>
      </w:r>
      <w:r>
        <w:rPr>
          <w:rFonts w:eastAsia="Times New Roman"/>
          <w:sz w:val="24"/>
          <w:szCs w:val="24"/>
        </w:rPr>
        <w:t xml:space="preserve">»;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</w:t>
      </w:r>
      <w:r>
        <w:rPr>
          <w:sz w:val="24"/>
          <w:szCs w:val="24"/>
        </w:rPr>
        <w:t xml:space="preserve">раздел</w:t>
      </w:r>
      <w:r>
        <w:rPr>
          <w:sz w:val="24"/>
          <w:szCs w:val="24"/>
        </w:rPr>
        <w:t xml:space="preserve">а 2 «Основные цели</w:t>
      </w:r>
      <w:r>
        <w:rPr>
          <w:sz w:val="24"/>
          <w:szCs w:val="24"/>
        </w:rPr>
        <w:t xml:space="preserve"> и задачи программы с указанием сроков и этапов ее реализации, а также перечень основных мероприятий и показателей»</w:t>
      </w:r>
      <w:r>
        <w:rPr>
          <w:sz w:val="24"/>
          <w:szCs w:val="24"/>
        </w:rPr>
        <w:t xml:space="preserve"> дополнить пунктом 2.3.10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60"/>
        <w:tblW w:w="0" w:type="auto"/>
        <w:jc w:val="center"/>
        <w:tblInd w:w="-2006" w:type="dxa"/>
        <w:tblLook w:val="04A0" w:firstRow="1" w:lastRow="0" w:firstColumn="1" w:lastColumn="0" w:noHBand="0" w:noVBand="1"/>
      </w:tblPr>
      <w:tblGrid>
        <w:gridCol w:w="866"/>
        <w:gridCol w:w="2827"/>
        <w:gridCol w:w="630"/>
        <w:gridCol w:w="738"/>
        <w:gridCol w:w="784"/>
        <w:gridCol w:w="709"/>
        <w:gridCol w:w="709"/>
        <w:gridCol w:w="708"/>
        <w:gridCol w:w="1449"/>
      </w:tblGrid>
      <w:tr>
        <w:tblPrEx/>
        <w:trPr>
          <w:jc w:val="center"/>
        </w:trPr>
        <w:tc>
          <w:tcPr>
            <w:tcW w:w="866" w:type="dxa"/>
            <w:textDirection w:val="lrTb"/>
            <w:noWrap w:val="false"/>
          </w:tcPr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«</w:t>
            </w:r>
            <w:r>
              <w:t xml:space="preserve">2.3.10.</w:t>
            </w:r>
            <w:r/>
          </w:p>
        </w:tc>
        <w:tc>
          <w:tcPr>
            <w:tcW w:w="2827" w:type="dxa"/>
            <w:textDirection w:val="lrTb"/>
            <w:noWrap w:val="false"/>
          </w:tcPr>
          <w:p>
            <w:pPr>
              <w:pStyle w:val="861"/>
              <w:ind w:left="0"/>
              <w:jc w:val="both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Количество учреждений, в которых произведена установка системы оповещения и управления эвакуацией при пожаре</w:t>
            </w:r>
            <w:r/>
          </w:p>
        </w:tc>
        <w:tc>
          <w:tcPr>
            <w:tcW w:w="630" w:type="dxa"/>
            <w:textDirection w:val="lrTb"/>
            <w:noWrap w:val="false"/>
          </w:tcPr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ед.</w:t>
            </w:r>
            <w:r/>
          </w:p>
        </w:tc>
        <w:tc>
          <w:tcPr>
            <w:tcW w:w="738" w:type="dxa"/>
            <w:textDirection w:val="lrTb"/>
            <w:noWrap w:val="false"/>
          </w:tcPr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1449" w:type="dxa"/>
            <w:textDirection w:val="lrTb"/>
            <w:noWrap w:val="false"/>
          </w:tcPr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Отчет</w:t>
            </w:r>
            <w:r/>
          </w:p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МБУД</w:t>
            </w:r>
            <w:r>
              <w:rPr>
                <w:rFonts w:eastAsia="Times New Roman"/>
              </w:rPr>
              <w:t xml:space="preserve">О</w:t>
            </w:r>
            <w:bookmarkStart w:id="0" w:name="_GoBack"/>
            <w:r/>
            <w:bookmarkEnd w:id="0"/>
            <w:r>
              <w:rPr>
                <w:rFonts w:eastAsia="Times New Roman"/>
              </w:rPr>
              <w:t xml:space="preserve"> «ДМШ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rPr>
                <w:rFonts w:eastAsia="Times New Roman"/>
              </w:rPr>
              <w:t xml:space="preserve">№ 2»</w:t>
            </w:r>
            <w:r>
              <w:rPr>
                <w:rFonts w:eastAsia="Times New Roman"/>
              </w:rPr>
              <w:t xml:space="preserve">»;</w:t>
            </w:r>
            <w:r/>
          </w:p>
          <w:p>
            <w:pPr>
              <w:pStyle w:val="861"/>
              <w:ind w:left="0"/>
              <w:jc w:val="center"/>
              <w:tabs>
                <w:tab w:val="left" w:pos="0" w:leader="none"/>
                <w:tab w:val="left" w:pos="993" w:leader="none"/>
                <w:tab w:val="left" w:pos="1134" w:leader="none"/>
                <w:tab w:val="left" w:pos="9355" w:leader="none"/>
              </w:tabs>
            </w:pPr>
            <w:r>
              <w:t xml:space="preserve"> </w:t>
            </w:r>
            <w:r/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5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паспорта </w:t>
      </w:r>
      <w:r>
        <w:rPr>
          <w:sz w:val="24"/>
          <w:szCs w:val="24"/>
        </w:rPr>
        <w:t xml:space="preserve">подпрограммы 2 «Профилактика правонарушений»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Подпрограмма 2)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Ind w:w="8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9 1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,7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 9113,7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6</w:t>
      </w:r>
      <w:r>
        <w:rPr>
          <w:rFonts w:eastAsia="Times New Roman"/>
          <w:sz w:val="24"/>
          <w:szCs w:val="24"/>
        </w:rPr>
        <w:t xml:space="preserve">, «Итого по основному мероприятию 2» и «Всего по подпрограмме 2» 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2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993"/>
        <w:gridCol w:w="850"/>
        <w:gridCol w:w="850"/>
        <w:gridCol w:w="851"/>
        <w:gridCol w:w="994"/>
        <w:gridCol w:w="1132"/>
      </w:tblGrid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2.2.6.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Реализация закона Мурманской области от 28.12.2004 № 571-01-ЗМО «О комиссиях по делам несовершеннолетних </w:t>
            </w:r>
            <w:r>
              <w:rPr>
                <w:rFonts w:eastAsia="Times New Roman"/>
                <w:spacing w:val="1"/>
              </w:rPr>
              <w:t xml:space="preserve">и защите их прав в Мурманской области»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Комиссия ПДН и ЗП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9113,7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3037,9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3037,9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3037,9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9113,7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3037,9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3037,9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3037,9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</w:t>
            </w:r>
            <w:r>
              <w:rPr>
                <w:rFonts w:eastAsia="Times New Roman"/>
                <w:b/>
                <w:spacing w:val="1"/>
              </w:rPr>
              <w:t xml:space="preserve">основному </w:t>
            </w:r>
            <w:r>
              <w:rPr>
                <w:rFonts w:eastAsia="Times New Roman"/>
                <w:b/>
                <w:spacing w:val="1"/>
              </w:rPr>
              <w:t xml:space="preserve">мероприятию </w:t>
            </w: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9113,7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3037,9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3037,9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3037,9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9143,7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3047,9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3047,9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3047,9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9113,7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3037,9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3037,9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3037,9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9143,7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3047,9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3047,9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3047,9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подпрограммы» в паспорте подпрограммы 3 «Обеспечение защиты населения и территорий от чрезвычайных ситуаций» (далее – Подпрограмма 3)   дополнить пунктом 10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60"/>
        <w:tblW w:w="4888" w:type="pct"/>
        <w:tblInd w:w="108" w:type="dxa"/>
        <w:tblLook w:val="04A0" w:firstRow="1" w:lastRow="0" w:firstColumn="1" w:lastColumn="0" w:noHBand="0" w:noVBand="1"/>
      </w:tblPr>
      <w:tblGrid>
        <w:gridCol w:w="1986"/>
        <w:gridCol w:w="7371"/>
      </w:tblGrid>
      <w:tr>
        <w:tblPrEx/>
        <w:trPr/>
        <w:tc>
          <w:tcPr>
            <w:tcW w:w="1061" w:type="pct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939" w:type="pct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«10. Количество учреждений, в которых произведена установка системы оповещения и управления эвакуацией при пожаре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строку «Исполнители подпрограммы» паспорта Подпрограммы 3 дополнить словами «,</w:t>
      </w:r>
      <w:r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МБУДО «</w:t>
      </w:r>
      <w:r>
        <w:rPr>
          <w:rFonts w:eastAsia="Times New Roman"/>
          <w:sz w:val="24"/>
          <w:szCs w:val="24"/>
        </w:rPr>
        <w:t xml:space="preserve">ДМШ № 2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»;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-142" w:leader="none"/>
          <w:tab w:val="left" w:pos="709" w:leader="none"/>
          <w:tab w:val="left" w:pos="851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- строку «Финансовое обеспечение подпрограммы» паспорта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одпрограммы 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Ind w:w="8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59 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99,6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99,6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19253,5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19266,0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«Перечень мероприятий подпрограммы с</w:t>
      </w:r>
      <w:r>
        <w:rPr>
          <w:sz w:val="24"/>
          <w:szCs w:val="24"/>
        </w:rPr>
        <w:t xml:space="preserve"> объемом финансирования»</w:t>
      </w:r>
      <w:r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одпрограммы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850"/>
        <w:gridCol w:w="992"/>
        <w:gridCol w:w="1134"/>
        <w:gridCol w:w="993"/>
        <w:gridCol w:w="1134"/>
        <w:gridCol w:w="992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3.1.5.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</w:t>
            </w:r>
            <w:r>
              <w:rPr>
                <w:rFonts w:eastAsia="Times New Roman"/>
                <w:spacing w:val="1"/>
              </w:rPr>
              <w:t xml:space="preserve">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Отдел ГО, ЧС и ПБ</w:t>
            </w:r>
            <w:r>
              <w:rPr>
                <w:rFonts w:eastAsia="Times New Roman"/>
                <w:spacing w:val="1"/>
              </w:rPr>
              <w:t xml:space="preserve">, </w:t>
            </w:r>
            <w:r>
              <w:rPr>
                <w:rFonts w:eastAsia="Times New Roman"/>
                <w:spacing w:val="1"/>
              </w:rPr>
              <w:t xml:space="preserve"> </w:t>
            </w:r>
            <w:r>
              <w:rPr>
                <w:rFonts w:eastAsia="Times New Roman"/>
                <w:spacing w:val="1"/>
              </w:rPr>
              <w:t xml:space="preserve"> МБУДО «</w:t>
            </w:r>
            <w:r>
              <w:rPr>
                <w:rFonts w:eastAsia="Times New Roman"/>
                <w:spacing w:val="1"/>
              </w:rPr>
              <w:t xml:space="preserve">ДМШ 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№ 2</w:t>
            </w:r>
            <w:r>
              <w:rPr>
                <w:rFonts w:eastAsia="Times New Roman"/>
                <w:spacing w:val="1"/>
              </w:rPr>
              <w:t xml:space="preserve">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300,0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300,0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 мероприятию 1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3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  <w:t xml:space="preserve">99,6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  <w:t xml:space="preserve">1080</w:t>
            </w:r>
            <w:r>
              <w:rPr>
                <w:rFonts w:eastAsia="Times New Roman"/>
                <w:b/>
                <w:spacing w:val="1"/>
              </w:rPr>
              <w:t xml:space="preserve">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  <w:t xml:space="preserve">99,6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80,1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3.1.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таблицы 2 «Перечень мероприятий подпрограммы с показателями результативности выполнения мероприятий» к Подпрограмме 3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67"/>
        <w:tblW w:w="9356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709"/>
        <w:gridCol w:w="2410"/>
        <w:gridCol w:w="567"/>
        <w:gridCol w:w="708"/>
        <w:gridCol w:w="709"/>
        <w:gridCol w:w="709"/>
        <w:gridCol w:w="1134"/>
      </w:tblGrid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«3.1.5.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Недопущение распространения огня (при лесном пожаре) на жилые постройки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Да/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нет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учреждений, в которых произведена установка системы оповещения и управления эвакуацией при пожаре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 МБУДО «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ДМШ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№ 2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строку «Исполнители подпрограммы» паспорта Подпрограммы 4 «Противодействие терроризму и профилактика экстремизма» (далее – Подпрограмма 4)  дополнить словами «,  </w:t>
      </w:r>
      <w:r>
        <w:rPr>
          <w:sz w:val="24"/>
          <w:szCs w:val="24"/>
        </w:rPr>
        <w:t xml:space="preserve">МБКПУ «</w:t>
      </w:r>
      <w:r>
        <w:rPr>
          <w:sz w:val="24"/>
          <w:szCs w:val="24"/>
        </w:rPr>
        <w:t xml:space="preserve">Печенгское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МБО</w:t>
      </w:r>
      <w:r>
        <w:rPr>
          <w:rFonts w:eastAsia="Times New Roman"/>
          <w:sz w:val="24"/>
          <w:szCs w:val="24"/>
        </w:rPr>
        <w:t xml:space="preserve">»;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«Финансовое обеспечение подпрограммы» паспорта Подпрограммы 4 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29" w:type="dxa"/>
        <w:jc w:val="center"/>
        <w:tblInd w:w="132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64"/>
        <w:gridCol w:w="7265"/>
      </w:tblGrid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6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5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подпрограмме: </w:t>
            </w:r>
            <w:r>
              <w:rPr>
                <w:b/>
                <w:sz w:val="24"/>
                <w:szCs w:val="24"/>
                <w:lang w:eastAsia="en-US"/>
              </w:rPr>
              <w:t xml:space="preserve">3 </w:t>
            </w:r>
            <w:r>
              <w:rPr>
                <w:b/>
                <w:sz w:val="24"/>
                <w:szCs w:val="24"/>
                <w:lang w:eastAsia="en-US"/>
              </w:rPr>
              <w:t xml:space="preserve">6</w:t>
            </w:r>
            <w:r>
              <w:rPr>
                <w:b/>
                <w:sz w:val="24"/>
                <w:szCs w:val="24"/>
                <w:lang w:eastAsia="en-US"/>
              </w:rPr>
              <w:t xml:space="preserve">20,0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3</w:t>
            </w:r>
            <w:r>
              <w:rPr>
                <w:sz w:val="24"/>
                <w:szCs w:val="24"/>
                <w:lang w:eastAsia="en-US"/>
              </w:rPr>
              <w:t xml:space="preserve">6</w:t>
            </w:r>
            <w:r>
              <w:rPr>
                <w:sz w:val="24"/>
                <w:szCs w:val="24"/>
                <w:lang w:eastAsia="en-US"/>
              </w:rPr>
              <w:t xml:space="preserve">20,0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3</w:t>
            </w:r>
            <w:r>
              <w:rPr>
                <w:sz w:val="24"/>
                <w:szCs w:val="24"/>
                <w:lang w:eastAsia="en-US"/>
              </w:rPr>
              <w:t xml:space="preserve">3</w:t>
            </w:r>
            <w:r>
              <w:rPr>
                <w:sz w:val="24"/>
                <w:szCs w:val="24"/>
                <w:lang w:eastAsia="en-US"/>
              </w:rPr>
              <w:t xml:space="preserve">60,0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130,0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130,0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 тыс. рублей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строку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таблицы 1 «Перечень мероприятий подпрограммы с объемом финансирования»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одпрограммы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851"/>
        <w:gridCol w:w="992"/>
        <w:gridCol w:w="992"/>
        <w:gridCol w:w="993"/>
        <w:gridCol w:w="992"/>
        <w:gridCol w:w="1134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4.2.1.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Отдел ГО, ЧС и ПБ; образовательные организации;</w:t>
            </w:r>
            <w:r>
              <w:rPr>
                <w:rFonts w:eastAsia="Times New Roman"/>
                <w:spacing w:val="1"/>
              </w:rPr>
              <w:t xml:space="preserve"> </w:t>
            </w:r>
            <w:r>
              <w:t xml:space="preserve">МБКПУ «</w:t>
            </w:r>
            <w:r>
              <w:t xml:space="preserve">Печенгское</w:t>
            </w:r>
            <w:r>
              <w:rPr>
                <w:rFonts w:eastAsia="Times New Roman"/>
                <w:spacing w:val="1"/>
              </w:rPr>
              <w:t xml:space="preserve"> </w:t>
            </w:r>
            <w:r>
              <w:rPr>
                <w:rFonts w:eastAsia="Times New Roman"/>
                <w:spacing w:val="1"/>
              </w:rPr>
              <w:t xml:space="preserve">МБО</w:t>
            </w:r>
            <w:r>
              <w:rPr>
                <w:rFonts w:eastAsia="Times New Roman"/>
                <w:spacing w:val="1"/>
              </w:rPr>
              <w:t xml:space="preserve">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  <w:lang w:val="en-US"/>
              </w:rPr>
              <w:t xml:space="preserve">3230</w:t>
            </w:r>
            <w:r>
              <w:rPr>
                <w:rFonts w:eastAsia="Times New Roman"/>
                <w:spacing w:val="1"/>
              </w:rPr>
              <w:t xml:space="preserve">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  <w:lang w:val="en-US"/>
              </w:rPr>
              <w:t xml:space="preserve">3230</w:t>
            </w:r>
            <w:r>
              <w:rPr>
                <w:rFonts w:eastAsia="Times New Roman"/>
                <w:spacing w:val="1"/>
              </w:rPr>
              <w:t xml:space="preserve">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  <w:lang w:val="en-US"/>
              </w:rPr>
              <w:t xml:space="preserve">3230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  <w:lang w:val="en-US"/>
              </w:rPr>
              <w:t xml:space="preserve">3230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 мероприятию 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  <w:lang w:val="en-US"/>
              </w:rPr>
              <w:t xml:space="preserve">3230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  <w:lang w:val="en-US"/>
              </w:rPr>
              <w:t xml:space="preserve">3230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  <w:lang w:val="en-US"/>
              </w:rPr>
              <w:t xml:space="preserve">3230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  <w:lang w:val="en-US"/>
              </w:rPr>
              <w:t xml:space="preserve">3230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  <w:lang w:val="en-US"/>
              </w:rPr>
              <w:t xml:space="preserve">6</w:t>
            </w:r>
            <w:r>
              <w:rPr>
                <w:rFonts w:eastAsia="Times New Roman"/>
                <w:b/>
                <w:spacing w:val="1"/>
              </w:rPr>
              <w:t xml:space="preserve">20,0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  <w:lang w:val="en-US"/>
              </w:rPr>
              <w:t xml:space="preserve">3</w:t>
            </w:r>
            <w:r>
              <w:rPr>
                <w:rFonts w:eastAsia="Times New Roman"/>
                <w:b/>
                <w:spacing w:val="1"/>
              </w:rPr>
              <w:t xml:space="preserve">60,0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  <w:lang w:val="en-US"/>
              </w:rPr>
              <w:t xml:space="preserve">6</w:t>
            </w:r>
            <w:r>
              <w:rPr>
                <w:rFonts w:eastAsia="Times New Roman"/>
                <w:b/>
                <w:spacing w:val="1"/>
              </w:rPr>
              <w:t xml:space="preserve">20,0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  <w:lang w:val="en-US"/>
              </w:rPr>
              <w:t xml:space="preserve">3</w:t>
            </w:r>
            <w:r>
              <w:rPr>
                <w:rFonts w:eastAsia="Times New Roman"/>
                <w:b/>
                <w:spacing w:val="1"/>
              </w:rPr>
              <w:t xml:space="preserve">60,0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</w:t>
      </w:r>
      <w:r>
        <w:rPr>
          <w:sz w:val="24"/>
          <w:szCs w:val="24"/>
        </w:rPr>
        <w:t xml:space="preserve">4.2</w:t>
      </w:r>
      <w:r>
        <w:rPr>
          <w:sz w:val="24"/>
          <w:szCs w:val="24"/>
        </w:rPr>
        <w:t xml:space="preserve">.1 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67"/>
        <w:tblW w:w="9356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2127"/>
        <w:gridCol w:w="567"/>
        <w:gridCol w:w="708"/>
        <w:gridCol w:w="709"/>
        <w:gridCol w:w="709"/>
        <w:gridCol w:w="1134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«4.2.1.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Мероприятия по усилению антитеррористической защищенности объектов, находящихся в ведении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Печенгского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муниципального округа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Усиление антитеррористической защищенности объектов, находящихся в ведении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Да/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нет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ПБ; образовательные организации;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t xml:space="preserve">МБКПУ «</w:t>
            </w:r>
            <w:r>
              <w:t xml:space="preserve">Печенгское</w:t>
            </w:r>
            <w:r>
              <w:rPr>
                <w:rFonts w:eastAsia="Times New Roman"/>
                <w:spacing w:val="1"/>
              </w:rPr>
              <w:t xml:space="preserve"> </w:t>
            </w:r>
            <w:r>
              <w:rPr>
                <w:rFonts w:eastAsia="Times New Roman"/>
                <w:spacing w:val="1"/>
              </w:rPr>
              <w:t xml:space="preserve">МБО».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</w:t>
      </w:r>
      <w:r>
        <w:rPr>
          <w:rFonts w:eastAsia="Times New Roman"/>
          <w:sz w:val="24"/>
          <w:szCs w:val="24"/>
        </w:rPr>
        <w:t xml:space="preserve"> с 01 января 2025 года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</w:t>
      </w:r>
      <w:r>
        <w:rPr>
          <w:sz w:val="24"/>
        </w:rPr>
        <w:t xml:space="preserve">ть</w:t>
      </w:r>
      <w:r>
        <w:rPr>
          <w:sz w:val="24"/>
        </w:rPr>
        <w:t xml:space="preserve"> в</w:t>
      </w:r>
      <w:r>
        <w:rPr>
          <w:sz w:val="24"/>
        </w:rPr>
        <w:t xml:space="preserve"> официальном издании</w:t>
      </w:r>
      <w:r>
        <w:rPr>
          <w:sz w:val="24"/>
        </w:rPr>
        <w:t xml:space="preserve"> газет</w:t>
      </w:r>
      <w:r>
        <w:rPr>
          <w:sz w:val="24"/>
        </w:rPr>
        <w:t xml:space="preserve">а</w:t>
      </w:r>
      <w:r>
        <w:rPr>
          <w:sz w:val="24"/>
        </w:rPr>
        <w:t xml:space="preserve"> «Печенга» и разме</w:t>
      </w:r>
      <w:r>
        <w:rPr>
          <w:sz w:val="24"/>
        </w:rPr>
        <w:t xml:space="preserve">стить</w:t>
      </w:r>
      <w:r>
        <w:rPr>
          <w:sz w:val="24"/>
        </w:rPr>
        <w:t xml:space="preserve"> </w:t>
      </w:r>
      <w:r>
        <w:rPr>
          <w:rFonts w:eastAsia="Times New Roman"/>
          <w:sz w:val="24"/>
          <w:szCs w:val="24"/>
        </w:rPr>
        <w:t xml:space="preserve">на сайте </w:t>
      </w:r>
      <w:r>
        <w:rPr>
          <w:rFonts w:eastAsia="Times New Roman"/>
          <w:sz w:val="24"/>
          <w:szCs w:val="24"/>
        </w:rPr>
        <w:t xml:space="preserve">Печенгс</w:t>
      </w:r>
      <w:r>
        <w:rPr>
          <w:rFonts w:eastAsia="Times New Roman"/>
          <w:sz w:val="24"/>
          <w:szCs w:val="24"/>
        </w:rPr>
        <w:t xml:space="preserve">кого</w:t>
      </w:r>
      <w:r>
        <w:rPr>
          <w:rFonts w:eastAsia="Times New Roman"/>
          <w:sz w:val="24"/>
          <w:szCs w:val="24"/>
        </w:rPr>
        <w:t xml:space="preserve">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Соболев</w:t>
      </w:r>
      <w:r>
        <w:t xml:space="preserve"> </w:t>
      </w:r>
      <w:r>
        <w:t xml:space="preserve">А</w:t>
      </w:r>
      <w:r>
        <w:t xml:space="preserve">.В.</w:t>
      </w:r>
      <w:r>
        <w:t xml:space="preserve">,50007</w:t>
      </w:r>
      <w:r/>
      <w:r/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5">
    <w:name w:val="Heading 1"/>
    <w:basedOn w:val="848"/>
    <w:next w:val="848"/>
    <w:link w:val="67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6">
    <w:name w:val="Heading 1 Char"/>
    <w:basedOn w:val="849"/>
    <w:link w:val="675"/>
    <w:uiPriority w:val="9"/>
    <w:rPr>
      <w:rFonts w:ascii="Arial" w:hAnsi="Arial" w:eastAsia="Arial" w:cs="Arial"/>
      <w:sz w:val="40"/>
      <w:szCs w:val="40"/>
    </w:rPr>
  </w:style>
  <w:style w:type="paragraph" w:styleId="677">
    <w:name w:val="Heading 2"/>
    <w:basedOn w:val="848"/>
    <w:next w:val="848"/>
    <w:link w:val="67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8">
    <w:name w:val="Heading 2 Char"/>
    <w:basedOn w:val="849"/>
    <w:link w:val="677"/>
    <w:uiPriority w:val="9"/>
    <w:rPr>
      <w:rFonts w:ascii="Arial" w:hAnsi="Arial" w:eastAsia="Arial" w:cs="Arial"/>
      <w:sz w:val="34"/>
    </w:rPr>
  </w:style>
  <w:style w:type="paragraph" w:styleId="679">
    <w:name w:val="Heading 3"/>
    <w:basedOn w:val="848"/>
    <w:next w:val="848"/>
    <w:link w:val="68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0">
    <w:name w:val="Heading 3 Char"/>
    <w:basedOn w:val="849"/>
    <w:link w:val="679"/>
    <w:uiPriority w:val="9"/>
    <w:rPr>
      <w:rFonts w:ascii="Arial" w:hAnsi="Arial" w:eastAsia="Arial" w:cs="Arial"/>
      <w:sz w:val="30"/>
      <w:szCs w:val="30"/>
    </w:rPr>
  </w:style>
  <w:style w:type="paragraph" w:styleId="681">
    <w:name w:val="Heading 4"/>
    <w:basedOn w:val="848"/>
    <w:next w:val="848"/>
    <w:link w:val="68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2">
    <w:name w:val="Heading 4 Char"/>
    <w:basedOn w:val="849"/>
    <w:link w:val="681"/>
    <w:uiPriority w:val="9"/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848"/>
    <w:next w:val="848"/>
    <w:link w:val="6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4">
    <w:name w:val="Heading 5 Char"/>
    <w:basedOn w:val="849"/>
    <w:link w:val="683"/>
    <w:uiPriority w:val="9"/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848"/>
    <w:next w:val="848"/>
    <w:link w:val="6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6">
    <w:name w:val="Heading 6 Char"/>
    <w:basedOn w:val="84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48"/>
    <w:next w:val="848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49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48"/>
    <w:next w:val="848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49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48"/>
    <w:next w:val="848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49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Title"/>
    <w:basedOn w:val="848"/>
    <w:next w:val="848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49"/>
    <w:link w:val="693"/>
    <w:uiPriority w:val="10"/>
    <w:rPr>
      <w:sz w:val="48"/>
      <w:szCs w:val="48"/>
    </w:rPr>
  </w:style>
  <w:style w:type="paragraph" w:styleId="695">
    <w:name w:val="Subtitle"/>
    <w:basedOn w:val="848"/>
    <w:next w:val="848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49"/>
    <w:link w:val="695"/>
    <w:uiPriority w:val="11"/>
    <w:rPr>
      <w:sz w:val="24"/>
      <w:szCs w:val="24"/>
    </w:rPr>
  </w:style>
  <w:style w:type="paragraph" w:styleId="697">
    <w:name w:val="Quote"/>
    <w:basedOn w:val="848"/>
    <w:next w:val="848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8"/>
    <w:next w:val="848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49"/>
    <w:link w:val="856"/>
    <w:uiPriority w:val="99"/>
  </w:style>
  <w:style w:type="character" w:styleId="702">
    <w:name w:val="Footer Char"/>
    <w:basedOn w:val="849"/>
    <w:link w:val="858"/>
    <w:uiPriority w:val="99"/>
  </w:style>
  <w:style w:type="paragraph" w:styleId="703">
    <w:name w:val="Caption"/>
    <w:basedOn w:val="848"/>
    <w:next w:val="8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8"/>
    <w:uiPriority w:val="99"/>
  </w:style>
  <w:style w:type="table" w:styleId="705">
    <w:name w:val="Table Grid Light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49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49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  <w:rPr>
      <w:rFonts w:eastAsia="Calibri"/>
    </w:rPr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paragraph" w:styleId="852">
    <w:name w:val="Normal (Web)"/>
    <w:basedOn w:val="848"/>
    <w:semiHidden/>
    <w:pPr>
      <w:spacing w:before="100" w:beforeAutospacing="1" w:after="100" w:afterAutospacing="1"/>
    </w:pPr>
    <w:rPr>
      <w:sz w:val="24"/>
      <w:szCs w:val="24"/>
    </w:rPr>
  </w:style>
  <w:style w:type="paragraph" w:styleId="853" w:customStyle="1">
    <w:name w:val="Абзац списка1"/>
    <w:basedOn w:val="84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54">
    <w:name w:val="Balloon Text"/>
    <w:basedOn w:val="848"/>
    <w:link w:val="855"/>
    <w:rPr>
      <w:rFonts w:ascii="Calibri" w:hAnsi="Calibri"/>
      <w:sz w:val="16"/>
      <w:szCs w:val="16"/>
    </w:rPr>
  </w:style>
  <w:style w:type="character" w:styleId="855" w:customStyle="1">
    <w:name w:val="Текст выноски Знак"/>
    <w:link w:val="854"/>
    <w:rPr>
      <w:rFonts w:ascii="Calibri" w:hAnsi="Calibri" w:eastAsia="Calibri"/>
      <w:sz w:val="16"/>
      <w:szCs w:val="16"/>
    </w:rPr>
  </w:style>
  <w:style w:type="paragraph" w:styleId="856">
    <w:name w:val="Header"/>
    <w:basedOn w:val="848"/>
    <w:link w:val="857"/>
    <w:pPr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link w:val="856"/>
    <w:rPr>
      <w:rFonts w:eastAsia="Calibri"/>
    </w:rPr>
  </w:style>
  <w:style w:type="paragraph" w:styleId="858">
    <w:name w:val="Footer"/>
    <w:basedOn w:val="848"/>
    <w:link w:val="859"/>
    <w:pPr>
      <w:tabs>
        <w:tab w:val="center" w:pos="4677" w:leader="none"/>
        <w:tab w:val="right" w:pos="9355" w:leader="none"/>
      </w:tabs>
    </w:pPr>
  </w:style>
  <w:style w:type="character" w:styleId="859" w:customStyle="1">
    <w:name w:val="Нижний колонтитул Знак"/>
    <w:link w:val="858"/>
    <w:rPr>
      <w:rFonts w:eastAsia="Calibri"/>
    </w:rPr>
  </w:style>
  <w:style w:type="table" w:styleId="860">
    <w:name w:val="Table Grid"/>
    <w:basedOn w:val="85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848"/>
    <w:qFormat/>
    <w:pPr>
      <w:contextualSpacing/>
      <w:ind w:left="720"/>
    </w:pPr>
  </w:style>
  <w:style w:type="paragraph" w:styleId="862" w:customStyle="1">
    <w:name w:val="Знак Знак2"/>
    <w:basedOn w:val="84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63">
    <w:name w:val="Body Text 2"/>
    <w:basedOn w:val="848"/>
    <w:link w:val="864"/>
    <w:pPr>
      <w:spacing w:after="120" w:line="480" w:lineRule="auto"/>
    </w:pPr>
  </w:style>
  <w:style w:type="character" w:styleId="864" w:customStyle="1">
    <w:name w:val="Основной текст 2 Знак"/>
    <w:basedOn w:val="849"/>
    <w:link w:val="863"/>
    <w:rPr>
      <w:rFonts w:eastAsia="Calibri"/>
    </w:rPr>
  </w:style>
  <w:style w:type="table" w:styleId="865" w:customStyle="1">
    <w:name w:val="Сетка таблицы1"/>
    <w:basedOn w:val="850"/>
    <w:next w:val="86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67" w:customStyle="1">
    <w:name w:val="Сетка таблицы2"/>
    <w:basedOn w:val="850"/>
    <w:next w:val="86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DF48E9-A9A8-4147-BB74-1775978AA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revision>6</cp:revision>
  <dcterms:created xsi:type="dcterms:W3CDTF">2024-11-19T12:29:00Z</dcterms:created>
  <dcterms:modified xsi:type="dcterms:W3CDTF">2024-12-06T06:44:46Z</dcterms:modified>
</cp:coreProperties>
</file>