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14.11.2024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№ 1790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«Комфортная среда проживания» на 2025-2027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                              Печенгского муниципального округа от 01.11.2024 № 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</w:t>
      </w:r>
      <w:r>
        <w:rPr>
          <w:sz w:val="24"/>
          <w:szCs w:val="24"/>
        </w:rPr>
        <w:t xml:space="preserve">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2025-2027 годы, утвержденную постановлением администрации Печенгского муниципального округа от 01.11.2024 № 1717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</w:t>
      </w:r>
      <w:r>
        <w:rPr>
          <w:sz w:val="24"/>
          <w:szCs w:val="24"/>
        </w:rPr>
        <w:t xml:space="preserve">ра</w:t>
      </w:r>
      <w:r>
        <w:rPr>
          <w:sz w:val="24"/>
          <w:szCs w:val="24"/>
        </w:rPr>
        <w:t xml:space="preserve">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795 138,4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56414,2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111078,2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163608,9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148180,8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7712,7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428102,6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185887,9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2.2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8,</w:t>
      </w:r>
      <w:r>
        <w:rPr>
          <w:sz w:val="24"/>
          <w:szCs w:val="24"/>
        </w:rPr>
        <w:t xml:space="preserve"> 2.4.</w:t>
      </w:r>
      <w:r>
        <w:rPr>
          <w:sz w:val="24"/>
          <w:szCs w:val="24"/>
        </w:rPr>
        <w:t xml:space="preserve">1, 2.4.8, 2.4.9</w:t>
      </w:r>
      <w:r>
        <w:rPr>
          <w:sz w:val="24"/>
          <w:szCs w:val="24"/>
        </w:rPr>
        <w:t xml:space="preserve"> и 2.5.1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02"/>
        <w:gridCol w:w="2426"/>
        <w:gridCol w:w="709"/>
        <w:gridCol w:w="851"/>
        <w:gridCol w:w="851"/>
        <w:gridCol w:w="849"/>
        <w:gridCol w:w="851"/>
        <w:gridCol w:w="853"/>
        <w:gridCol w:w="1138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r>
              <w:t xml:space="preserve">«2.2.8.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ОС и ЖКХ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center"/>
            </w:pPr>
            <w:r>
              <w:t xml:space="preserve">2.4.1.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pct"/>
            <w:textDirection w:val="lrTb"/>
            <w:noWrap w:val="false"/>
          </w:tcPr>
          <w:p>
            <w:pPr>
              <w:jc w:val="both"/>
            </w:pPr>
            <w:r>
              <w:t xml:space="preserve">Площадь отремонтированных тротуаров и маршрутов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1500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1996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center"/>
            </w:pPr>
            <w:r>
              <w:t xml:space="preserve">2.4.</w:t>
            </w:r>
            <w:r>
              <w:t xml:space="preserve">8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трудовых бригад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>
              <w:t xml:space="preserve">исполнителей программы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center"/>
            </w:pPr>
            <w:r>
              <w:t xml:space="preserve">2.4.9.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pct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граждан, привлеченных к  общественно полезным работам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415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80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80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center"/>
            </w:pPr>
            <w:r>
              <w:t xml:space="preserve">2.5.1.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0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отловленных животных без владельцев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jc w:val="center"/>
            </w:pPr>
            <w:r>
              <w:t xml:space="preserve">г</w:t>
            </w:r>
            <w:r>
              <w:t xml:space="preserve">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65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88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95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Жилищно-коммунальное хозяйство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265 859,6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140470,9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140470,9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33040,0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22040,0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rFonts w:eastAsia="Calibri"/>
          <w:sz w:val="24"/>
          <w:szCs w:val="24"/>
        </w:rPr>
        <w:t xml:space="preserve">2</w:t>
      </w:r>
      <w:r>
        <w:rPr>
          <w:rFonts w:eastAsia="Calibri"/>
          <w:sz w:val="24"/>
          <w:szCs w:val="24"/>
        </w:rPr>
        <w:t xml:space="preserve"> изложить в редакции согласно приложению № 1 к настоящему постановлению;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т</w:t>
      </w:r>
      <w:r>
        <w:rPr>
          <w:rFonts w:eastAsia="Calibri"/>
          <w:sz w:val="24"/>
          <w:szCs w:val="24"/>
        </w:rPr>
        <w:t xml:space="preserve">аблиц</w:t>
      </w:r>
      <w:r>
        <w:rPr>
          <w:rFonts w:eastAsia="Calibri"/>
          <w:sz w:val="24"/>
          <w:szCs w:val="24"/>
        </w:rPr>
        <w:t xml:space="preserve">у</w:t>
      </w:r>
      <w:r>
        <w:rPr>
          <w:rFonts w:eastAsia="Calibri"/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</w:t>
      </w:r>
      <w:r>
        <w:rPr>
          <w:rFonts w:eastAsia="Calibri"/>
          <w:sz w:val="24"/>
          <w:szCs w:val="24"/>
        </w:rPr>
        <w:t xml:space="preserve">2</w:t>
      </w:r>
      <w:r>
        <w:rPr>
          <w:rFonts w:eastAsia="Calibri"/>
          <w:sz w:val="24"/>
          <w:szCs w:val="24"/>
        </w:rPr>
        <w:t xml:space="preserve"> изложить в </w:t>
      </w:r>
      <w:r>
        <w:rPr>
          <w:rFonts w:eastAsia="Calibri"/>
          <w:sz w:val="24"/>
          <w:szCs w:val="24"/>
        </w:rPr>
        <w:t xml:space="preserve">редакции согласно приложению № 2 к настоящему постановлению;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3 «Развитие сферы ритуальных услуг и мест захоронения» (далее – Подпрограмма 3)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8 831,9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63,9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66,7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8631,9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3.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, «Итого по основному мероприятию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» и «Всего по подпрограмме 3» таблицы 1 «Перечень мероприятий подпрограммы с объемом финансирования»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6"/>
        <w:gridCol w:w="2341"/>
        <w:gridCol w:w="687"/>
        <w:gridCol w:w="964"/>
        <w:gridCol w:w="964"/>
        <w:gridCol w:w="964"/>
        <w:gridCol w:w="827"/>
        <w:gridCol w:w="964"/>
        <w:gridCol w:w="820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r>
              <w:t xml:space="preserve">«3.</w:t>
            </w:r>
            <w:r>
              <w:t xml:space="preserve">1.2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25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Возмещение расходов по гарантированному перечню услуг по погребению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63,9</w:t>
            </w:r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66,7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69,4</w:t>
            </w:r>
            <w:r/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5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основному </w:t>
            </w:r>
            <w:r>
              <w:rPr>
                <w:b/>
                <w:bCs/>
                <w:color w:val="000000"/>
                <w:spacing w:val="1"/>
              </w:rPr>
            </w:r>
            <w:r>
              <w:rPr>
                <w:b/>
                <w:bCs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мероприятию </w:t>
            </w:r>
            <w:r>
              <w:rPr>
                <w:b/>
                <w:bCs/>
                <w:color w:val="000000"/>
                <w:spacing w:val="1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8631,9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8831,9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2941,2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2944,0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63,9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8631,9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2877,3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8831,9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2941,2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2944,0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2946,7»;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4 «Комплексное благоустройство и содержание городской среды» (далее – Подпрограмма 4) 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Ind w:w="18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50"/>
        <w:gridCol w:w="7202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pct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278 476,3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14819,1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4939,7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4939,7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4939,7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263657,2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104925,6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91368,6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67363,0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rFonts w:eastAsia="Calibri"/>
          <w:sz w:val="24"/>
          <w:szCs w:val="24"/>
        </w:rPr>
        <w:t xml:space="preserve">4</w:t>
      </w:r>
      <w:r>
        <w:rPr>
          <w:rFonts w:eastAsia="Calibri"/>
          <w:sz w:val="24"/>
          <w:szCs w:val="24"/>
        </w:rPr>
        <w:t xml:space="preserve"> изложить в редакции согласно приложению № </w:t>
      </w:r>
      <w:r>
        <w:rPr>
          <w:rFonts w:eastAsia="Calibri"/>
          <w:sz w:val="24"/>
          <w:szCs w:val="24"/>
        </w:rPr>
        <w:t xml:space="preserve">3</w:t>
      </w:r>
      <w:r>
        <w:rPr>
          <w:rFonts w:eastAsia="Calibri"/>
          <w:sz w:val="24"/>
          <w:szCs w:val="24"/>
        </w:rPr>
        <w:t xml:space="preserve"> к настоящему постановлению;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строки</w:t>
      </w:r>
      <w:r>
        <w:rPr>
          <w:sz w:val="24"/>
          <w:szCs w:val="24"/>
        </w:rPr>
        <w:t xml:space="preserve"> 4.1.</w:t>
      </w:r>
      <w:r>
        <w:rPr>
          <w:sz w:val="24"/>
          <w:szCs w:val="24"/>
        </w:rPr>
        <w:t xml:space="preserve">1, 4.1.7 и 4.1.8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02"/>
        <w:gridCol w:w="709"/>
        <w:gridCol w:w="1984"/>
        <w:gridCol w:w="709"/>
        <w:gridCol w:w="850"/>
        <w:gridCol w:w="851"/>
        <w:gridCol w:w="709"/>
        <w:gridCol w:w="992"/>
      </w:tblGrid>
      <w:tr>
        <w:tblPrEx/>
        <w:trPr>
          <w:trHeight w:val="86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«4.1.1.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Ремонт пешеходных тротуаров и маршрутов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Площадь отремонтированных тротуаров и маршрутов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Кв. м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Не менее 1200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86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4.1.7.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2025-2026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Количество трудовых бригад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Шт.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 МБУ «НДС»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86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4.1.8.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Организация общественно полезных работ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Численность граждан, привлеченных к общественно полезным работам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Чел.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Не менее 80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 МБУ «НДС»»;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5   «Организация отлова животных без владельцев» (далее – Подпрограмма 5)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3"/>
        <w:gridCol w:w="711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8 118,9 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8118,9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2706,3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2706,3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2706,3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5.1.1</w:t>
      </w:r>
      <w:r>
        <w:rPr>
          <w:sz w:val="24"/>
          <w:szCs w:val="24"/>
        </w:rPr>
        <w:t xml:space="preserve">, «Итого по основному мероприятию 1» и «Всего по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» таблицы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8"/>
        <w:gridCol w:w="1866"/>
        <w:gridCol w:w="708"/>
        <w:gridCol w:w="994"/>
        <w:gridCol w:w="992"/>
        <w:gridCol w:w="992"/>
        <w:gridCol w:w="1016"/>
        <w:gridCol w:w="1140"/>
        <w:gridCol w:w="824"/>
      </w:tblGrid>
      <w:tr>
        <w:tblPrEx/>
        <w:trPr>
          <w:trHeight w:val="50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«5.1.1</w:t>
            </w:r>
            <w:r>
              <w:t xml:space="preserve">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7" w:type="pct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Организация осуществления деятельности по обращению с животными без владельцев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2025-2027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8118,9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2706,3</w:t>
            </w:r>
            <w:r/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</w:pPr>
            <w:r>
              <w:t xml:space="preserve">2706,3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2706,3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8118,9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8118,9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8118,9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8118,9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8118,9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2706,3»;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строку 5.1.1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844"/>
        <w:gridCol w:w="708"/>
        <w:gridCol w:w="1843"/>
        <w:gridCol w:w="709"/>
        <w:gridCol w:w="850"/>
        <w:gridCol w:w="851"/>
        <w:gridCol w:w="709"/>
        <w:gridCol w:w="992"/>
      </w:tblGrid>
      <w:tr>
        <w:tblPrEx/>
        <w:trPr>
          <w:trHeight w:val="86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«5.1.1.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Организация осуществления деятельности по обращению с животными без владельцев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tabs>
                <w:tab w:val="left" w:pos="55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Количество отловленных животных без владельцев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голов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95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95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 менее 95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»»;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6   «Формирование современной городской среды» (далее – Подпрограмма 6)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Ind w:w="34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3"/>
        <w:gridCol w:w="711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подпрограмме: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193 996,3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111078,2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111078,2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82918,1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2918,1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40000,0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rFonts w:eastAsia="Calibri"/>
          <w:sz w:val="24"/>
          <w:szCs w:val="24"/>
        </w:rPr>
        <w:t xml:space="preserve">6</w:t>
      </w:r>
      <w:r>
        <w:rPr>
          <w:rFonts w:eastAsia="Calibri"/>
          <w:sz w:val="24"/>
          <w:szCs w:val="24"/>
        </w:rPr>
        <w:t xml:space="preserve"> изложить в редакции согласно приложению № </w:t>
      </w:r>
      <w:r>
        <w:rPr>
          <w:rFonts w:eastAsia="Calibri"/>
          <w:sz w:val="24"/>
          <w:szCs w:val="24"/>
        </w:rPr>
        <w:t xml:space="preserve">4</w:t>
      </w:r>
      <w:r>
        <w:rPr>
          <w:rFonts w:eastAsia="Calibri"/>
          <w:sz w:val="24"/>
          <w:szCs w:val="24"/>
        </w:rPr>
        <w:t xml:space="preserve"> к настоящему постановлению.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</w:t>
      </w:r>
      <w:r>
        <w:rPr>
          <w:rFonts w:eastAsia="Calibri"/>
          <w:sz w:val="24"/>
          <w:szCs w:val="24"/>
          <w:lang w:eastAsia="en-US"/>
        </w:rPr>
        <w:t xml:space="preserve">с 01 января 2025 года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Князева Э.Г., 6-06-23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14.11.2024 № 1790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«Таблица 1 к подпрограмме 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75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7"/>
        <w:gridCol w:w="113"/>
        <w:gridCol w:w="4396"/>
        <w:gridCol w:w="67"/>
        <w:gridCol w:w="1494"/>
        <w:gridCol w:w="1277"/>
        <w:gridCol w:w="1402"/>
        <w:gridCol w:w="1234"/>
        <w:gridCol w:w="1234"/>
        <w:gridCol w:w="1271"/>
        <w:gridCol w:w="2050"/>
      </w:tblGrid>
      <w:tr>
        <w:tblPrEx/>
        <w:trPr>
          <w:trHeight w:val="535"/>
        </w:trPr>
        <w:tc>
          <w:tcPr>
            <w:shd w:val="clear" w:color="auto" w:fill="auto"/>
            <w:tcW w:w="2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9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мероприятия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8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4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9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2. «Жилищно-коммунальное хозяйство»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Обеспечение бесперебойного функционирования систем коммунальной инфраструктуры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магистральных и внутриквартальных сетей теплоснабжения,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11800,0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1800,0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11800,0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Проведение экспертизы сметных расчетов стоимости ремонтных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Строительство сети водоснабжения в районе индивидуальной жилой застройки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нп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4905,6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4905,6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10821,2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10821,2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72141,0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72141,0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Актуализация схемы теплоснабжения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-2027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6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Реконструкция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135565,3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135565,3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1369,4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1369,4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34233,6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34233,6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76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171168,3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171168,3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140470,9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140470,9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24490,6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14490,6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34233,6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34233,6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255609,3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245609,3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Ремонт и содержание жилфонда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подъездов многоквартирных домов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6549,4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6549,4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1700,9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1700,9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8250,3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8250,3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8549,4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7549,4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1700,9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1700,9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10250,3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9250,3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2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56414,2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140470,9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140470,9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91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33040,0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22040,0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35934,5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35934,5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2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265859,6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254859,6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sz w:val="18"/>
          <w:szCs w:val="18"/>
          <w:lang w:eastAsia="en-US"/>
        </w:rPr>
        <w:t xml:space="preserve">.</w:t>
      </w:r>
      <w:r>
        <w:rPr>
          <w:rFonts w:eastAsia="Calibri"/>
          <w:sz w:val="18"/>
          <w:szCs w:val="18"/>
          <w:lang w:eastAsia="en-US"/>
        </w:rPr>
        <w:t xml:space="preserve">».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</w:t>
      </w:r>
      <w:r>
        <w:rPr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  <w:t xml:space="preserve">от 14.11.2024 № 1790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«Таблица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подпрограмме 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показателями результативности выполнения мероприятий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413"/>
        <w:gridCol w:w="1275"/>
        <w:gridCol w:w="4678"/>
        <w:gridCol w:w="992"/>
        <w:gridCol w:w="851"/>
        <w:gridCol w:w="850"/>
        <w:gridCol w:w="851"/>
        <w:gridCol w:w="1559"/>
      </w:tblGrid>
      <w:tr>
        <w:tblPrEx/>
        <w:trPr>
          <w:trHeight w:val="769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Ед. 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55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2. «Жилищно-коммунальное хозяйство»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Обеспечение бесперебойного функционирования систем коммунальной инфраструктуры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магистральных внутриквартальных сетей теплоснабжения,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Доля отремонтированных магистральных сетей тепло- и водоснабжения от общей протяженности системы тепл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и водоснабжения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0,5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0,5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Проведение экспертизы сметных расчетов стоимости ремонтных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Строительство сети водоснабжения в районе индивидуальной жилой застройки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нп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Протяженность построенной сети водоснабжения в районе индивидуальной жилой застройки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нп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Корзуново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А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ктуализация схемы теплоснабжения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актуализированной схемы теплоснабжения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Реконструкция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разработанных проектов реконструкции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реконструированных котельных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Протяженность реконструированных сетей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Ремонт и содержание жилфонда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bookmarkStart w:id="0" w:name="_GoBack"/>
            <w:r/>
            <w:bookmarkEnd w:id="0"/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подъездов многоквартирных домов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 подъездов многоквартирных домов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Calibri"/>
          <w:sz w:val="24"/>
          <w:szCs w:val="24"/>
          <w:lang w:eastAsia="en-US"/>
        </w:rPr>
        <w:sectPr>
          <w:footnotePr/>
          <w:endnotePr/>
          <w:type w:val="nextPage"/>
          <w:pgSz w:w="16838" w:h="11905" w:orient="landscape"/>
          <w:pgMar w:top="1134" w:right="851" w:bottom="851" w:left="851" w:header="720" w:footer="720" w:gutter="0"/>
          <w:cols w:num="1" w:sep="0" w:space="720" w:equalWidth="1"/>
          <w:docGrid w:linePitch="360"/>
        </w:sect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</w:t>
      </w: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  <w:t xml:space="preserve">от 14.11.2024 № 1790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«Таблица 1 к подпрограмме 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4782"/>
        <w:gridCol w:w="51"/>
        <w:gridCol w:w="1362"/>
        <w:gridCol w:w="1089"/>
        <w:gridCol w:w="1218"/>
        <w:gridCol w:w="1209"/>
        <w:gridCol w:w="1209"/>
        <w:gridCol w:w="1302"/>
        <w:gridCol w:w="1970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4.  Комплексное благоустройство и содержание городской среды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Обеспечение комфортных условий проживания населения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уровня комфортности проживания населения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           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6449,8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5599,8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6449,8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5599,8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64940,6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23046,1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23967,9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926,6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64940,6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23046,1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23967,9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926,6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4.1.5.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4.1.6.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900,0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4.1.7.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4.1.8.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Организация общественно полезных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98640,4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49395,9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30267,9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18976,6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98640,4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49395,9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30267,9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18976,6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Предоставление муниципальных услуг (работ) в сфере благоустройства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144361,2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48644,5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54215,5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41501,2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144361,2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48644,5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54215,5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41501,2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4.2.2.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функционирования МКУ «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18040,2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18040,2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4.2.3.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учреждений, в том числе: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14819,1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2615,4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17434,5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4.2.3.1.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Повышение оплаты труда работников муниципальных учреждений в связи с доведением оплат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ы труда до минимального размера оплаты труда, установленного федеральным законом от 19.06.2000 № 82-ФЗ «О минимальном размере оплаты труда» (с изменениями), увеличенного на районных коэффициент и процентную надбавку за стаж работы в районах Крайнего Севера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2025-2027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14819,1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2615,4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590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17434,5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14819,1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165016,8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55529,7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61100,7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48386,4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179835,9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60469,4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66040,4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53326,1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14819,1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263657,2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104925,6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91368,6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67363,0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278476,3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109865,3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96308,3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72302,7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firstLine="426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sz w:val="18"/>
          <w:szCs w:val="18"/>
          <w:lang w:eastAsia="en-US"/>
        </w:rPr>
        <w:t xml:space="preserve">.</w:t>
      </w:r>
      <w:r>
        <w:rPr>
          <w:rFonts w:eastAsia="Calibri"/>
          <w:sz w:val="18"/>
          <w:szCs w:val="18"/>
          <w:lang w:eastAsia="en-US"/>
        </w:rPr>
        <w:t xml:space="preserve">».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</w:t>
      </w:r>
      <w:r>
        <w:rPr>
          <w:sz w:val="24"/>
          <w:szCs w:val="24"/>
          <w:lang w:eastAsia="en-US"/>
        </w:rPr>
        <w:t xml:space="preserve">4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  <w:t xml:space="preserve">от 14.11.2024 № 1790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«Таблица 1 к подпрограмме 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98"/>
        <w:gridCol w:w="180"/>
        <w:gridCol w:w="6"/>
        <w:gridCol w:w="12"/>
        <w:gridCol w:w="4635"/>
        <w:gridCol w:w="48"/>
        <w:gridCol w:w="1362"/>
        <w:gridCol w:w="1089"/>
        <w:gridCol w:w="1218"/>
        <w:gridCol w:w="9"/>
        <w:gridCol w:w="1200"/>
        <w:gridCol w:w="1209"/>
        <w:gridCol w:w="1302"/>
        <w:gridCol w:w="1970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3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5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3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2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5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6.  «Формирование современной городской среды»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Повышение уровня благоустройства территории Печенгского муниципального округа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уровня благоустройства дворовых территорий многоквартирных домов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дворовых территорий многоквартирных домов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50288,9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24988,9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50288,9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24988,9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Изготовление дизайн - проектов благоустройства дворовых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32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6.1.3.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gridSpan w:val="2"/>
            <w:shd w:val="clear" w:color="auto" w:fill="auto"/>
            <w:tcW w:w="1545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Ямочный ремонт дворовых проездов на территории Печенгского муниципального округа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2167,9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2167,9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1"/>
        </w:trPr>
        <w:tc>
          <w:tcPr>
            <w:gridSpan w:val="3"/>
            <w:shd w:val="clear" w:color="auto" w:fill="auto"/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4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76"/>
        </w:trPr>
        <w:tc>
          <w:tcPr>
            <w:gridSpan w:val="4"/>
            <w:shd w:val="clear" w:color="auto" w:fill="auto"/>
            <w:tcW w:w="33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6.1.4.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Благоустройство дворовых территорий в рамках 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реализации мероприятий планов социального развития экономического роста 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субъектов Российской Федерации Арктической зоны Российской Федерации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98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4"/>
            <w:shd w:val="clear" w:color="auto" w:fill="auto"/>
            <w:tcW w:w="3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contextualSpacing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111089,3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111089,3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52467,9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27467,9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163546,1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27467,9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136078,2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Повышение уровня благоустройства общественных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6.2.1.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общественных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30450,2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15450,2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6.2.2.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Изготовление проектной и сметной документации по благоустройству общественных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200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требует финансирования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0.0</w:t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15450,2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6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111078,2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82918,1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42918,1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40000,0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7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193996,3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42918,1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151078,2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».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851" w:right="678" w:bottom="850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27"/>
  </w:num>
  <w:num w:numId="4">
    <w:abstractNumId w:val="26"/>
  </w:num>
  <w:num w:numId="5">
    <w:abstractNumId w:val="9"/>
  </w:num>
  <w:num w:numId="6">
    <w:abstractNumId w:val="0"/>
  </w:num>
  <w:num w:numId="7">
    <w:abstractNumId w:val="10"/>
  </w:num>
  <w:num w:numId="8">
    <w:abstractNumId w:val="16"/>
  </w:num>
  <w:num w:numId="9">
    <w:abstractNumId w:val="11"/>
  </w:num>
  <w:num w:numId="10">
    <w:abstractNumId w:val="4"/>
  </w:num>
  <w:num w:numId="11">
    <w:abstractNumId w:val="17"/>
  </w:num>
  <w:num w:numId="12">
    <w:abstractNumId w:val="24"/>
  </w:num>
  <w:num w:numId="13">
    <w:abstractNumId w:val="23"/>
  </w:num>
  <w:num w:numId="14">
    <w:abstractNumId w:val="28"/>
  </w:num>
  <w:num w:numId="15">
    <w:abstractNumId w:val="22"/>
  </w:num>
  <w:num w:numId="16">
    <w:abstractNumId w:val="3"/>
  </w:num>
  <w:num w:numId="17">
    <w:abstractNumId w:val="8"/>
  </w:num>
  <w:num w:numId="18">
    <w:abstractNumId w:val="25"/>
  </w:num>
  <w:num w:numId="19">
    <w:abstractNumId w:val="13"/>
  </w:num>
  <w:num w:numId="20">
    <w:abstractNumId w:val="5"/>
  </w:num>
  <w:num w:numId="21">
    <w:abstractNumId w:val="12"/>
  </w:num>
  <w:num w:numId="22">
    <w:abstractNumId w:val="21"/>
  </w:num>
  <w:num w:numId="23">
    <w:abstractNumId w:val="6"/>
  </w:num>
  <w:num w:numId="24">
    <w:abstractNumId w:val="19"/>
  </w:num>
  <w:num w:numId="25">
    <w:abstractNumId w:val="29"/>
  </w:num>
  <w:num w:numId="26">
    <w:abstractNumId w:val="1"/>
  </w:num>
  <w:num w:numId="27">
    <w:abstractNumId w:val="2"/>
  </w:num>
  <w:num w:numId="28">
    <w:abstractNumId w:val="15"/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3 Char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Subtitle Char"/>
    <w:basedOn w:val="768"/>
    <w:link w:val="781"/>
    <w:uiPriority w:val="11"/>
    <w:rPr>
      <w:sz w:val="24"/>
      <w:szCs w:val="24"/>
    </w:rPr>
  </w:style>
  <w:style w:type="character" w:styleId="754">
    <w:name w:val="Quote Char"/>
    <w:link w:val="783"/>
    <w:uiPriority w:val="29"/>
    <w:rPr>
      <w:i/>
    </w:rPr>
  </w:style>
  <w:style w:type="character" w:styleId="755">
    <w:name w:val="Intense Quote Char"/>
    <w:link w:val="785"/>
    <w:uiPriority w:val="30"/>
    <w:rPr>
      <w:i/>
    </w:rPr>
  </w:style>
  <w:style w:type="character" w:styleId="756">
    <w:name w:val="Footnote Text Char"/>
    <w:link w:val="916"/>
    <w:uiPriority w:val="99"/>
    <w:rPr>
      <w:sz w:val="18"/>
    </w:rPr>
  </w:style>
  <w:style w:type="character" w:styleId="757">
    <w:name w:val="Endnote Text Char"/>
    <w:link w:val="919"/>
    <w:uiPriority w:val="99"/>
    <w:rPr>
      <w:sz w:val="20"/>
    </w:rPr>
  </w:style>
  <w:style w:type="paragraph" w:styleId="758" w:default="1">
    <w:name w:val="Normal"/>
    <w:qFormat/>
  </w:style>
  <w:style w:type="paragraph" w:styleId="759">
    <w:name w:val="Heading 1"/>
    <w:basedOn w:val="758"/>
    <w:next w:val="758"/>
    <w:link w:val="771"/>
    <w:qFormat/>
    <w:pPr>
      <w:jc w:val="center"/>
      <w:keepNext/>
      <w:outlineLvl w:val="0"/>
    </w:pPr>
    <w:rPr>
      <w:sz w:val="24"/>
    </w:rPr>
  </w:style>
  <w:style w:type="paragraph" w:styleId="760">
    <w:name w:val="Heading 2"/>
    <w:basedOn w:val="758"/>
    <w:next w:val="758"/>
    <w:link w:val="93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1">
    <w:name w:val="Heading 3"/>
    <w:basedOn w:val="758"/>
    <w:next w:val="758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2">
    <w:name w:val="Heading 4"/>
    <w:basedOn w:val="758"/>
    <w:next w:val="758"/>
    <w:link w:val="7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3">
    <w:name w:val="Heading 5"/>
    <w:basedOn w:val="758"/>
    <w:next w:val="758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4">
    <w:name w:val="Heading 6"/>
    <w:basedOn w:val="758"/>
    <w:next w:val="75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5">
    <w:name w:val="Heading 7"/>
    <w:basedOn w:val="758"/>
    <w:next w:val="758"/>
    <w:link w:val="7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6">
    <w:name w:val="Heading 8"/>
    <w:basedOn w:val="758"/>
    <w:next w:val="758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758"/>
    <w:next w:val="758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 w:default="1">
    <w:name w:val="Default Paragraph Font"/>
    <w:uiPriority w:val="1"/>
    <w:semiHidden/>
    <w:unhideWhenUsed/>
  </w:style>
  <w:style w:type="table" w:styleId="7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0" w:default="1">
    <w:name w:val="No List"/>
    <w:uiPriority w:val="99"/>
    <w:semiHidden/>
    <w:unhideWhenUsed/>
  </w:style>
  <w:style w:type="character" w:styleId="771" w:customStyle="1">
    <w:name w:val="Заголовок 1 Знак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72" w:customStyle="1">
    <w:name w:val="Heading 2 Char"/>
    <w:basedOn w:val="768"/>
    <w:uiPriority w:val="9"/>
    <w:rPr>
      <w:rFonts w:ascii="Arial" w:hAnsi="Arial" w:eastAsia="Arial" w:cs="Arial"/>
      <w:sz w:val="34"/>
    </w:rPr>
  </w:style>
  <w:style w:type="character" w:styleId="773" w:customStyle="1">
    <w:name w:val="Заголовок 3 Знак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74" w:customStyle="1">
    <w:name w:val="Заголовок 4 Знак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Заголовок 5 Знак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76" w:customStyle="1">
    <w:name w:val="Заголовок 6 Знак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77" w:customStyle="1">
    <w:name w:val="Заголовок 7 Знак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 w:customStyle="1">
    <w:name w:val="Заголовок 8 Знак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79" w:customStyle="1">
    <w:name w:val="Заголовок 9 Знак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80" w:customStyle="1">
    <w:name w:val="Title Char"/>
    <w:basedOn w:val="768"/>
    <w:uiPriority w:val="10"/>
    <w:rPr>
      <w:sz w:val="48"/>
      <w:szCs w:val="48"/>
    </w:rPr>
  </w:style>
  <w:style w:type="paragraph" w:styleId="781">
    <w:name w:val="Subtitle"/>
    <w:basedOn w:val="758"/>
    <w:next w:val="758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 w:customStyle="1">
    <w:name w:val="Подзаголовок Знак"/>
    <w:basedOn w:val="768"/>
    <w:link w:val="781"/>
    <w:uiPriority w:val="11"/>
    <w:rPr>
      <w:sz w:val="24"/>
      <w:szCs w:val="24"/>
    </w:rPr>
  </w:style>
  <w:style w:type="paragraph" w:styleId="783">
    <w:name w:val="Quote"/>
    <w:basedOn w:val="758"/>
    <w:next w:val="758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8"/>
    <w:next w:val="758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Header Char"/>
    <w:basedOn w:val="768"/>
    <w:uiPriority w:val="99"/>
  </w:style>
  <w:style w:type="character" w:styleId="788" w:customStyle="1">
    <w:name w:val="Footer Char"/>
    <w:basedOn w:val="768"/>
    <w:uiPriority w:val="99"/>
  </w:style>
  <w:style w:type="paragraph" w:styleId="789">
    <w:name w:val="Caption"/>
    <w:basedOn w:val="758"/>
    <w:next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Caption Char"/>
    <w:uiPriority w:val="99"/>
  </w:style>
  <w:style w:type="table" w:styleId="791" w:customStyle="1">
    <w:name w:val="Table Grid Light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Plain Table 1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Plain Table 2"/>
    <w:basedOn w:val="76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Plain Table 3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Plain Table 4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Plain Table 5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1 Light"/>
    <w:basedOn w:val="76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2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4"/>
    <w:basedOn w:val="76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6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6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6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6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6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6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Grid Table 5 Dark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6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6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6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6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7 Colorful"/>
    <w:basedOn w:val="76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6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6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6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1 Light"/>
    <w:basedOn w:val="76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6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6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6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6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6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6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2"/>
    <w:basedOn w:val="76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List Table 3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5 Dark"/>
    <w:basedOn w:val="76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6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List Table 7 Colorful"/>
    <w:basedOn w:val="76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6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6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6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6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6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6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basedOn w:val="76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basedOn w:val="76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basedOn w:val="76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basedOn w:val="76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basedOn w:val="76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basedOn w:val="76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basedOn w:val="76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basedOn w:val="76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6">
    <w:name w:val="footnote text"/>
    <w:basedOn w:val="758"/>
    <w:link w:val="917"/>
    <w:uiPriority w:val="99"/>
    <w:semiHidden/>
    <w:unhideWhenUsed/>
    <w:pPr>
      <w:spacing w:after="40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basedOn w:val="768"/>
    <w:uiPriority w:val="99"/>
    <w:unhideWhenUsed/>
    <w:rPr>
      <w:vertAlign w:val="superscript"/>
    </w:rPr>
  </w:style>
  <w:style w:type="paragraph" w:styleId="919">
    <w:name w:val="endnote text"/>
    <w:basedOn w:val="758"/>
    <w:link w:val="920"/>
    <w:uiPriority w:val="99"/>
    <w:semiHidden/>
    <w:unhideWhenUsed/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basedOn w:val="768"/>
    <w:uiPriority w:val="99"/>
    <w:semiHidden/>
    <w:unhideWhenUsed/>
    <w:rPr>
      <w:vertAlign w:val="superscript"/>
    </w:rPr>
  </w:style>
  <w:style w:type="paragraph" w:styleId="922">
    <w:name w:val="toc 1"/>
    <w:basedOn w:val="758"/>
    <w:next w:val="758"/>
    <w:uiPriority w:val="39"/>
    <w:unhideWhenUsed/>
    <w:pPr>
      <w:spacing w:after="57"/>
    </w:pPr>
  </w:style>
  <w:style w:type="paragraph" w:styleId="923">
    <w:name w:val="toc 2"/>
    <w:basedOn w:val="758"/>
    <w:next w:val="758"/>
    <w:uiPriority w:val="39"/>
    <w:unhideWhenUsed/>
    <w:pPr>
      <w:ind w:left="283"/>
      <w:spacing w:after="57"/>
    </w:pPr>
  </w:style>
  <w:style w:type="paragraph" w:styleId="924">
    <w:name w:val="toc 3"/>
    <w:basedOn w:val="758"/>
    <w:next w:val="758"/>
    <w:uiPriority w:val="39"/>
    <w:unhideWhenUsed/>
    <w:pPr>
      <w:ind w:left="567"/>
      <w:spacing w:after="57"/>
    </w:pPr>
  </w:style>
  <w:style w:type="paragraph" w:styleId="925">
    <w:name w:val="toc 4"/>
    <w:basedOn w:val="758"/>
    <w:next w:val="758"/>
    <w:uiPriority w:val="39"/>
    <w:unhideWhenUsed/>
    <w:pPr>
      <w:ind w:left="850"/>
      <w:spacing w:after="57"/>
    </w:pPr>
  </w:style>
  <w:style w:type="paragraph" w:styleId="926">
    <w:name w:val="toc 5"/>
    <w:basedOn w:val="758"/>
    <w:next w:val="758"/>
    <w:uiPriority w:val="39"/>
    <w:unhideWhenUsed/>
    <w:pPr>
      <w:ind w:left="1134"/>
      <w:spacing w:after="57"/>
    </w:pPr>
  </w:style>
  <w:style w:type="paragraph" w:styleId="927">
    <w:name w:val="toc 6"/>
    <w:basedOn w:val="758"/>
    <w:next w:val="758"/>
    <w:uiPriority w:val="39"/>
    <w:unhideWhenUsed/>
    <w:pPr>
      <w:ind w:left="1417"/>
      <w:spacing w:after="57"/>
    </w:pPr>
  </w:style>
  <w:style w:type="paragraph" w:styleId="928">
    <w:name w:val="toc 7"/>
    <w:basedOn w:val="758"/>
    <w:next w:val="758"/>
    <w:uiPriority w:val="39"/>
    <w:unhideWhenUsed/>
    <w:pPr>
      <w:ind w:left="1701"/>
      <w:spacing w:after="57"/>
    </w:pPr>
  </w:style>
  <w:style w:type="paragraph" w:styleId="929">
    <w:name w:val="toc 8"/>
    <w:basedOn w:val="758"/>
    <w:next w:val="758"/>
    <w:uiPriority w:val="39"/>
    <w:unhideWhenUsed/>
    <w:pPr>
      <w:ind w:left="1984"/>
      <w:spacing w:after="57"/>
    </w:pPr>
  </w:style>
  <w:style w:type="paragraph" w:styleId="930">
    <w:name w:val="toc 9"/>
    <w:basedOn w:val="758"/>
    <w:next w:val="758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58"/>
    <w:next w:val="758"/>
    <w:uiPriority w:val="99"/>
    <w:unhideWhenUsed/>
  </w:style>
  <w:style w:type="paragraph" w:styleId="933">
    <w:name w:val="Body Text"/>
    <w:basedOn w:val="758"/>
    <w:pPr>
      <w:jc w:val="both"/>
    </w:pPr>
    <w:rPr>
      <w:sz w:val="24"/>
      <w:szCs w:val="24"/>
    </w:rPr>
  </w:style>
  <w:style w:type="paragraph" w:styleId="934">
    <w:name w:val="Body Text Indent"/>
    <w:basedOn w:val="758"/>
    <w:link w:val="958"/>
    <w:uiPriority w:val="99"/>
    <w:pPr>
      <w:ind w:left="283"/>
      <w:spacing w:after="120"/>
    </w:pPr>
  </w:style>
  <w:style w:type="paragraph" w:styleId="935">
    <w:name w:val="Body Text 2"/>
    <w:basedOn w:val="75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58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5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60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1">
    <w:name w:val="Footer"/>
    <w:basedOn w:val="758"/>
    <w:link w:val="94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2" w:customStyle="1">
    <w:name w:val="Нижний колонтитул Знак"/>
    <w:link w:val="941"/>
    <w:uiPriority w:val="99"/>
    <w:rPr>
      <w:rFonts w:ascii="Arial" w:hAnsi="Arial" w:cs="Arial"/>
    </w:rPr>
  </w:style>
  <w:style w:type="character" w:styleId="943">
    <w:name w:val="page number"/>
    <w:uiPriority w:val="99"/>
  </w:style>
  <w:style w:type="paragraph" w:styleId="944">
    <w:name w:val="Header"/>
    <w:basedOn w:val="758"/>
    <w:link w:val="94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5" w:customStyle="1">
    <w:name w:val="Верхний колонтитул Знак"/>
    <w:link w:val="944"/>
    <w:uiPriority w:val="99"/>
    <w:rPr>
      <w:rFonts w:ascii="Arial" w:hAnsi="Arial" w:cs="Arial"/>
    </w:rPr>
  </w:style>
  <w:style w:type="paragraph" w:styleId="94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7">
    <w:name w:val="Table Grid"/>
    <w:basedOn w:val="76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>
    <w:name w:val="Balloon Text"/>
    <w:basedOn w:val="758"/>
    <w:link w:val="949"/>
    <w:uiPriority w:val="99"/>
    <w:rPr>
      <w:rFonts w:ascii="Arial" w:hAnsi="Arial" w:cs="Arial"/>
      <w:sz w:val="16"/>
      <w:szCs w:val="16"/>
    </w:rPr>
  </w:style>
  <w:style w:type="character" w:styleId="949" w:customStyle="1">
    <w:name w:val="Текст выноски Знак"/>
    <w:link w:val="948"/>
    <w:uiPriority w:val="99"/>
    <w:rPr>
      <w:rFonts w:ascii="Arial" w:hAnsi="Arial" w:cs="Arial"/>
      <w:sz w:val="16"/>
      <w:szCs w:val="16"/>
    </w:rPr>
  </w:style>
  <w:style w:type="paragraph" w:styleId="950">
    <w:name w:val="List Paragraph"/>
    <w:basedOn w:val="758"/>
    <w:link w:val="951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1" w:customStyle="1">
    <w:name w:val="Абзац списка Знак"/>
    <w:link w:val="950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2" w:customStyle="1">
    <w:name w:val="Абзац списка1"/>
    <w:basedOn w:val="75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3">
    <w:name w:val="Hyperlink"/>
    <w:rPr>
      <w:color w:val="0000ff"/>
      <w:u w:val="single"/>
    </w:rPr>
  </w:style>
  <w:style w:type="paragraph" w:styleId="95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56">
    <w:name w:val="Body Text 3"/>
    <w:basedOn w:val="758"/>
    <w:link w:val="957"/>
    <w:uiPriority w:val="99"/>
    <w:pPr>
      <w:spacing w:after="120"/>
    </w:pPr>
    <w:rPr>
      <w:sz w:val="16"/>
      <w:szCs w:val="16"/>
    </w:rPr>
  </w:style>
  <w:style w:type="character" w:styleId="957" w:customStyle="1">
    <w:name w:val="Основной текст 3 Знак"/>
    <w:basedOn w:val="768"/>
    <w:link w:val="956"/>
    <w:uiPriority w:val="99"/>
    <w:rPr>
      <w:sz w:val="16"/>
      <w:szCs w:val="16"/>
    </w:rPr>
  </w:style>
  <w:style w:type="character" w:styleId="958" w:customStyle="1">
    <w:name w:val="Основной текст с отступом Знак"/>
    <w:link w:val="934"/>
    <w:uiPriority w:val="99"/>
  </w:style>
  <w:style w:type="paragraph" w:styleId="959">
    <w:name w:val="Title"/>
    <w:basedOn w:val="758"/>
    <w:link w:val="960"/>
    <w:uiPriority w:val="99"/>
    <w:qFormat/>
    <w:pPr>
      <w:jc w:val="center"/>
    </w:pPr>
    <w:rPr>
      <w:caps/>
      <w:sz w:val="24"/>
      <w:szCs w:val="24"/>
    </w:rPr>
  </w:style>
  <w:style w:type="character" w:styleId="960" w:customStyle="1">
    <w:name w:val="Название Знак"/>
    <w:basedOn w:val="768"/>
    <w:link w:val="959"/>
    <w:uiPriority w:val="99"/>
    <w:rPr>
      <w:caps/>
      <w:sz w:val="24"/>
      <w:szCs w:val="24"/>
    </w:rPr>
  </w:style>
  <w:style w:type="paragraph" w:styleId="961" w:customStyle="1">
    <w:name w:val="Знак1"/>
    <w:basedOn w:val="75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3" w:customStyle="1">
    <w:name w:val="Знак Знак Знак Знак Знак Знак Знак Знак Знак Знак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4">
    <w:name w:val="Emphasis"/>
    <w:qFormat/>
    <w:rPr>
      <w:i/>
      <w:iCs/>
    </w:rPr>
  </w:style>
  <w:style w:type="table" w:styleId="965" w:customStyle="1">
    <w:name w:val="Сетка таблицы1"/>
    <w:basedOn w:val="769"/>
    <w:next w:val="94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6" w:customStyle="1">
    <w:name w:val="Сетка таблицы2"/>
    <w:basedOn w:val="769"/>
    <w:next w:val="94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99F78-5D19-48FE-978E-B9BBFB53A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2024-11-27T07:58:00Z</dcterms:created>
  <dcterms:modified xsi:type="dcterms:W3CDTF">2024-12-06T06:46:52Z</dcterms:modified>
</cp:coreProperties>
</file>