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03.12.2024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1930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реорганизации муниципального бюджетного учреждения дополнительного образования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«Дом детского творчества № 2</w:t>
      </w:r>
      <w:r>
        <w:rPr>
          <w:b/>
        </w:rPr>
        <w:t xml:space="preserve">» в форме присоединения к нему муниципального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бюджетного учреждения «Муниципальный методический центр»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Гражданским кодексом Российской Федерации, Федеральным законом от 06.10.2003 №131-ФЗ «Об общих принципах организации местного самоупра</w:t>
      </w:r>
      <w:r>
        <w:rPr>
          <w:sz w:val="24"/>
          <w:szCs w:val="24"/>
        </w:rPr>
        <w:t xml:space="preserve">вления в Российской Федерации», Федеральным законом от 12.01.1996 № 7-ФЗ «О некоммерческих организациях», Федеральным законом от 08.08.2001 № 129-ФЗ </w:t>
      </w:r>
      <w:r>
        <w:rPr>
          <w:sz w:val="24"/>
          <w:szCs w:val="24"/>
        </w:rPr>
        <w:br/>
        <w:t xml:space="preserve">«О государственной регистрации юридических лиц и индивидуальных предпринимателей», Федеральным законом от </w:t>
      </w:r>
      <w:r>
        <w:rPr>
          <w:sz w:val="24"/>
          <w:szCs w:val="24"/>
        </w:rPr>
        <w:t xml:space="preserve">29.12.2012 № 273-ФЗ «Об образовании в Российской Федерации», Уставом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Реорганизовать муниципальное бюджетное учреждение дополнительного образования «Дом детского творчества № 2»</w:t>
      </w:r>
      <w:r>
        <w:rPr>
          <w:sz w:val="24"/>
          <w:szCs w:val="24"/>
        </w:rPr>
        <w:t xml:space="preserve"> (ИНН 5109000311) (далее – МБУ ДО ДДТ № 2) в форме присоединения к нему муниципального бюджетного учреждения «Муниципальный методический центр» (ИНН 5109004595) (далее – МБУ «ММЦ»).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Установить: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МБУ ДО ДДТ № 2 является правопреемником МБУ «ММЦ» в с</w:t>
      </w:r>
      <w:r>
        <w:rPr>
          <w:sz w:val="24"/>
          <w:szCs w:val="24"/>
        </w:rPr>
        <w:t xml:space="preserve">оответствии с передаточным актом, с сохранением основных видов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наименование</w:t>
      </w:r>
      <w:r>
        <w:rPr>
          <w:bCs/>
          <w:sz w:val="24"/>
          <w:szCs w:val="24"/>
        </w:rPr>
        <w:t xml:space="preserve"> юридического лица после завершения процедуры реорганизации - </w:t>
      </w:r>
      <w:r>
        <w:rPr>
          <w:sz w:val="24"/>
          <w:szCs w:val="24"/>
        </w:rPr>
        <w:t xml:space="preserve">муниципальное бюджетное учреждение дополнительного образования «Дом детского творчества №</w:t>
      </w:r>
      <w:r>
        <w:rPr>
          <w:sz w:val="24"/>
          <w:szCs w:val="24"/>
        </w:rPr>
        <w:t xml:space="preserve"> 2»;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функции и полномочия учредителя реорганизованного юридического лица осуществляет администрация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области, в лице Отдела образования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Уполномочить</w:t>
      </w:r>
      <w:r>
        <w:rPr>
          <w:sz w:val="24"/>
          <w:szCs w:val="24"/>
        </w:rPr>
        <w:t xml:space="preserve"> директора </w:t>
      </w:r>
      <w:r>
        <w:rPr>
          <w:bCs/>
          <w:sz w:val="24"/>
          <w:szCs w:val="24"/>
        </w:rPr>
        <w:t xml:space="preserve">МБУ ДО ДДТ № 2 Лазареву Лидию Филипповну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 уведомить в письменной форме орган, осуществляющий государственную регистрацию юридических лиц, о начале п</w:t>
      </w:r>
      <w:r>
        <w:rPr>
          <w:bCs/>
          <w:sz w:val="24"/>
          <w:szCs w:val="24"/>
        </w:rPr>
        <w:t xml:space="preserve">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3.2. направить в Единый федеральный реестр юридически значимых сведений о фактах деятельности юридических лиц, индивидуальных предпринимателей и иных субъектов э</w:t>
      </w:r>
      <w:r>
        <w:rPr>
          <w:bCs/>
          <w:sz w:val="24"/>
          <w:szCs w:val="24"/>
        </w:rPr>
        <w:t xml:space="preserve">кономической деятельности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после внесения в ЕГРЮЛ соответствующей информации о реорганизации, обратиться в региональное представительство журнала «Вестник государственной регистрации» (ООО «ИКЦ «Правовед», г. Мурманск) с за</w:t>
      </w:r>
      <w:r>
        <w:rPr>
          <w:bCs/>
          <w:sz w:val="24"/>
          <w:szCs w:val="24"/>
        </w:rPr>
        <w:t xml:space="preserve">явкой об опубликовании в средствах массовой информации сообщения о реорганизации</w:t>
      </w:r>
      <w:r>
        <w:rPr>
          <w:sz w:val="24"/>
          <w:szCs w:val="24"/>
        </w:rPr>
        <w:t xml:space="preserve"> МБУ ДО ДДТ № 2</w:t>
      </w:r>
      <w:r>
        <w:rPr>
          <w:bCs/>
          <w:sz w:val="24"/>
          <w:szCs w:val="24"/>
        </w:rPr>
        <w:t xml:space="preserve"> в форме присоединения к нему МБУ «ММЦ» о порядке и сроке заявления требований его кредиторам.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состав комиссии по реорганизации </w:t>
      </w:r>
      <w:r>
        <w:rPr>
          <w:sz w:val="24"/>
          <w:szCs w:val="24"/>
        </w:rPr>
        <w:t xml:space="preserve">МБУ ДО ДДТ </w:t>
      </w:r>
      <w:r>
        <w:rPr>
          <w:sz w:val="24"/>
          <w:szCs w:val="24"/>
        </w:rPr>
        <w:t xml:space="preserve">№ 2</w:t>
      </w:r>
      <w:r>
        <w:rPr>
          <w:bCs/>
          <w:sz w:val="24"/>
          <w:szCs w:val="24"/>
        </w:rPr>
        <w:t xml:space="preserve"> в форме присоединения к нему МБУ «ММЦ» 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4.2. план мероприятий по осуществлению реорганизации МБУ ДО ДДТ № 2 в форме присоединения к нему МБУ «ММЦ»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5. Настоящее постановление вступает в силу со дня его подпис</w:t>
      </w:r>
      <w:r>
        <w:rPr>
          <w:bCs/>
          <w:sz w:val="24"/>
          <w:szCs w:val="24"/>
        </w:rPr>
        <w:t xml:space="preserve">ания и подлежит размещению на официальном сайте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hyperlink r:id="rId13" w:tooltip="https://pechengamr.gov-murman.ru/" w:history="1">
        <w:r>
          <w:rPr>
            <w:rStyle w:val="895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6. 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начальника отдела образ</w:t>
      </w:r>
      <w:r>
        <w:rPr>
          <w:sz w:val="24"/>
          <w:szCs w:val="24"/>
        </w:rPr>
        <w:t xml:space="preserve">ования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Никитину И.В.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Никитина И.В., 5-05-72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Приложение 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от 03.12.2024 № 1930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sz w:val="24"/>
          <w:szCs w:val="24"/>
        </w:rPr>
        <w:t xml:space="preserve">МБУ ДО ДДТ № 2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8"/>
          <w:szCs w:val="28"/>
        </w:rPr>
      </w:pPr>
      <w:r>
        <w:rPr>
          <w:bCs/>
          <w:sz w:val="24"/>
          <w:szCs w:val="24"/>
        </w:rPr>
        <w:t xml:space="preserve">МБУ «ММЦ»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округа, председатель комиссии;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Никитина И.В.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Лотышева</w:t>
            </w:r>
            <w:r>
              <w:rPr>
                <w:bCs/>
                <w:sz w:val="24"/>
                <w:szCs w:val="24"/>
              </w:rPr>
              <w:t xml:space="preserve"> Л.И.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образования администрации 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ind w:left="-10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ind w:left="-10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заместитель начальника отдела образования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 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Лазарева Л.Ф.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Левицкая М.В.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директор МБУ ДО ДДТ № 2;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и.о</w:t>
            </w:r>
            <w:r>
              <w:rPr>
                <w:sz w:val="24"/>
                <w:szCs w:val="24"/>
              </w:rPr>
              <w:t xml:space="preserve">. директора МБУ «ММЦ»;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Алексеева Ю.В.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 и кадров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8"/>
                <w:szCs w:val="28"/>
              </w:rPr>
            </w:r>
            <w:r>
              <w:rPr>
                <w:bCs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ind w:left="-108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заведующий сектором правовой работы юридического отдела администрации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от 03.12.2024 № 1930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</w:p>
    <w:p>
      <w:pPr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 по реорганизации МБУ ДО ДДТ № 2 в форме присоединения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к нему МБУ «ММЦ»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№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/п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Наименования мероприятия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Ориентировочные сроки исполнения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Ответственные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исполнители*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о создании комиссии по оценке последствий принятия решения о реорганизации МБУ ДО ДДТ № 2 в форме присоединения к нему МБУ «ММЦ»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15.11.2024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заключения комиссии относительно оценки последствий принятия решения о реорганизации МБУ ДО ДДТ № 2 в форме присоединения к нему МБУ «ММЦ» в профильные министерства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03.12.2024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Принятие постановления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 округа о реорганизации МБУ ДО ДДТ № 2  в форме присоединения к нему МБУ «ММЦ»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письменного уведомления о начале процедуры реорганизации МБУ ДО ДДТ № 2 в форме прис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оединения к нему МБУ «ММЦ» по форме Р12003 «Уведомление о начале процедуры реорганизации» с приложением постановления о реорганизации.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.12.2024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(в течение 3-х рабочих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дней после принятия решения о реорганизации)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(предполагаемая дата внесения записи в ЕГРЮЛ о начале процедуры реорганизации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06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.12.2024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5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руководителей МБУ ДО ДДТ № 2 и МБУ «ММЦ» с 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 течение 1 рабочего дня со дня принятия поста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Ознакомление под подпись работников МБУ ДО ДДТ № 2  и МБУ «ММЦ» с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постановлением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 течение 1 рабочего дня со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дня принятия постановления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Левицкая М.В.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Издание приказов по МБУ ДО ДДТ № 2 и МБУ «ММЦ»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определяют руководители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учреждений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Левицкая М.В.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ений в письменной форме о процедуре реорганизации МБУ ДО ДДТ № 2 в форме присоединения к нему МБУ «ММЦ» в клиентскую службу СФР в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районе филиал № 1 Государственного учреждения – Мурманского регионального отделения фонда социального страхования Р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оссийской Федерации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Левицкая М.В.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04.12.2024 – 06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(в течение 3-х рабоч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их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дней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с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решения о реорганизации)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ЕГРЮЛ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соответствующей информации о реорганизации, сообщения о реорганизации МБУ ДО ДДТ № 2 в форме присоединения к нему МБУ «ММЦ» о порядке и сроке заявления требований его кредиторами.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следующих процедур с целью публикации в журнале «Вестник госуда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рственной регистрации» уведомления о реорганизации МБУ ДО ДДТ № 2: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анск);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– получение электронной версии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договора и платежных документов из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подписание договора и платежных документов;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оплата счета за публикацию в двух выпусках с периодичностью в один месяц);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ведомления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09.12.2024 – 13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уведомлений в письменной форме о начале реорганизации всем известным кредиторам МБУ «ММЦ»   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04.12.2024 – 10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.12.2024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(течение 5 рабочих дней после даты направления уведомления о начале реорганизации в налоговый орган)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Левицкая М.В.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Разработать и согласовать с отделом образования штатное расписание МБУ ДО ДДТ № 2 с учетом присоединения к нему МБУ «ММЦ»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(утвердить до внесения записи в ЕГРЮЛ о завершении процедуры реорганизации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, действовать начнет с </w:t>
            </w:r>
            <w:bookmarkStart w:id="0" w:name="_GoBack"/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01.06.2025)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bookmarkEnd w:id="0"/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Никитина И.В.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Уведомление в письменной форме работников МБУ ДО ДДТ № 2 и МБУ «ММЦ» о реорганизации с р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азъяснением права работника отказаться от продолжения работы в связи с реорганизацией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(не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позднее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чем за 2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месяца до завершения процедуры реорганизации)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ab/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проекта нового Устава МБУ ДО ДДТ № 2 и постановления об утверждении Устава (при необходимости)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21.02.2025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Уведомить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Печенгский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кадровый центр ГОБУ Центр занятости населения Мурманской области о реорганизации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МБУ ДО ДДТ № 2 в фо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рме присоединения к нему МБУ «ММЦ»,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31.01.2025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Провести упорядочение документов постоянного хранения и по личному состав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у, образовавшихся в деятельности МБУ «ММЦ». Проекты описи дел и исторической справки представить на согласование в архивный отдел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ind w:left="142"/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Проведение инвентаризации (имущества, обязательств, всех видов расчетов) МБУ «ММЦ» для последующего составления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01.02.2025 - 01.04.2025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(после даты принятия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решения о реорганизации, но не позднее дня представления в регистрирующий орган документов для внесения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в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i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  <w:t xml:space="preserve">ЕГРЮЛ записи о прекращении деятельности присоединенного юридического лица) </w:t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i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ходатайство об изъятии из оперативного управления МБУ «ММЦ» имущества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недвижимое)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Направить в Комитет по управлению имуществом администрации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Печенгского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муниципального округа   ходатайство о закреплении за МБУ ДО ДДТ № 2 на праве оперативного управления имущества МБУ «ММЦ» (перечень имущества прилагается отдельно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движимое и не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движимое)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01.08.2025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Подготовить передаточный акт, включающий обязательное условие о правопреемстве МБУ ДО ДДТ № 2 по всем правам и обязанностям МБУ «ММЦ» и описи передаваемых документов, включая лицевые счета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работников за весь перио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 наличия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Представить в отдел образования на утверждение передаточный акт с расшифровкой кредиторской и дебиторской задо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лженности, всех активов и пассивов, числящихся на балансе МБУ «ММЦ», в том числе здания и другого недвижимого имущества, с указанием наименования кредиторов и дебиторов, суммы, даты возникновения задолженности, срока платежа, утверждение передаточного акта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до 20.04.2025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23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Контр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оль за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поступлением выписки из ЕГРЮЛ о прекращении деятельности МБУ «ММЦ»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12.05.2025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определяет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УФНС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24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МБУ «ММЦ» для передачи в МБУ ДО ДДТ № 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15.05.2025 – 20.05.2025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Левицкая М.В.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Внесение соответствующих записей в трудовые книжки работников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31.05.2025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26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действия по прекращению права оперативного управления МБУ «ММЦ»  на нежилые помещения в Управлении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1-го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рабочего дня после получения из УФНС по Мурманской области документов о 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27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Оформить МБУ «ММЦ» акты формы ОС-1 по передаче имущества МБУ ДО ДДТ № 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3-х рабочих дней после получения из УФНС по Мур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манской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области документов о завершении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28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Передать МБУ ДО ДДТ № 2 имущество на праве оперативного управления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5-ти рабочих дней после завершения процедуры реорганизации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29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Направление в УФНС по Мурманской области заявления по форме Р13014 «Заявление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осударственном реестре юридических лиц» с приложением Устава МБУ ДО ДДТ № 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01.06.2025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30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Принять на баланс МБУ ДО ДДТ № 2 на основании передаточного акта все активы и пассивы МБУ «ММЦ», документы управленческие, финансово-хозяйственные, по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личному составу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срок определяет МКУ «ЦБ»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Алексеева Ю.В.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31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Осуществить МБУ ДО ДДТ № 2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после подписания акта и дополнительного соглашения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к договору о закреплении имущества в оперативное управление регистрацию права оперативного управления на недвижимое имущество в Управлении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Росреестра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по Мурманской области. 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Документы на государственную р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егистрацию направляет Комитет по управлению имуществом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не позднее 10 рабочих дней после подписания данного договора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Лазарева Л.Ф.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Лаврущик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  <w:t xml:space="preserve"> С.С.</w:t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b w:val="0"/>
                <w:bCs w:val="0"/>
                <w:sz w:val="20"/>
                <w:szCs w:val="20"/>
                <w:highlight w:val="none"/>
              </w:rPr>
            </w:r>
          </w:p>
        </w:tc>
      </w:tr>
    </w:tbl>
    <w:p>
      <w:r/>
      <w:r/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  <w:jc w:val="center"/>
      <w:rPr>
        <w:rStyle w:val="923"/>
      </w:rPr>
      <w:framePr w:wrap="around" w:vAnchor="text" w:hAnchor="margin" w:xAlign="center" w:y="1"/>
    </w:pPr>
    <w:r>
      <w:rPr>
        <w:rStyle w:val="923"/>
      </w:rPr>
    </w:r>
    <w:r>
      <w:rPr>
        <w:rStyle w:val="923"/>
      </w:rPr>
    </w:r>
  </w:p>
  <w:p>
    <w:pPr>
      <w:pStyle w:val="763"/>
      <w:rPr>
        <w:rStyle w:val="923"/>
      </w:rPr>
      <w:framePr w:wrap="around" w:vAnchor="text" w:hAnchor="margin" w:xAlign="center" w:y="1"/>
    </w:pPr>
    <w:r>
      <w:rPr>
        <w:rStyle w:val="923"/>
      </w:rPr>
    </w:r>
    <w:r>
      <w:rPr>
        <w:rStyle w:val="923"/>
      </w:rPr>
    </w:r>
  </w:p>
  <w:p>
    <w:pPr>
      <w:pStyle w:val="763"/>
    </w:pPr>
    <w:r/>
    <w:r/>
  </w:p>
  <w:p>
    <w:pPr>
      <w:pStyle w:val="76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3"/>
      <w:rPr>
        <w:rStyle w:val="923"/>
      </w:rPr>
      <w:framePr w:wrap="around" w:vAnchor="text" w:hAnchor="margin" w:xAlign="center" w:y="1"/>
    </w:pPr>
    <w:r>
      <w:rPr>
        <w:rStyle w:val="923"/>
      </w:rPr>
      <w:fldChar w:fldCharType="begin"/>
    </w:r>
    <w:r>
      <w:rPr>
        <w:rStyle w:val="923"/>
      </w:rPr>
      <w:instrText xml:space="preserve">PAGE  </w:instrText>
    </w:r>
    <w:r>
      <w:rPr>
        <w:rStyle w:val="923"/>
      </w:rPr>
      <w:fldChar w:fldCharType="end"/>
    </w:r>
    <w:r>
      <w:rPr>
        <w:rStyle w:val="923"/>
      </w:rPr>
    </w:r>
    <w:r>
      <w:rPr>
        <w:rStyle w:val="923"/>
      </w:rPr>
    </w:r>
  </w:p>
  <w:p>
    <w:pPr>
      <w:pStyle w:val="763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Heading 1 Char"/>
    <w:basedOn w:val="741"/>
    <w:link w:val="732"/>
    <w:uiPriority w:val="9"/>
    <w:rPr>
      <w:rFonts w:ascii="Arial" w:hAnsi="Arial" w:eastAsia="Arial" w:cs="Arial"/>
      <w:sz w:val="40"/>
      <w:szCs w:val="40"/>
    </w:rPr>
  </w:style>
  <w:style w:type="character" w:styleId="718">
    <w:name w:val="Heading 3 Char"/>
    <w:basedOn w:val="741"/>
    <w:link w:val="734"/>
    <w:uiPriority w:val="9"/>
    <w:rPr>
      <w:rFonts w:ascii="Arial" w:hAnsi="Arial" w:eastAsia="Arial" w:cs="Arial"/>
      <w:sz w:val="30"/>
      <w:szCs w:val="30"/>
    </w:rPr>
  </w:style>
  <w:style w:type="character" w:styleId="719">
    <w:name w:val="Heading 4 Char"/>
    <w:basedOn w:val="741"/>
    <w:link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20">
    <w:name w:val="Heading 5 Char"/>
    <w:basedOn w:val="741"/>
    <w:link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21">
    <w:name w:val="Heading 6 Char"/>
    <w:basedOn w:val="741"/>
    <w:link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22">
    <w:name w:val="Heading 7 Char"/>
    <w:basedOn w:val="741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8 Char"/>
    <w:basedOn w:val="741"/>
    <w:link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24">
    <w:name w:val="Heading 9 Char"/>
    <w:basedOn w:val="74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character" w:styleId="725">
    <w:name w:val="Title Char"/>
    <w:basedOn w:val="741"/>
    <w:link w:val="755"/>
    <w:uiPriority w:val="10"/>
    <w:rPr>
      <w:sz w:val="48"/>
      <w:szCs w:val="48"/>
    </w:rPr>
  </w:style>
  <w:style w:type="character" w:styleId="726">
    <w:name w:val="Subtitle Char"/>
    <w:basedOn w:val="741"/>
    <w:link w:val="757"/>
    <w:uiPriority w:val="11"/>
    <w:rPr>
      <w:sz w:val="24"/>
      <w:szCs w:val="24"/>
    </w:rPr>
  </w:style>
  <w:style w:type="character" w:styleId="727">
    <w:name w:val="Quote Char"/>
    <w:link w:val="759"/>
    <w:uiPriority w:val="29"/>
    <w:rPr>
      <w:i/>
    </w:rPr>
  </w:style>
  <w:style w:type="character" w:styleId="728">
    <w:name w:val="Intense Quote Char"/>
    <w:link w:val="761"/>
    <w:uiPriority w:val="30"/>
    <w:rPr>
      <w:i/>
    </w:rPr>
  </w:style>
  <w:style w:type="character" w:styleId="729">
    <w:name w:val="Footnote Text Char"/>
    <w:link w:val="896"/>
    <w:uiPriority w:val="99"/>
    <w:rPr>
      <w:sz w:val="18"/>
    </w:rPr>
  </w:style>
  <w:style w:type="character" w:styleId="730">
    <w:name w:val="Endnote Text Char"/>
    <w:link w:val="899"/>
    <w:uiPriority w:val="99"/>
    <w:rPr>
      <w:sz w:val="20"/>
    </w:rPr>
  </w:style>
  <w:style w:type="paragraph" w:styleId="731" w:default="1">
    <w:name w:val="Normal"/>
    <w:qFormat/>
    <w:rPr>
      <w:lang w:eastAsia="ru-RU"/>
    </w:rPr>
  </w:style>
  <w:style w:type="paragraph" w:styleId="732">
    <w:name w:val="Heading 1"/>
    <w:basedOn w:val="731"/>
    <w:next w:val="731"/>
    <w:link w:val="744"/>
    <w:qFormat/>
    <w:pPr>
      <w:jc w:val="center"/>
      <w:keepNext/>
      <w:outlineLvl w:val="0"/>
    </w:pPr>
    <w:rPr>
      <w:sz w:val="24"/>
    </w:rPr>
  </w:style>
  <w:style w:type="paragraph" w:styleId="733">
    <w:name w:val="Heading 2"/>
    <w:basedOn w:val="731"/>
    <w:next w:val="731"/>
    <w:link w:val="920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4">
    <w:name w:val="Heading 3"/>
    <w:basedOn w:val="731"/>
    <w:next w:val="731"/>
    <w:link w:val="74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5">
    <w:name w:val="Heading 4"/>
    <w:basedOn w:val="731"/>
    <w:next w:val="731"/>
    <w:link w:val="7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6">
    <w:name w:val="Heading 5"/>
    <w:basedOn w:val="731"/>
    <w:next w:val="731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7">
    <w:name w:val="Heading 6"/>
    <w:basedOn w:val="731"/>
    <w:next w:val="731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8">
    <w:name w:val="Heading 7"/>
    <w:basedOn w:val="731"/>
    <w:next w:val="731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9">
    <w:name w:val="Heading 8"/>
    <w:basedOn w:val="731"/>
    <w:next w:val="731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731"/>
    <w:next w:val="73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Заголовок 1 Знак"/>
    <w:link w:val="732"/>
    <w:uiPriority w:val="9"/>
    <w:rPr>
      <w:rFonts w:ascii="Arial" w:hAnsi="Arial" w:eastAsia="Arial" w:cs="Arial"/>
      <w:sz w:val="40"/>
      <w:szCs w:val="40"/>
    </w:rPr>
  </w:style>
  <w:style w:type="character" w:styleId="745" w:customStyle="1">
    <w:name w:val="Heading 2 Char"/>
    <w:uiPriority w:val="9"/>
    <w:rPr>
      <w:rFonts w:ascii="Arial" w:hAnsi="Arial" w:eastAsia="Arial" w:cs="Arial"/>
      <w:sz w:val="34"/>
    </w:rPr>
  </w:style>
  <w:style w:type="character" w:styleId="746" w:customStyle="1">
    <w:name w:val="Заголовок 3 Знак"/>
    <w:link w:val="734"/>
    <w:uiPriority w:val="9"/>
    <w:rPr>
      <w:rFonts w:ascii="Arial" w:hAnsi="Arial" w:eastAsia="Arial" w:cs="Arial"/>
      <w:sz w:val="30"/>
      <w:szCs w:val="30"/>
    </w:rPr>
  </w:style>
  <w:style w:type="character" w:styleId="747" w:customStyle="1">
    <w:name w:val="Заголовок 4 Знак"/>
    <w:link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748" w:customStyle="1">
    <w:name w:val="Заголовок 5 Знак"/>
    <w:link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49" w:customStyle="1">
    <w:name w:val="Заголовок 6 Знак"/>
    <w:link w:val="737"/>
    <w:uiPriority w:val="9"/>
    <w:rPr>
      <w:rFonts w:ascii="Arial" w:hAnsi="Arial" w:eastAsia="Arial" w:cs="Arial"/>
      <w:b/>
      <w:bCs/>
      <w:sz w:val="22"/>
      <w:szCs w:val="22"/>
    </w:rPr>
  </w:style>
  <w:style w:type="character" w:styleId="750" w:customStyle="1">
    <w:name w:val="Заголовок 7 Знак"/>
    <w:link w:val="73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 w:customStyle="1">
    <w:name w:val="Заголовок 8 Знак"/>
    <w:link w:val="739"/>
    <w:uiPriority w:val="9"/>
    <w:rPr>
      <w:rFonts w:ascii="Arial" w:hAnsi="Arial" w:eastAsia="Arial" w:cs="Arial"/>
      <w:i/>
      <w:iCs/>
      <w:sz w:val="22"/>
      <w:szCs w:val="22"/>
    </w:rPr>
  </w:style>
  <w:style w:type="character" w:styleId="752" w:customStyle="1">
    <w:name w:val="Заголовок 9 Знак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731"/>
    <w:uiPriority w:val="34"/>
    <w:qFormat/>
    <w:pPr>
      <w:contextualSpacing/>
      <w:ind w:left="720"/>
    </w:pPr>
  </w:style>
  <w:style w:type="paragraph" w:styleId="754">
    <w:name w:val="No Spacing"/>
    <w:uiPriority w:val="1"/>
    <w:qFormat/>
  </w:style>
  <w:style w:type="paragraph" w:styleId="755">
    <w:name w:val="Title"/>
    <w:basedOn w:val="731"/>
    <w:next w:val="73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link w:val="755"/>
    <w:uiPriority w:val="10"/>
    <w:rPr>
      <w:sz w:val="48"/>
      <w:szCs w:val="48"/>
    </w:rPr>
  </w:style>
  <w:style w:type="paragraph" w:styleId="757">
    <w:name w:val="Subtitle"/>
    <w:basedOn w:val="731"/>
    <w:next w:val="73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link w:val="757"/>
    <w:uiPriority w:val="11"/>
    <w:rPr>
      <w:sz w:val="24"/>
      <w:szCs w:val="24"/>
    </w:rPr>
  </w:style>
  <w:style w:type="paragraph" w:styleId="759">
    <w:name w:val="Quote"/>
    <w:basedOn w:val="731"/>
    <w:next w:val="731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1"/>
    <w:next w:val="731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31"/>
    <w:link w:val="924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4" w:customStyle="1">
    <w:name w:val="Header Char"/>
    <w:uiPriority w:val="99"/>
  </w:style>
  <w:style w:type="paragraph" w:styleId="765">
    <w:name w:val="Footer"/>
    <w:basedOn w:val="731"/>
    <w:link w:val="922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66" w:customStyle="1">
    <w:name w:val="Footer Char"/>
    <w:uiPriority w:val="99"/>
  </w:style>
  <w:style w:type="paragraph" w:styleId="767">
    <w:name w:val="Caption"/>
    <w:basedOn w:val="731"/>
    <w:next w:val="7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Caption Char"/>
    <w:uiPriority w:val="99"/>
  </w:style>
  <w:style w:type="table" w:styleId="769">
    <w:name w:val="Table Grid"/>
    <w:basedOn w:val="742"/>
    <w:tblPr/>
  </w:style>
  <w:style w:type="table" w:styleId="770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1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5">
    <w:name w:val="Hyperlink"/>
    <w:rPr>
      <w:color w:val="0563c1"/>
      <w:u w:val="single"/>
    </w:rPr>
  </w:style>
  <w:style w:type="paragraph" w:styleId="896">
    <w:name w:val="footnote text"/>
    <w:basedOn w:val="731"/>
    <w:link w:val="897"/>
    <w:uiPriority w:val="99"/>
    <w:semiHidden/>
    <w:unhideWhenUsed/>
    <w:pPr>
      <w:spacing w:after="40"/>
    </w:pPr>
    <w:rPr>
      <w:sz w:val="18"/>
    </w:rPr>
  </w:style>
  <w:style w:type="character" w:styleId="897" w:customStyle="1">
    <w:name w:val="Текст сноски Знак"/>
    <w:link w:val="896"/>
    <w:uiPriority w:val="99"/>
    <w:rPr>
      <w:sz w:val="18"/>
    </w:rPr>
  </w:style>
  <w:style w:type="character" w:styleId="898">
    <w:name w:val="footnote reference"/>
    <w:uiPriority w:val="99"/>
    <w:unhideWhenUsed/>
    <w:rPr>
      <w:vertAlign w:val="superscript"/>
    </w:rPr>
  </w:style>
  <w:style w:type="paragraph" w:styleId="899">
    <w:name w:val="endnote text"/>
    <w:basedOn w:val="731"/>
    <w:link w:val="900"/>
    <w:uiPriority w:val="99"/>
    <w:semiHidden/>
    <w:unhideWhenUsed/>
  </w:style>
  <w:style w:type="character" w:styleId="900" w:customStyle="1">
    <w:name w:val="Текст концевой сноски Знак"/>
    <w:link w:val="899"/>
    <w:uiPriority w:val="99"/>
    <w:rPr>
      <w:sz w:val="20"/>
    </w:rPr>
  </w:style>
  <w:style w:type="character" w:styleId="901">
    <w:name w:val="endnote reference"/>
    <w:uiPriority w:val="99"/>
    <w:semiHidden/>
    <w:unhideWhenUsed/>
    <w:rPr>
      <w:vertAlign w:val="superscript"/>
    </w:rPr>
  </w:style>
  <w:style w:type="paragraph" w:styleId="902">
    <w:name w:val="toc 1"/>
    <w:basedOn w:val="731"/>
    <w:next w:val="731"/>
    <w:uiPriority w:val="39"/>
    <w:unhideWhenUsed/>
    <w:pPr>
      <w:spacing w:after="57"/>
    </w:pPr>
  </w:style>
  <w:style w:type="paragraph" w:styleId="903">
    <w:name w:val="toc 2"/>
    <w:basedOn w:val="731"/>
    <w:next w:val="731"/>
    <w:uiPriority w:val="39"/>
    <w:unhideWhenUsed/>
    <w:pPr>
      <w:ind w:left="283"/>
      <w:spacing w:after="57"/>
    </w:pPr>
  </w:style>
  <w:style w:type="paragraph" w:styleId="904">
    <w:name w:val="toc 3"/>
    <w:basedOn w:val="731"/>
    <w:next w:val="731"/>
    <w:uiPriority w:val="39"/>
    <w:unhideWhenUsed/>
    <w:pPr>
      <w:ind w:left="567"/>
      <w:spacing w:after="57"/>
    </w:pPr>
  </w:style>
  <w:style w:type="paragraph" w:styleId="905">
    <w:name w:val="toc 4"/>
    <w:basedOn w:val="731"/>
    <w:next w:val="731"/>
    <w:uiPriority w:val="39"/>
    <w:unhideWhenUsed/>
    <w:pPr>
      <w:ind w:left="850"/>
      <w:spacing w:after="57"/>
    </w:pPr>
  </w:style>
  <w:style w:type="paragraph" w:styleId="906">
    <w:name w:val="toc 5"/>
    <w:basedOn w:val="731"/>
    <w:next w:val="731"/>
    <w:uiPriority w:val="39"/>
    <w:unhideWhenUsed/>
    <w:pPr>
      <w:ind w:left="1134"/>
      <w:spacing w:after="57"/>
    </w:pPr>
  </w:style>
  <w:style w:type="paragraph" w:styleId="907">
    <w:name w:val="toc 6"/>
    <w:basedOn w:val="731"/>
    <w:next w:val="731"/>
    <w:uiPriority w:val="39"/>
    <w:unhideWhenUsed/>
    <w:pPr>
      <w:ind w:left="1417"/>
      <w:spacing w:after="57"/>
    </w:pPr>
  </w:style>
  <w:style w:type="paragraph" w:styleId="908">
    <w:name w:val="toc 7"/>
    <w:basedOn w:val="731"/>
    <w:next w:val="731"/>
    <w:uiPriority w:val="39"/>
    <w:unhideWhenUsed/>
    <w:pPr>
      <w:ind w:left="1701"/>
      <w:spacing w:after="57"/>
    </w:pPr>
  </w:style>
  <w:style w:type="paragraph" w:styleId="909">
    <w:name w:val="toc 8"/>
    <w:basedOn w:val="731"/>
    <w:next w:val="731"/>
    <w:uiPriority w:val="39"/>
    <w:unhideWhenUsed/>
    <w:pPr>
      <w:ind w:left="1984"/>
      <w:spacing w:after="57"/>
    </w:pPr>
  </w:style>
  <w:style w:type="paragraph" w:styleId="910">
    <w:name w:val="toc 9"/>
    <w:basedOn w:val="731"/>
    <w:next w:val="731"/>
    <w:uiPriority w:val="39"/>
    <w:unhideWhenUsed/>
    <w:pPr>
      <w:ind w:left="2268"/>
      <w:spacing w:after="57"/>
    </w:pPr>
  </w:style>
  <w:style w:type="paragraph" w:styleId="911">
    <w:name w:val="TOC Heading"/>
    <w:uiPriority w:val="39"/>
    <w:unhideWhenUsed/>
  </w:style>
  <w:style w:type="paragraph" w:styleId="912">
    <w:name w:val="table of figures"/>
    <w:basedOn w:val="731"/>
    <w:next w:val="731"/>
    <w:uiPriority w:val="99"/>
    <w:unhideWhenUsed/>
  </w:style>
  <w:style w:type="character" w:styleId="913" w:customStyle="1">
    <w:name w:val="Основной шрифт абзаца;Знак Знак2 Знак Знак Знак Знак Знак Знак Знак Знак"/>
    <w:link w:val="927"/>
    <w:semiHidden/>
  </w:style>
  <w:style w:type="paragraph" w:styleId="914">
    <w:name w:val="Body Text"/>
    <w:basedOn w:val="731"/>
    <w:pPr>
      <w:jc w:val="both"/>
    </w:pPr>
    <w:rPr>
      <w:sz w:val="24"/>
      <w:szCs w:val="24"/>
    </w:rPr>
  </w:style>
  <w:style w:type="paragraph" w:styleId="915">
    <w:name w:val="Body Text Indent"/>
    <w:basedOn w:val="731"/>
    <w:pPr>
      <w:ind w:left="283"/>
      <w:spacing w:after="120"/>
    </w:pPr>
  </w:style>
  <w:style w:type="paragraph" w:styleId="916">
    <w:name w:val="Body Text 2"/>
    <w:basedOn w:val="731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17">
    <w:name w:val="Body Text Indent 2"/>
    <w:basedOn w:val="731"/>
    <w:pPr>
      <w:ind w:firstLine="709"/>
      <w:jc w:val="both"/>
    </w:pPr>
    <w:rPr>
      <w:bCs/>
      <w:sz w:val="26"/>
      <w:szCs w:val="26"/>
    </w:rPr>
  </w:style>
  <w:style w:type="paragraph" w:styleId="918">
    <w:name w:val="Body Text Indent 3"/>
    <w:basedOn w:val="731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19" w:customStyle="1">
    <w:name w:val="Знак Знак2 Знак Знак Знак Знак Знак Знак"/>
    <w:basedOn w:val="731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0" w:customStyle="1">
    <w:name w:val="Заголовок 2 Знак"/>
    <w:link w:val="733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1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22" w:customStyle="1">
    <w:name w:val="Нижний колонтитул Знак"/>
    <w:link w:val="765"/>
    <w:rPr>
      <w:rFonts w:ascii="Arial" w:hAnsi="Arial" w:cs="Arial"/>
    </w:rPr>
  </w:style>
  <w:style w:type="character" w:styleId="923">
    <w:name w:val="page number"/>
  </w:style>
  <w:style w:type="character" w:styleId="924" w:customStyle="1">
    <w:name w:val="Верхний колонтитул Знак"/>
    <w:link w:val="763"/>
    <w:rPr>
      <w:rFonts w:ascii="Arial" w:hAnsi="Arial" w:cs="Arial"/>
    </w:rPr>
  </w:style>
  <w:style w:type="paragraph" w:styleId="925">
    <w:name w:val="Balloon Text"/>
    <w:basedOn w:val="731"/>
    <w:link w:val="926"/>
    <w:rPr>
      <w:rFonts w:ascii="Tahoma" w:hAnsi="Tahoma" w:cs="Tahoma"/>
      <w:sz w:val="16"/>
      <w:szCs w:val="16"/>
    </w:rPr>
  </w:style>
  <w:style w:type="character" w:styleId="926" w:customStyle="1">
    <w:name w:val="Текст выноски Знак"/>
    <w:link w:val="925"/>
    <w:rPr>
      <w:rFonts w:ascii="Tahoma" w:hAnsi="Tahoma" w:cs="Tahoma"/>
      <w:sz w:val="16"/>
      <w:szCs w:val="16"/>
    </w:rPr>
  </w:style>
  <w:style w:type="paragraph" w:styleId="927" w:customStyle="1">
    <w:name w:val="Знак Знак2 Знак Знак Знак Знак"/>
    <w:basedOn w:val="731"/>
    <w:link w:val="91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8" w:customStyle="1">
    <w:name w:val="Знак Знак2"/>
    <w:basedOn w:val="73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29" w:customStyle="1">
    <w:name w:val="Знак Знак Знак Знак Знак Знак Знак Знак Знак Знак"/>
    <w:basedOn w:val="731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2024-12-02T14:37:00Z</dcterms:created>
  <dcterms:modified xsi:type="dcterms:W3CDTF">2024-12-06T06:56:31Z</dcterms:modified>
  <cp:version>917504</cp:version>
</cp:coreProperties>
</file>