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  <w:r>
        <w:rPr>
          <w:sz w:val="24"/>
          <w:szCs w:val="24"/>
          <w:lang w:val="en-US"/>
        </w:rPr>
      </w:r>
      <w:r>
        <w:rPr>
          <w:sz w:val="24"/>
          <w:szCs w:val="24"/>
          <w:lang w:val="en-US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09.12.2024 </w:t>
        <w:tab/>
        <w:tab/>
        <w:tab/>
        <w:tab/>
        <w:tab/>
        <w:tab/>
        <w:tab/>
        <w:tab/>
        <w:tab/>
        <w:tab/>
        <w:t xml:space="preserve">  № 1986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pStyle w:val="83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38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О</w:t>
      </w:r>
      <w:r>
        <w:rPr>
          <w:rFonts w:ascii="Times New Roman" w:hAnsi="Times New Roman" w:cs="Times New Roman"/>
          <w:sz w:val="20"/>
          <w:szCs w:val="20"/>
        </w:rPr>
        <w:t xml:space="preserve">б утверждении положения о порядке и размере выплаты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единовременного поощрения за многолетнюю безупречную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муниципальную службу муниципальным служащим, замещающим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838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должности муниципальной службы в администрации</w:t>
      </w:r>
      <w:r>
        <w:rPr>
          <w:rFonts w:ascii="Times New Roman" w:hAnsi="Times New Roman" w:cs="Times New Roman"/>
          <w:sz w:val="20"/>
          <w:szCs w:val="20"/>
        </w:rPr>
        <w:t xml:space="preserve"> Печенгского муниципального округа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widowControl w:val="off"/>
      </w:pPr>
      <w:r/>
      <w:r/>
    </w:p>
    <w:p>
      <w:pPr>
        <w:widowControl w:val="off"/>
      </w:pPr>
      <w:r/>
      <w:r/>
    </w:p>
    <w:p>
      <w:pPr>
        <w:ind w:firstLine="708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Руководствуясь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Трудовым кодексом Российской Федерации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Фед</w:t>
      </w:r>
      <w:r>
        <w:rPr>
          <w:sz w:val="24"/>
          <w:szCs w:val="24"/>
        </w:rPr>
        <w:t xml:space="preserve">еральным законом от 06.10.2003 № 131-ФЗ «</w:t>
      </w:r>
      <w:r>
        <w:rPr>
          <w:sz w:val="24"/>
          <w:szCs w:val="24"/>
        </w:rPr>
        <w:t xml:space="preserve">Об общих принципах организации местного самоуп</w:t>
      </w:r>
      <w:r>
        <w:rPr>
          <w:sz w:val="24"/>
          <w:szCs w:val="24"/>
        </w:rPr>
        <w:t xml:space="preserve">равления в Российской Федерации», </w:t>
      </w:r>
      <w:r>
        <w:rPr>
          <w:sz w:val="24"/>
          <w:szCs w:val="24"/>
        </w:rPr>
        <w:t xml:space="preserve">пунктом 5 статьи 22, пунктом 2.1 статьи 26 Закона Мурманской обла</w:t>
      </w:r>
      <w:r>
        <w:rPr>
          <w:sz w:val="24"/>
          <w:szCs w:val="24"/>
        </w:rPr>
        <w:t xml:space="preserve">сти от 29.06.2007 №</w:t>
      </w:r>
      <w:r>
        <w:rPr>
          <w:sz w:val="24"/>
          <w:szCs w:val="24"/>
        </w:rPr>
        <w:t xml:space="preserve"> 860-01-ЗМО «</w:t>
      </w:r>
      <w:r>
        <w:rPr>
          <w:sz w:val="24"/>
          <w:szCs w:val="24"/>
        </w:rPr>
        <w:t xml:space="preserve">О муниципаль</w:t>
      </w:r>
      <w:r>
        <w:rPr>
          <w:sz w:val="24"/>
          <w:szCs w:val="24"/>
        </w:rPr>
        <w:t xml:space="preserve">ной службе в Мурманской области», Уставом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39"/>
        <w:ind w:firstLine="540"/>
        <w:jc w:val="both"/>
      </w:pPr>
      <w:r>
        <w:t xml:space="preserve">1. Утвердить </w:t>
      </w:r>
      <w:hyperlink w:tooltip="ПОЛОЖЕНИЕ" w:anchor="Par36" w:history="1">
        <w:r>
          <w:t xml:space="preserve">Положение</w:t>
        </w:r>
      </w:hyperlink>
      <w:r>
        <w:t xml:space="preserve"> о порядке и размере выплаты единовременного поощрения за многолетнюю безупречную муниципальную службу муниципальным служащим, замещающим должности муниципальной службы в администрации </w:t>
      </w:r>
      <w:r>
        <w:t xml:space="preserve">Печенгского муниципального округа согласно приложению к настоящему постановлению</w:t>
      </w:r>
      <w:r>
        <w:t xml:space="preserve">.</w:t>
      </w:r>
      <w:r/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Настоящее постановление всту</w:t>
      </w:r>
      <w:r>
        <w:rPr>
          <w:sz w:val="24"/>
          <w:szCs w:val="24"/>
        </w:rPr>
        <w:t xml:space="preserve">пает в силу после его </w:t>
      </w:r>
      <w:r>
        <w:rPr>
          <w:sz w:val="24"/>
          <w:szCs w:val="24"/>
        </w:rPr>
        <w:t xml:space="preserve">официального опубликования в газете «Печенга»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 распространяется на правоотношения, возникшие с 23 сентября 2024 года.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Настоящее постановление разместить</w:t>
      </w:r>
      <w:r>
        <w:rPr>
          <w:sz w:val="24"/>
          <w:szCs w:val="24"/>
        </w:rPr>
        <w:t xml:space="preserve"> на официальном сайте Печенгского муниципального округа </w:t>
      </w:r>
      <w:hyperlink r:id="rId11" w:tooltip="https://pechengamr.gov-murman.ru/" w:history="1">
        <w:r>
          <w:rPr>
            <w:rStyle w:val="848"/>
            <w:sz w:val="24"/>
            <w:szCs w:val="24"/>
          </w:rPr>
          <w:t xml:space="preserve">https://pechengamr.gov-murman.ru/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 Контроль за исполнением настоящего постановления оставляю за собой.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</w:t>
      </w:r>
      <w:r>
        <w:rPr>
          <w:sz w:val="24"/>
          <w:szCs w:val="24"/>
        </w:rPr>
        <w:tab/>
        <w:t xml:space="preserve">               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     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both"/>
        <w:widowControl w:val="off"/>
      </w:pPr>
      <w:r>
        <w:t xml:space="preserve">Морозова М.Е., 5-01-79</w:t>
      </w:r>
      <w:r/>
    </w:p>
    <w:p>
      <w:pPr>
        <w:pStyle w:val="839"/>
        <w:ind w:left="5529"/>
        <w:jc w:val="both"/>
        <w:outlineLvl w:val="0"/>
      </w:pPr>
      <w:r>
        <w:rPr>
          <w:highlight w:val="none"/>
        </w:rPr>
      </w:r>
      <w:r>
        <w:rPr>
          <w:highlight w:val="none"/>
        </w:rPr>
      </w:r>
      <w:r/>
    </w:p>
    <w:p>
      <w:pPr>
        <w:pStyle w:val="839"/>
        <w:ind w:left="5529"/>
        <w:jc w:val="both"/>
        <w:rPr>
          <w:highlight w:val="none"/>
        </w:rPr>
        <w:outlineLvl w:val="0"/>
      </w:pPr>
      <w:r>
        <w:t xml:space="preserve">Приложение </w:t>
      </w:r>
      <w:r>
        <w:rPr>
          <w:highlight w:val="none"/>
        </w:rPr>
      </w:r>
    </w:p>
    <w:p>
      <w:pPr>
        <w:pStyle w:val="839"/>
        <w:ind w:left="5529"/>
        <w:jc w:val="both"/>
      </w:pPr>
      <w:r>
        <w:t xml:space="preserve">к п</w:t>
      </w:r>
      <w:r>
        <w:t xml:space="preserve">остановлени</w:t>
      </w:r>
      <w:r>
        <w:t xml:space="preserve">ю администрации </w:t>
      </w:r>
      <w:r/>
    </w:p>
    <w:p>
      <w:pPr>
        <w:pStyle w:val="839"/>
        <w:ind w:left="5529"/>
        <w:jc w:val="both"/>
      </w:pPr>
      <w:r>
        <w:t xml:space="preserve">Печенгского муниципального округа</w:t>
      </w:r>
      <w:r/>
    </w:p>
    <w:p>
      <w:pPr>
        <w:pStyle w:val="839"/>
        <w:ind w:left="5529"/>
        <w:jc w:val="both"/>
      </w:pPr>
      <w:r>
        <w:t xml:space="preserve">от 09.12.2024 </w:t>
      </w:r>
      <w:r>
        <w:t xml:space="preserve">№ 1986 </w:t>
      </w:r>
      <w:r/>
    </w:p>
    <w:p>
      <w:pPr>
        <w:pStyle w:val="83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3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3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ПОЛОЖЕНИЕ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38"/>
        <w:jc w:val="center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 xml:space="preserve">о порядке и размере выплаты единовременного поощрения за </w:t>
      </w:r>
      <w:r>
        <w:rPr>
          <w:rFonts w:ascii="Times New Roman" w:hAnsi="Times New Roman" w:cs="Times New Roman"/>
          <w:b w:val="0"/>
          <w:bCs w:val="0"/>
        </w:rPr>
        <w:t xml:space="preserve">многолетнюю </w:t>
      </w:r>
      <w:r>
        <w:rPr>
          <w:rFonts w:ascii="Times New Roman" w:hAnsi="Times New Roman" w:cs="Times New Roman"/>
          <w:b w:val="0"/>
          <w:bCs w:val="0"/>
        </w:rPr>
      </w:r>
      <w:r>
        <w:rPr>
          <w:rFonts w:ascii="Times New Roman" w:hAnsi="Times New Roman" w:cs="Times New Roman"/>
          <w:b w:val="0"/>
          <w:bCs w:val="0"/>
        </w:rPr>
      </w:r>
    </w:p>
    <w:p>
      <w:pPr>
        <w:pStyle w:val="838"/>
        <w:jc w:val="center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 xml:space="preserve">безупречную муниципальную службу муниципальным</w:t>
      </w:r>
      <w:r>
        <w:rPr>
          <w:rFonts w:ascii="Times New Roman" w:hAnsi="Times New Roman" w:cs="Times New Roman"/>
          <w:b w:val="0"/>
          <w:bCs w:val="0"/>
        </w:rPr>
        <w:t xml:space="preserve"> </w:t>
      </w:r>
      <w:r>
        <w:rPr>
          <w:rFonts w:ascii="Times New Roman" w:hAnsi="Times New Roman" w:cs="Times New Roman"/>
          <w:b w:val="0"/>
          <w:bCs w:val="0"/>
        </w:rPr>
        <w:t xml:space="preserve">служащим, замещающим должности муниципальной службы</w:t>
      </w:r>
      <w:r>
        <w:rPr>
          <w:rFonts w:ascii="Times New Roman" w:hAnsi="Times New Roman" w:cs="Times New Roman"/>
          <w:b w:val="0"/>
          <w:bCs w:val="0"/>
        </w:rPr>
        <w:t xml:space="preserve"> </w:t>
      </w:r>
      <w:r>
        <w:rPr>
          <w:rFonts w:ascii="Times New Roman" w:hAnsi="Times New Roman" w:cs="Times New Roman"/>
          <w:b w:val="0"/>
          <w:bCs w:val="0"/>
        </w:rPr>
        <w:t xml:space="preserve">в администрации </w:t>
      </w:r>
      <w:r>
        <w:rPr>
          <w:rFonts w:ascii="Times New Roman" w:hAnsi="Times New Roman" w:cs="Times New Roman"/>
          <w:b w:val="0"/>
          <w:bCs w:val="0"/>
        </w:rPr>
        <w:t xml:space="preserve">печенгского муниципального округа</w:t>
      </w:r>
      <w:r>
        <w:rPr>
          <w:rFonts w:ascii="Times New Roman" w:hAnsi="Times New Roman" w:cs="Times New Roman"/>
          <w:b w:val="0"/>
          <w:bCs w:val="0"/>
        </w:rPr>
      </w:r>
      <w:r>
        <w:rPr>
          <w:rFonts w:ascii="Times New Roman" w:hAnsi="Times New Roman" w:cs="Times New Roman"/>
          <w:b w:val="0"/>
          <w:bCs w:val="0"/>
        </w:rPr>
      </w:r>
    </w:p>
    <w:p>
      <w:pPr>
        <w:pStyle w:val="839"/>
        <w:jc w:val="both"/>
      </w:pPr>
      <w:r/>
      <w:r/>
    </w:p>
    <w:p>
      <w:pPr>
        <w:pStyle w:val="839"/>
        <w:jc w:val="center"/>
        <w:outlineLvl w:val="1"/>
      </w:pPr>
      <w:r>
        <w:t xml:space="preserve">1. Общие положения</w:t>
      </w:r>
      <w:r/>
    </w:p>
    <w:p>
      <w:pPr>
        <w:pStyle w:val="839"/>
        <w:jc w:val="both"/>
      </w:pPr>
      <w:r/>
      <w:r/>
    </w:p>
    <w:p>
      <w:pPr>
        <w:pStyle w:val="839"/>
        <w:ind w:firstLine="540"/>
        <w:jc w:val="both"/>
      </w:pPr>
      <w:r>
        <w:t xml:space="preserve">Настоящее Положение разработано в соответствии </w:t>
      </w:r>
      <w:r>
        <w:t xml:space="preserve">с Трудовым кодексом РФ, Законом</w:t>
      </w:r>
      <w:r>
        <w:t xml:space="preserve"> Мурманской области от 29.06.2007 </w:t>
      </w:r>
      <w:r>
        <w:t xml:space="preserve">№ 860-01-ЗМО «</w:t>
      </w:r>
      <w:r>
        <w:t xml:space="preserve">О муниципальной службе в Мурманской области</w:t>
      </w:r>
      <w:r>
        <w:t xml:space="preserve">»</w:t>
      </w:r>
      <w:r>
        <w:t xml:space="preserve"> и устанавливает порядок и размер выплаты единовременного поощрения за многолетнюю безупречную муниципальную службу муниципальным служащим, замещающим должности муниципальной службы в администрации </w:t>
      </w:r>
      <w:r>
        <w:t xml:space="preserve">Печенгского муниципального округа</w:t>
      </w:r>
      <w:r>
        <w:t xml:space="preserve"> (далее - единовременное поощрение).</w:t>
      </w:r>
      <w:r/>
    </w:p>
    <w:p>
      <w:pPr>
        <w:pStyle w:val="839"/>
        <w:jc w:val="both"/>
      </w:pPr>
      <w:r/>
      <w:r/>
    </w:p>
    <w:p>
      <w:pPr>
        <w:pStyle w:val="839"/>
        <w:jc w:val="center"/>
        <w:outlineLvl w:val="1"/>
      </w:pPr>
      <w:r>
        <w:t xml:space="preserve">2. Условия выплаты и размер единовременного поощрения</w:t>
      </w:r>
      <w:r/>
    </w:p>
    <w:p>
      <w:pPr>
        <w:pStyle w:val="839"/>
        <w:jc w:val="both"/>
      </w:pPr>
      <w:r/>
      <w:r/>
    </w:p>
    <w:p>
      <w:pPr>
        <w:pStyle w:val="839"/>
        <w:ind w:firstLine="539"/>
        <w:jc w:val="both"/>
      </w:pPr>
      <w:r>
        <w:t xml:space="preserve">2.1. Муниципальному служащему, замещающему должность муниципальной службы в администрации </w:t>
      </w:r>
      <w:r>
        <w:t xml:space="preserve">Печенгского муниципального округа</w:t>
      </w:r>
      <w:r>
        <w:t xml:space="preserve">, достигшему возраста, дающего право на страховую пенсию по старости, производится единовременное поощрение при наличии стажа муниципальной службы не менее 12,5 лет, исчисленного в соответствии с </w:t>
      </w:r>
      <w:hyperlink r:id="rId12" w:tooltip="https://login.consultant.ru/link/?req=doc&amp;base=RLAW087&amp;n=132541&amp;date=08.07.2024&amp;dst=100296&amp;field=134" w:history="1">
        <w:r>
          <w:t xml:space="preserve">пунктами 1</w:t>
        </w:r>
      </w:hyperlink>
      <w:r>
        <w:t xml:space="preserve"> - </w:t>
      </w:r>
      <w:hyperlink r:id="rId13" w:tooltip="https://login.consultant.ru/link/?req=doc&amp;base=RLAW087&amp;n=132541&amp;date=08.07.2024&amp;dst=100900&amp;field=134" w:history="1">
        <w:r>
          <w:t xml:space="preserve">3 статьи 25</w:t>
        </w:r>
      </w:hyperlink>
      <w:r>
        <w:t xml:space="preserve"> и </w:t>
      </w:r>
      <w:hyperlink r:id="rId14" w:tooltip="https://login.consultant.ru/link/?req=doc&amp;base=RLAW087&amp;n=132541&amp;date=08.07.2024&amp;dst=100911&amp;field=134" w:history="1">
        <w:r>
          <w:t xml:space="preserve">пунктом 2 статьи 37</w:t>
        </w:r>
      </w:hyperlink>
      <w:r>
        <w:t xml:space="preserve"> Закона Мурманской области от 29.06.2007 </w:t>
      </w:r>
      <w:r>
        <w:t xml:space="preserve">№</w:t>
      </w:r>
      <w:r>
        <w:t xml:space="preserve"> 860-01-ЗМО </w:t>
      </w:r>
      <w:r>
        <w:t xml:space="preserve">«</w:t>
      </w:r>
      <w:r>
        <w:t xml:space="preserve">О муниципальной службе в Мурманской области</w:t>
      </w:r>
      <w:r>
        <w:t xml:space="preserve">»</w:t>
      </w:r>
      <w:r>
        <w:t xml:space="preserve">, в том числе не менее 5 лет стажа муниципальной службы в органах местного самоуправления муниципальных образований (избирательных комиссиях муниципальных образований) Мурманской области.</w:t>
      </w:r>
      <w:r/>
    </w:p>
    <w:p>
      <w:pPr>
        <w:pStyle w:val="839"/>
        <w:ind w:firstLine="539"/>
        <w:jc w:val="both"/>
      </w:pPr>
      <w:r>
        <w:t xml:space="preserve">2</w:t>
      </w:r>
      <w:r>
        <w:t xml:space="preserve">.2. Размер единовременного поощрения составляет пятикратную среднемесячную заработную плату поощряемого муниципального служащего, фактически начисленную ему за последние 12 календарных месяцев (с 1-го до 1-го числа) до дня принятия решения о его поощрении.</w:t>
      </w:r>
      <w:r/>
    </w:p>
    <w:p>
      <w:pPr>
        <w:pStyle w:val="839"/>
        <w:ind w:firstLine="539"/>
        <w:jc w:val="both"/>
      </w:pPr>
      <w:r>
        <w:t xml:space="preserve">Если иное не предусмотрено </w:t>
      </w:r>
      <w:hyperlink r:id="rId15" w:tooltip="https://login.consultant.ru/link/?req=doc&amp;base=LAW&amp;n=208761&amp;date=08.07.2024&amp;dst=100010&amp;field=134" w:history="1">
        <w:r>
          <w:t xml:space="preserve">Положением</w:t>
        </w:r>
      </w:hyperlink>
      <w:r>
        <w:t xml:space="preserve"> об особенностях порядка исчисления средней </w:t>
      </w:r>
      <w:r>
        <w:t xml:space="preserve">заработной платы, утвержденным П</w:t>
      </w:r>
      <w:r>
        <w:t xml:space="preserve">остановлением Правительства Российской Федерации от 24.12.2007 </w:t>
      </w:r>
      <w:r>
        <w:t xml:space="preserve">№</w:t>
      </w:r>
      <w:r>
        <w:t xml:space="preserve"> 922, среднемесячная зарабо</w:t>
      </w:r>
      <w:r>
        <w:t xml:space="preserve">тная плата поощряемого муниципального служащего применительно к настоящему Положению рассчитывается следующим образом: денежное содержание муниципального служащего, а также все предусмотренные системой оплаты труда виды выплат, применяемые в администрации </w:t>
      </w:r>
      <w:r>
        <w:t xml:space="preserve">Печенгского муниципального округа</w:t>
      </w:r>
      <w:r>
        <w:t xml:space="preserve">, независимо от источников этих выплат (без учета выплат социального характера и иных вы</w:t>
      </w:r>
      <w:r>
        <w:t xml:space="preserve">плат, не относящихся к оплате труда) за последние 12 календарных месяцев (с 1-го до 1-го числа) до дня принятия решения о поощрении делится на число отработанных рабочих дней и умножается на среднемесячное количество рабочих дней в соответствующем периоде.</w:t>
      </w:r>
      <w:bookmarkStart w:id="0" w:name="Par56"/>
      <w:r/>
      <w:bookmarkEnd w:id="0"/>
      <w:r/>
      <w:r/>
    </w:p>
    <w:p>
      <w:pPr>
        <w:pStyle w:val="839"/>
        <w:ind w:firstLine="539"/>
        <w:jc w:val="both"/>
      </w:pPr>
      <w:r>
        <w:t xml:space="preserve">2.3. Основанием для принятия решения о единовременном поощрении являются выслуга муниципальным служащим необходимого для данного поощрения стажа муниципальной службы и достижение возраста, дающего право на страховую пенсию по старости.</w:t>
      </w:r>
      <w:r/>
    </w:p>
    <w:p>
      <w:pPr>
        <w:pStyle w:val="839"/>
        <w:ind w:firstLine="539"/>
        <w:jc w:val="both"/>
      </w:pPr>
      <w:r/>
      <w:r/>
    </w:p>
    <w:p>
      <w:pPr>
        <w:pStyle w:val="839"/>
        <w:ind w:firstLine="540"/>
        <w:jc w:val="both"/>
      </w:pPr>
      <w:r/>
      <w:bookmarkStart w:id="1" w:name="Par58"/>
      <w:r/>
      <w:bookmarkEnd w:id="1"/>
      <w:r>
        <w:t xml:space="preserve">2.4. Единовременное поощрение не производится в период, когда у муниципального служащего имеются неснятые дисциплинарные взыскания.</w:t>
      </w:r>
      <w:r/>
    </w:p>
    <w:p>
      <w:pPr>
        <w:pStyle w:val="839"/>
        <w:ind w:firstLine="540"/>
        <w:jc w:val="both"/>
      </w:pPr>
      <w:r>
        <w:t xml:space="preserve">2.5. </w:t>
      </w:r>
      <w:r>
        <w:t xml:space="preserve">Единовременное поощрение производится муниципальному служащему только один раз за все время прохождения муниципальной службы в органах местного самоуправления муниципальных образований (избирательных комиссиях муниципальных образований) Мурманской области.</w:t>
      </w:r>
      <w:bookmarkStart w:id="2" w:name="Par60"/>
      <w:r/>
      <w:bookmarkEnd w:id="2"/>
      <w:r/>
      <w:r/>
    </w:p>
    <w:p>
      <w:pPr>
        <w:pStyle w:val="839"/>
        <w:ind w:firstLine="540"/>
        <w:jc w:val="both"/>
      </w:pPr>
      <w:r>
        <w:t xml:space="preserve">2.6. Единовременное поощрение не производится, если в трудовой книжке муниципального служащего имеется запись о том, что ему уже производилось данное поощрение, либо запись об увольнении по собственному желанию в связи с выходом на пенсию.</w:t>
      </w:r>
      <w:r/>
    </w:p>
    <w:p>
      <w:pPr>
        <w:pStyle w:val="839"/>
        <w:jc w:val="both"/>
      </w:pPr>
      <w:r/>
      <w:r/>
    </w:p>
    <w:p>
      <w:pPr>
        <w:pStyle w:val="839"/>
        <w:jc w:val="center"/>
        <w:outlineLvl w:val="1"/>
      </w:pPr>
      <w:r>
        <w:t xml:space="preserve">3. Порядок оформления выплаты единовременного поощрения</w:t>
      </w:r>
      <w:r/>
    </w:p>
    <w:p>
      <w:pPr>
        <w:pStyle w:val="839"/>
        <w:jc w:val="both"/>
      </w:pPr>
      <w:r/>
      <w:r/>
    </w:p>
    <w:p>
      <w:pPr>
        <w:pStyle w:val="849"/>
        <w:ind w:firstLine="540"/>
        <w:jc w:val="both"/>
        <w:spacing w:before="0" w:beforeAutospacing="0" w:after="0" w:afterAutospacing="0" w:line="288" w:lineRule="atLeast"/>
      </w:pPr>
      <w:r>
        <w:t xml:space="preserve">3.1. Решение о единовременном поощрении муниципального служащего принимается Главой </w:t>
      </w:r>
      <w:r>
        <w:t xml:space="preserve">Печенгского муниципального округа</w:t>
      </w:r>
      <w:r>
        <w:t xml:space="preserve"> на основании заявления </w:t>
      </w:r>
      <w:r>
        <w:t xml:space="preserve">муниципального служащего</w:t>
      </w:r>
      <w:r>
        <w:t xml:space="preserve">. Р</w:t>
      </w:r>
      <w:r>
        <w:t xml:space="preserve">ешение принимается на основании подготавливаемых </w:t>
      </w:r>
      <w:r>
        <w:t xml:space="preserve">сектором муниципальной службы и кадров администрации Печенгского муниципального округа</w:t>
      </w:r>
      <w:r>
        <w:t xml:space="preserve"> (далее - структурное подразделение по кадровой работе), </w:t>
      </w:r>
      <w:bookmarkStart w:id="3" w:name="_GoBack"/>
      <w:r/>
      <w:bookmarkEnd w:id="3"/>
      <w:r>
        <w:t xml:space="preserve">документов, содержащих информацию о соответствии муниципального служащего требованиям </w:t>
      </w:r>
      <w:hyperlink w:tooltip="2.3. Основанием для принятия решения о единовременном поощрении являются выслуга муниципальным служащим необходимого для данного поощрения стажа муниципальной службы и достижение возраста, дающего право на страховую пенсию по старости." w:anchor="Par56" w:history="1">
        <w:r>
          <w:t xml:space="preserve">пункта 2.3</w:t>
        </w:r>
      </w:hyperlink>
      <w:r>
        <w:t xml:space="preserve">.</w:t>
      </w:r>
      <w:r>
        <w:t xml:space="preserve"> Положения с учетом особенностей, предусмотренных </w:t>
      </w:r>
      <w:hyperlink w:tooltip="2.4. Единовременное поощрение не производится в период, когда у муниципального служащего имеются неснятые дисциплинарные взыскания." w:anchor="Par58" w:history="1">
        <w:r>
          <w:t xml:space="preserve">пунктами 2.4</w:t>
        </w:r>
      </w:hyperlink>
      <w:r>
        <w:t xml:space="preserve">.</w:t>
      </w:r>
      <w:r>
        <w:t xml:space="preserve"> - </w:t>
      </w:r>
      <w:hyperlink w:tooltip="2.6. Единовременное поощрение не производится, если в трудовой книжке муниципального служащего имеется запись о том, что ему уже производилось данное поощрение, либо запись об увольнении по собственному желанию в связи с выходом на пенсию." w:anchor="Par60" w:history="1">
        <w:r>
          <w:t xml:space="preserve">2.6</w:t>
        </w:r>
      </w:hyperlink>
      <w:r>
        <w:t xml:space="preserve">. </w:t>
      </w:r>
      <w:r>
        <w:t xml:space="preserve">Положения (далее - документы).</w:t>
      </w:r>
      <w:r/>
    </w:p>
    <w:p>
      <w:pPr>
        <w:pStyle w:val="839"/>
        <w:ind w:firstLine="539"/>
        <w:jc w:val="both"/>
      </w:pPr>
      <w:r>
        <w:t xml:space="preserve">3.2. Решение о единовременном поощрении оформляется распоряжением администрации </w:t>
      </w:r>
      <w:r>
        <w:t xml:space="preserve">Печенгского муниципального округа</w:t>
      </w:r>
      <w:r>
        <w:t xml:space="preserve"> (далее - распоряжение), проект которого готовится структурным подразделением по кадровой работе. Датой принятия решения о единовременном поощрении муниципального служащего является дата принятия соответствующего распоряжения.</w:t>
      </w:r>
      <w:r/>
    </w:p>
    <w:p>
      <w:pPr>
        <w:pStyle w:val="839"/>
        <w:ind w:firstLine="539"/>
        <w:jc w:val="both"/>
      </w:pPr>
      <w:r>
        <w:t xml:space="preserve">3.3. Контроль за своевременной подготовкой документов и проекта распоряжения о единовременном поощрении муниципального служащего осуществляется структурным подразделением по кадровой работе.</w:t>
      </w:r>
      <w:r/>
    </w:p>
    <w:p>
      <w:pPr>
        <w:pStyle w:val="839"/>
        <w:ind w:firstLine="539"/>
        <w:jc w:val="both"/>
      </w:pPr>
      <w:r>
        <w:t xml:space="preserve">3.4. Распоряжение администрации </w:t>
      </w:r>
      <w:r>
        <w:t xml:space="preserve">Печенгского муниципального округа</w:t>
      </w:r>
      <w:r>
        <w:t xml:space="preserve"> о единовременном поощрении муниципального служащего должно быть принято в течение текущего календарного года, в котором наступило основание, предусмотренное </w:t>
      </w:r>
      <w:hyperlink w:tooltip="2.3. Основанием для принятия решения о единовременном поощрении являются выслуга муниципальным служащим необходимого для данного поощрения стажа муниципальной службы и достижение возраста, дающего право на страховую пенсию по старости." w:anchor="Par56" w:history="1">
        <w:r>
          <w:t xml:space="preserve">пунктом 2.3</w:t>
        </w:r>
      </w:hyperlink>
      <w:r>
        <w:t xml:space="preserve">. </w:t>
      </w:r>
      <w:r>
        <w:t xml:space="preserve">Положения, с учетом </w:t>
      </w:r>
      <w:hyperlink w:tooltip="2.4. Единовременное поощрение не производится в период, когда у муниципального служащего имеются неснятые дисциплинарные взыскания." w:anchor="Par58" w:history="1">
        <w:r>
          <w:t xml:space="preserve">пунктов 2.4</w:t>
        </w:r>
      </w:hyperlink>
      <w:r>
        <w:t xml:space="preserve">.</w:t>
      </w:r>
      <w:r>
        <w:t xml:space="preserve"> - </w:t>
      </w:r>
      <w:hyperlink w:tooltip="2.6. Единовременное поощрение не производится, если в трудовой книжке муниципального служащего имеется запись о том, что ему уже производилось данное поощрение, либо запись об увольнении по собственному желанию в связи с выходом на пенсию." w:anchor="Par60" w:history="1">
        <w:r>
          <w:t xml:space="preserve">2.6</w:t>
        </w:r>
      </w:hyperlink>
      <w:r>
        <w:t xml:space="preserve">. </w:t>
      </w:r>
      <w:r>
        <w:t xml:space="preserve">Положения.</w:t>
      </w:r>
      <w:r/>
    </w:p>
    <w:p>
      <w:pPr>
        <w:pStyle w:val="839"/>
        <w:ind w:firstLine="540"/>
        <w:jc w:val="both"/>
      </w:pPr>
      <w:r>
        <w:t xml:space="preserve">В случае увольнения муниципального служащего после наступления основания, предусмотренного </w:t>
      </w:r>
      <w:hyperlink w:tooltip="2.3. Основанием для принятия решения о единовременном поощрении являются выслуга муниципальным служащим необходимого для данного поощрения стажа муниципальной службы и достижение возраста, дающего право на страховую пенсию по старости." w:anchor="Par56" w:history="1">
        <w:r>
          <w:t xml:space="preserve">пунктом 2.3</w:t>
        </w:r>
      </w:hyperlink>
      <w:r>
        <w:t xml:space="preserve">. </w:t>
      </w:r>
      <w:r>
        <w:t xml:space="preserve">Положения, соответствующее распоряжение администрации </w:t>
      </w:r>
      <w:r>
        <w:t xml:space="preserve">Печенгского муниципального округа</w:t>
      </w:r>
      <w:r>
        <w:t xml:space="preserve"> о единовременном поощрении должно быть принято не позднее последнего рабочего дня данного муниципального служащего, с учетом </w:t>
      </w:r>
      <w:hyperlink w:tooltip="2.4. Единовременное поощрение не производится в период, когда у муниципального служащего имеются неснятые дисциплинарные взыскания." w:anchor="Par58" w:history="1">
        <w:r>
          <w:t xml:space="preserve">пунктов 2.4</w:t>
        </w:r>
      </w:hyperlink>
      <w:r>
        <w:t xml:space="preserve">.</w:t>
      </w:r>
      <w:r>
        <w:t xml:space="preserve"> - </w:t>
      </w:r>
      <w:hyperlink w:tooltip="2.6. Единовременное поощрение не производится, если в трудовой книжке муниципального служащего имеется запись о том, что ему уже производилось данное поощрение, либо запись об увольнении по собственному желанию в связи с выходом на пенсию." w:anchor="Par60" w:history="1">
        <w:r>
          <w:t xml:space="preserve">2.6</w:t>
        </w:r>
      </w:hyperlink>
      <w:r>
        <w:t xml:space="preserve">. </w:t>
      </w:r>
      <w:r>
        <w:t xml:space="preserve">Положения.</w:t>
      </w:r>
      <w:r/>
    </w:p>
    <w:p>
      <w:pPr>
        <w:pStyle w:val="839"/>
        <w:ind w:firstLine="540"/>
        <w:jc w:val="both"/>
      </w:pPr>
      <w:r>
        <w:t xml:space="preserve">Соответствующая запись о </w:t>
      </w:r>
      <w:r>
        <w:t xml:space="preserve">выплате единовременного поощрения</w:t>
      </w:r>
      <w:r>
        <w:t xml:space="preserve"> вносится в трудовую книжку и личное дело муниципального служащего.</w:t>
      </w:r>
      <w:r/>
    </w:p>
    <w:p>
      <w:pPr>
        <w:pStyle w:val="839"/>
        <w:ind w:firstLine="540"/>
        <w:jc w:val="both"/>
        <w:spacing w:before="240"/>
      </w:pPr>
      <w:r/>
      <w:r/>
    </w:p>
    <w:p>
      <w:pPr>
        <w:pStyle w:val="839"/>
        <w:ind w:firstLine="540"/>
        <w:jc w:val="both"/>
        <w:spacing w:before="240"/>
      </w:pPr>
      <w:r/>
      <w:r/>
    </w:p>
    <w:p>
      <w:pPr>
        <w:pStyle w:val="839"/>
        <w:ind w:firstLine="540"/>
        <w:jc w:val="both"/>
        <w:spacing w:before="240"/>
      </w:pPr>
      <w:r/>
      <w:r/>
    </w:p>
    <w:p>
      <w:pPr>
        <w:pStyle w:val="839"/>
        <w:ind w:firstLine="540"/>
        <w:jc w:val="both"/>
        <w:spacing w:before="240"/>
      </w:pPr>
      <w:r/>
      <w:r/>
    </w:p>
    <w:p>
      <w:pPr>
        <w:pStyle w:val="839"/>
        <w:ind w:firstLine="540"/>
        <w:jc w:val="both"/>
        <w:spacing w:before="240"/>
      </w:pPr>
      <w:r/>
      <w:r/>
    </w:p>
    <w:p>
      <w:pPr>
        <w:pStyle w:val="839"/>
        <w:ind w:firstLine="540"/>
        <w:jc w:val="both"/>
        <w:spacing w:before="240"/>
      </w:pPr>
      <w:r/>
      <w:r/>
    </w:p>
    <w:p>
      <w:pPr>
        <w:pStyle w:val="839"/>
        <w:ind w:firstLine="0"/>
        <w:jc w:val="both"/>
        <w:spacing w:before="240"/>
      </w:pPr>
      <w:r/>
      <w:r/>
    </w:p>
    <w:p>
      <w:pPr>
        <w:pStyle w:val="839"/>
        <w:ind w:firstLine="0"/>
        <w:jc w:val="both"/>
        <w:spacing w:before="240"/>
      </w:pPr>
      <w:r/>
      <w:r/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6">
    <w:name w:val="Heading 1"/>
    <w:basedOn w:val="832"/>
    <w:next w:val="832"/>
    <w:link w:val="65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7">
    <w:name w:val="Heading 1 Char"/>
    <w:basedOn w:val="834"/>
    <w:link w:val="656"/>
    <w:uiPriority w:val="9"/>
    <w:rPr>
      <w:rFonts w:ascii="Arial" w:hAnsi="Arial" w:eastAsia="Arial" w:cs="Arial"/>
      <w:sz w:val="40"/>
      <w:szCs w:val="40"/>
    </w:rPr>
  </w:style>
  <w:style w:type="paragraph" w:styleId="658">
    <w:name w:val="Heading 2"/>
    <w:basedOn w:val="832"/>
    <w:next w:val="832"/>
    <w:link w:val="65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9">
    <w:name w:val="Heading 2 Char"/>
    <w:basedOn w:val="834"/>
    <w:link w:val="658"/>
    <w:uiPriority w:val="9"/>
    <w:rPr>
      <w:rFonts w:ascii="Arial" w:hAnsi="Arial" w:eastAsia="Arial" w:cs="Arial"/>
      <w:sz w:val="34"/>
    </w:rPr>
  </w:style>
  <w:style w:type="paragraph" w:styleId="660">
    <w:name w:val="Heading 3"/>
    <w:basedOn w:val="832"/>
    <w:next w:val="832"/>
    <w:link w:val="66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1">
    <w:name w:val="Heading 3 Char"/>
    <w:basedOn w:val="834"/>
    <w:link w:val="660"/>
    <w:uiPriority w:val="9"/>
    <w:rPr>
      <w:rFonts w:ascii="Arial" w:hAnsi="Arial" w:eastAsia="Arial" w:cs="Arial"/>
      <w:sz w:val="30"/>
      <w:szCs w:val="30"/>
    </w:rPr>
  </w:style>
  <w:style w:type="character" w:styleId="662">
    <w:name w:val="Heading 4 Char"/>
    <w:basedOn w:val="834"/>
    <w:link w:val="833"/>
    <w:uiPriority w:val="9"/>
    <w:rPr>
      <w:rFonts w:ascii="Arial" w:hAnsi="Arial" w:eastAsia="Arial" w:cs="Arial"/>
      <w:b/>
      <w:bCs/>
      <w:sz w:val="26"/>
      <w:szCs w:val="26"/>
    </w:rPr>
  </w:style>
  <w:style w:type="paragraph" w:styleId="663">
    <w:name w:val="Heading 5"/>
    <w:basedOn w:val="832"/>
    <w:next w:val="832"/>
    <w:link w:val="66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4">
    <w:name w:val="Heading 5 Char"/>
    <w:basedOn w:val="834"/>
    <w:link w:val="663"/>
    <w:uiPriority w:val="9"/>
    <w:rPr>
      <w:rFonts w:ascii="Arial" w:hAnsi="Arial" w:eastAsia="Arial" w:cs="Arial"/>
      <w:b/>
      <w:bCs/>
      <w:sz w:val="24"/>
      <w:szCs w:val="24"/>
    </w:rPr>
  </w:style>
  <w:style w:type="paragraph" w:styleId="665">
    <w:name w:val="Heading 6"/>
    <w:basedOn w:val="832"/>
    <w:next w:val="832"/>
    <w:link w:val="66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6">
    <w:name w:val="Heading 6 Char"/>
    <w:basedOn w:val="834"/>
    <w:link w:val="665"/>
    <w:uiPriority w:val="9"/>
    <w:rPr>
      <w:rFonts w:ascii="Arial" w:hAnsi="Arial" w:eastAsia="Arial" w:cs="Arial"/>
      <w:b/>
      <w:bCs/>
      <w:sz w:val="22"/>
      <w:szCs w:val="22"/>
    </w:rPr>
  </w:style>
  <w:style w:type="paragraph" w:styleId="667">
    <w:name w:val="Heading 7"/>
    <w:basedOn w:val="832"/>
    <w:next w:val="832"/>
    <w:link w:val="66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8">
    <w:name w:val="Heading 7 Char"/>
    <w:basedOn w:val="834"/>
    <w:link w:val="66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69">
    <w:name w:val="Heading 8"/>
    <w:basedOn w:val="832"/>
    <w:next w:val="832"/>
    <w:link w:val="67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0">
    <w:name w:val="Heading 8 Char"/>
    <w:basedOn w:val="834"/>
    <w:link w:val="669"/>
    <w:uiPriority w:val="9"/>
    <w:rPr>
      <w:rFonts w:ascii="Arial" w:hAnsi="Arial" w:eastAsia="Arial" w:cs="Arial"/>
      <w:i/>
      <w:iCs/>
      <w:sz w:val="22"/>
      <w:szCs w:val="22"/>
    </w:rPr>
  </w:style>
  <w:style w:type="paragraph" w:styleId="671">
    <w:name w:val="Heading 9"/>
    <w:basedOn w:val="832"/>
    <w:next w:val="832"/>
    <w:link w:val="67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2">
    <w:name w:val="Heading 9 Char"/>
    <w:basedOn w:val="834"/>
    <w:link w:val="671"/>
    <w:uiPriority w:val="9"/>
    <w:rPr>
      <w:rFonts w:ascii="Arial" w:hAnsi="Arial" w:eastAsia="Arial" w:cs="Arial"/>
      <w:i/>
      <w:iCs/>
      <w:sz w:val="21"/>
      <w:szCs w:val="21"/>
    </w:rPr>
  </w:style>
  <w:style w:type="paragraph" w:styleId="673">
    <w:name w:val="List Paragraph"/>
    <w:basedOn w:val="832"/>
    <w:uiPriority w:val="34"/>
    <w:qFormat/>
    <w:pPr>
      <w:contextualSpacing/>
      <w:ind w:left="720"/>
    </w:pPr>
  </w:style>
  <w:style w:type="paragraph" w:styleId="674">
    <w:name w:val="No Spacing"/>
    <w:uiPriority w:val="1"/>
    <w:qFormat/>
    <w:pPr>
      <w:spacing w:before="0" w:after="0" w:line="240" w:lineRule="auto"/>
    </w:pPr>
  </w:style>
  <w:style w:type="paragraph" w:styleId="675">
    <w:name w:val="Title"/>
    <w:basedOn w:val="832"/>
    <w:next w:val="832"/>
    <w:link w:val="67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6">
    <w:name w:val="Title Char"/>
    <w:basedOn w:val="834"/>
    <w:link w:val="675"/>
    <w:uiPriority w:val="10"/>
    <w:rPr>
      <w:sz w:val="48"/>
      <w:szCs w:val="48"/>
    </w:rPr>
  </w:style>
  <w:style w:type="paragraph" w:styleId="677">
    <w:name w:val="Subtitle"/>
    <w:basedOn w:val="832"/>
    <w:next w:val="832"/>
    <w:link w:val="678"/>
    <w:uiPriority w:val="11"/>
    <w:qFormat/>
    <w:pPr>
      <w:spacing w:before="200" w:after="200"/>
    </w:pPr>
    <w:rPr>
      <w:sz w:val="24"/>
      <w:szCs w:val="24"/>
    </w:rPr>
  </w:style>
  <w:style w:type="character" w:styleId="678">
    <w:name w:val="Subtitle Char"/>
    <w:basedOn w:val="834"/>
    <w:link w:val="677"/>
    <w:uiPriority w:val="11"/>
    <w:rPr>
      <w:sz w:val="24"/>
      <w:szCs w:val="24"/>
    </w:rPr>
  </w:style>
  <w:style w:type="paragraph" w:styleId="679">
    <w:name w:val="Quote"/>
    <w:basedOn w:val="832"/>
    <w:next w:val="832"/>
    <w:link w:val="680"/>
    <w:uiPriority w:val="29"/>
    <w:qFormat/>
    <w:pPr>
      <w:ind w:left="720" w:right="720"/>
    </w:pPr>
    <w:rPr>
      <w:i/>
    </w:rPr>
  </w:style>
  <w:style w:type="character" w:styleId="680">
    <w:name w:val="Quote Char"/>
    <w:link w:val="679"/>
    <w:uiPriority w:val="29"/>
    <w:rPr>
      <w:i/>
    </w:rPr>
  </w:style>
  <w:style w:type="paragraph" w:styleId="681">
    <w:name w:val="Intense Quote"/>
    <w:basedOn w:val="832"/>
    <w:next w:val="832"/>
    <w:link w:val="68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2">
    <w:name w:val="Intense Quote Char"/>
    <w:link w:val="681"/>
    <w:uiPriority w:val="30"/>
    <w:rPr>
      <w:i/>
    </w:rPr>
  </w:style>
  <w:style w:type="paragraph" w:styleId="683">
    <w:name w:val="Header"/>
    <w:basedOn w:val="832"/>
    <w:link w:val="68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4">
    <w:name w:val="Header Char"/>
    <w:basedOn w:val="834"/>
    <w:link w:val="683"/>
    <w:uiPriority w:val="99"/>
  </w:style>
  <w:style w:type="paragraph" w:styleId="685">
    <w:name w:val="Footer"/>
    <w:basedOn w:val="832"/>
    <w:link w:val="68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6">
    <w:name w:val="Footer Char"/>
    <w:basedOn w:val="834"/>
    <w:link w:val="685"/>
    <w:uiPriority w:val="99"/>
  </w:style>
  <w:style w:type="paragraph" w:styleId="687">
    <w:name w:val="Caption"/>
    <w:basedOn w:val="832"/>
    <w:next w:val="83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8">
    <w:name w:val="Caption Char"/>
    <w:basedOn w:val="687"/>
    <w:link w:val="685"/>
    <w:uiPriority w:val="99"/>
  </w:style>
  <w:style w:type="table" w:styleId="689">
    <w:name w:val="Table Grid"/>
    <w:basedOn w:val="835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0">
    <w:name w:val="Table Grid Light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Plain Table 1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>
    <w:name w:val="Plain Table 2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3">
    <w:name w:val="Plain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4">
    <w:name w:val="Plain Table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Plain Table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6">
    <w:name w:val="Grid Table 1 Light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4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8">
    <w:name w:val="Grid Table 4 - Accent 1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9">
    <w:name w:val="Grid Table 4 - Accent 2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0">
    <w:name w:val="Grid Table 4 - Accent 3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1">
    <w:name w:val="Grid Table 4 - Accent 4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2">
    <w:name w:val="Grid Table 4 - Accent 5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3">
    <w:name w:val="Grid Table 4 - Accent 6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4">
    <w:name w:val="Grid Table 5 Dark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1">
    <w:name w:val="Grid Table 6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2">
    <w:name w:val="Grid Table 6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3">
    <w:name w:val="Grid Table 6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4">
    <w:name w:val="Grid Table 6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5">
    <w:name w:val="Grid Table 6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6">
    <w:name w:val="Grid Table 6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7">
    <w:name w:val="Grid Table 6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8">
    <w:name w:val="Grid Table 7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3">
    <w:name w:val="List Table 2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4">
    <w:name w:val="List Table 2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5">
    <w:name w:val="List Table 2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6">
    <w:name w:val="List Table 2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7">
    <w:name w:val="List Table 2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8">
    <w:name w:val="List Table 2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9">
    <w:name w:val="List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5 Dark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6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1">
    <w:name w:val="List Table 6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2">
    <w:name w:val="List Table 6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3">
    <w:name w:val="List Table 6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4">
    <w:name w:val="List Table 6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5">
    <w:name w:val="List Table 6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6">
    <w:name w:val="List Table 6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7">
    <w:name w:val="List Table 7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8">
    <w:name w:val="List Table 7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9">
    <w:name w:val="List Table 7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0">
    <w:name w:val="List Table 7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1">
    <w:name w:val="List Table 7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2">
    <w:name w:val="List Table 7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3">
    <w:name w:val="List Table 7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4">
    <w:name w:val="Lined - Accent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5">
    <w:name w:val="Lined - Accent 1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6">
    <w:name w:val="Lined - Accent 2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7">
    <w:name w:val="Lined - Accent 3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8">
    <w:name w:val="Lined - Accent 4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9">
    <w:name w:val="Lined - Accent 5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0">
    <w:name w:val="Lined - Accent 6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1">
    <w:name w:val="Bordered &amp; Lined - Accent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Bordered &amp; Lined - Accent 1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3">
    <w:name w:val="Bordered &amp; Lined - Accent 2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4">
    <w:name w:val="Bordered &amp; Lined - Accent 3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5">
    <w:name w:val="Bordered &amp; Lined - Accent 4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6">
    <w:name w:val="Bordered &amp; Lined - Accent 5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Bordered &amp; Lined - Accent 6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9">
    <w:name w:val="Bordered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0">
    <w:name w:val="Bordered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1">
    <w:name w:val="Bordered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2">
    <w:name w:val="Bordered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3">
    <w:name w:val="Bordered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4">
    <w:name w:val="Bordered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5">
    <w:name w:val="footnote text"/>
    <w:basedOn w:val="832"/>
    <w:link w:val="816"/>
    <w:uiPriority w:val="99"/>
    <w:semiHidden/>
    <w:unhideWhenUsed/>
    <w:pPr>
      <w:spacing w:after="40" w:line="240" w:lineRule="auto"/>
    </w:pPr>
    <w:rPr>
      <w:sz w:val="18"/>
    </w:rPr>
  </w:style>
  <w:style w:type="character" w:styleId="816">
    <w:name w:val="Footnote Text Char"/>
    <w:link w:val="815"/>
    <w:uiPriority w:val="99"/>
    <w:rPr>
      <w:sz w:val="18"/>
    </w:rPr>
  </w:style>
  <w:style w:type="character" w:styleId="817">
    <w:name w:val="footnote reference"/>
    <w:basedOn w:val="834"/>
    <w:uiPriority w:val="99"/>
    <w:unhideWhenUsed/>
    <w:rPr>
      <w:vertAlign w:val="superscript"/>
    </w:rPr>
  </w:style>
  <w:style w:type="paragraph" w:styleId="818">
    <w:name w:val="endnote text"/>
    <w:basedOn w:val="832"/>
    <w:link w:val="819"/>
    <w:uiPriority w:val="99"/>
    <w:semiHidden/>
    <w:unhideWhenUsed/>
    <w:pPr>
      <w:spacing w:after="0" w:line="240" w:lineRule="auto"/>
    </w:pPr>
    <w:rPr>
      <w:sz w:val="20"/>
    </w:rPr>
  </w:style>
  <w:style w:type="character" w:styleId="819">
    <w:name w:val="Endnote Text Char"/>
    <w:link w:val="818"/>
    <w:uiPriority w:val="99"/>
    <w:rPr>
      <w:sz w:val="20"/>
    </w:rPr>
  </w:style>
  <w:style w:type="character" w:styleId="820">
    <w:name w:val="endnote reference"/>
    <w:basedOn w:val="834"/>
    <w:uiPriority w:val="99"/>
    <w:semiHidden/>
    <w:unhideWhenUsed/>
    <w:rPr>
      <w:vertAlign w:val="superscript"/>
    </w:rPr>
  </w:style>
  <w:style w:type="paragraph" w:styleId="821">
    <w:name w:val="toc 1"/>
    <w:basedOn w:val="832"/>
    <w:next w:val="832"/>
    <w:uiPriority w:val="39"/>
    <w:unhideWhenUsed/>
    <w:pPr>
      <w:ind w:left="0" w:right="0" w:firstLine="0"/>
      <w:spacing w:after="57"/>
    </w:pPr>
  </w:style>
  <w:style w:type="paragraph" w:styleId="822">
    <w:name w:val="toc 2"/>
    <w:basedOn w:val="832"/>
    <w:next w:val="832"/>
    <w:uiPriority w:val="39"/>
    <w:unhideWhenUsed/>
    <w:pPr>
      <w:ind w:left="283" w:right="0" w:firstLine="0"/>
      <w:spacing w:after="57"/>
    </w:pPr>
  </w:style>
  <w:style w:type="paragraph" w:styleId="823">
    <w:name w:val="toc 3"/>
    <w:basedOn w:val="832"/>
    <w:next w:val="832"/>
    <w:uiPriority w:val="39"/>
    <w:unhideWhenUsed/>
    <w:pPr>
      <w:ind w:left="567" w:right="0" w:firstLine="0"/>
      <w:spacing w:after="57"/>
    </w:pPr>
  </w:style>
  <w:style w:type="paragraph" w:styleId="824">
    <w:name w:val="toc 4"/>
    <w:basedOn w:val="832"/>
    <w:next w:val="832"/>
    <w:uiPriority w:val="39"/>
    <w:unhideWhenUsed/>
    <w:pPr>
      <w:ind w:left="850" w:right="0" w:firstLine="0"/>
      <w:spacing w:after="57"/>
    </w:pPr>
  </w:style>
  <w:style w:type="paragraph" w:styleId="825">
    <w:name w:val="toc 5"/>
    <w:basedOn w:val="832"/>
    <w:next w:val="832"/>
    <w:uiPriority w:val="39"/>
    <w:unhideWhenUsed/>
    <w:pPr>
      <w:ind w:left="1134" w:right="0" w:firstLine="0"/>
      <w:spacing w:after="57"/>
    </w:pPr>
  </w:style>
  <w:style w:type="paragraph" w:styleId="826">
    <w:name w:val="toc 6"/>
    <w:basedOn w:val="832"/>
    <w:next w:val="832"/>
    <w:uiPriority w:val="39"/>
    <w:unhideWhenUsed/>
    <w:pPr>
      <w:ind w:left="1417" w:right="0" w:firstLine="0"/>
      <w:spacing w:after="57"/>
    </w:pPr>
  </w:style>
  <w:style w:type="paragraph" w:styleId="827">
    <w:name w:val="toc 7"/>
    <w:basedOn w:val="832"/>
    <w:next w:val="832"/>
    <w:uiPriority w:val="39"/>
    <w:unhideWhenUsed/>
    <w:pPr>
      <w:ind w:left="1701" w:right="0" w:firstLine="0"/>
      <w:spacing w:after="57"/>
    </w:pPr>
  </w:style>
  <w:style w:type="paragraph" w:styleId="828">
    <w:name w:val="toc 8"/>
    <w:basedOn w:val="832"/>
    <w:next w:val="832"/>
    <w:uiPriority w:val="39"/>
    <w:unhideWhenUsed/>
    <w:pPr>
      <w:ind w:left="1984" w:right="0" w:firstLine="0"/>
      <w:spacing w:after="57"/>
    </w:pPr>
  </w:style>
  <w:style w:type="paragraph" w:styleId="829">
    <w:name w:val="toc 9"/>
    <w:basedOn w:val="832"/>
    <w:next w:val="832"/>
    <w:uiPriority w:val="39"/>
    <w:unhideWhenUsed/>
    <w:pPr>
      <w:ind w:left="2268" w:right="0" w:firstLine="0"/>
      <w:spacing w:after="57"/>
    </w:pPr>
  </w:style>
  <w:style w:type="paragraph" w:styleId="830">
    <w:name w:val="TOC Heading"/>
    <w:uiPriority w:val="39"/>
    <w:unhideWhenUsed/>
  </w:style>
  <w:style w:type="paragraph" w:styleId="831">
    <w:name w:val="table of figures"/>
    <w:basedOn w:val="832"/>
    <w:next w:val="832"/>
    <w:uiPriority w:val="99"/>
    <w:unhideWhenUsed/>
    <w:pPr>
      <w:spacing w:after="0" w:afterAutospacing="0"/>
    </w:pPr>
  </w:style>
  <w:style w:type="paragraph" w:styleId="832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33">
    <w:name w:val="Heading 4"/>
    <w:basedOn w:val="832"/>
    <w:next w:val="832"/>
    <w:link w:val="837"/>
    <w:qFormat/>
    <w:pPr>
      <w:ind w:firstLine="709"/>
      <w:keepNext/>
      <w:outlineLvl w:val="3"/>
    </w:pPr>
    <w:rPr>
      <w:sz w:val="28"/>
    </w:rPr>
  </w:style>
  <w:style w:type="character" w:styleId="834" w:default="1">
    <w:name w:val="Default Paragraph Font"/>
    <w:uiPriority w:val="1"/>
    <w:semiHidden/>
    <w:unhideWhenUsed/>
  </w:style>
  <w:style w:type="table" w:styleId="83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6" w:default="1">
    <w:name w:val="No List"/>
    <w:uiPriority w:val="99"/>
    <w:semiHidden/>
    <w:unhideWhenUsed/>
  </w:style>
  <w:style w:type="character" w:styleId="837" w:customStyle="1">
    <w:name w:val="Заголовок 4 Знак"/>
    <w:basedOn w:val="834"/>
    <w:link w:val="833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838" w:customStyle="1">
    <w:name w:val="ConsPlusTitle"/>
    <w:uiPriority w:val="99"/>
    <w:pPr>
      <w:spacing w:after="0" w:line="240" w:lineRule="auto"/>
      <w:widowControl w:val="off"/>
    </w:pPr>
    <w:rPr>
      <w:rFonts w:ascii="Arial" w:hAnsi="Arial" w:cs="Arial" w:eastAsiaTheme="minorEastAsia"/>
      <w:b/>
      <w:bCs/>
      <w:sz w:val="24"/>
      <w:szCs w:val="24"/>
      <w:lang w:eastAsia="ru-RU"/>
    </w:rPr>
  </w:style>
  <w:style w:type="paragraph" w:styleId="839" w:customStyle="1">
    <w:name w:val="ConsPlusNormal"/>
    <w:pPr>
      <w:spacing w:after="0" w:line="240" w:lineRule="auto"/>
      <w:widowControl w:val="off"/>
    </w:pPr>
    <w:rPr>
      <w:rFonts w:ascii="Times New Roman" w:hAnsi="Times New Roman" w:cs="Times New Roman" w:eastAsiaTheme="minorEastAsia"/>
      <w:sz w:val="24"/>
      <w:szCs w:val="24"/>
      <w:lang w:eastAsia="ru-RU"/>
    </w:rPr>
  </w:style>
  <w:style w:type="paragraph" w:styleId="840" w:customStyle="1">
    <w:name w:val="Default"/>
    <w:pPr>
      <w:spacing w:after="0" w:line="240" w:lineRule="auto"/>
    </w:pPr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paragraph" w:styleId="841">
    <w:name w:val="Balloon Text"/>
    <w:basedOn w:val="832"/>
    <w:link w:val="842"/>
    <w:uiPriority w:val="99"/>
    <w:semiHidden/>
    <w:unhideWhenUsed/>
    <w:rPr>
      <w:rFonts w:ascii="Segoe UI" w:hAnsi="Segoe UI" w:cs="Segoe UI"/>
      <w:sz w:val="18"/>
      <w:szCs w:val="18"/>
    </w:rPr>
  </w:style>
  <w:style w:type="character" w:styleId="842" w:customStyle="1">
    <w:name w:val="Текст выноски Знак"/>
    <w:basedOn w:val="834"/>
    <w:link w:val="841"/>
    <w:uiPriority w:val="99"/>
    <w:semiHidden/>
    <w:rPr>
      <w:rFonts w:ascii="Segoe UI" w:hAnsi="Segoe UI" w:eastAsia="Times New Roman" w:cs="Segoe UI"/>
      <w:color w:val="000000"/>
      <w:sz w:val="18"/>
      <w:szCs w:val="18"/>
      <w:lang w:eastAsia="ru-RU"/>
    </w:rPr>
  </w:style>
  <w:style w:type="character" w:styleId="843">
    <w:name w:val="annotation reference"/>
    <w:basedOn w:val="834"/>
    <w:uiPriority w:val="99"/>
    <w:semiHidden/>
    <w:unhideWhenUsed/>
    <w:rPr>
      <w:sz w:val="16"/>
      <w:szCs w:val="16"/>
    </w:rPr>
  </w:style>
  <w:style w:type="paragraph" w:styleId="844">
    <w:name w:val="annotation text"/>
    <w:basedOn w:val="832"/>
    <w:link w:val="845"/>
    <w:uiPriority w:val="99"/>
    <w:semiHidden/>
    <w:unhideWhenUsed/>
  </w:style>
  <w:style w:type="character" w:styleId="845" w:customStyle="1">
    <w:name w:val="Текст примечания Знак"/>
    <w:basedOn w:val="834"/>
    <w:link w:val="844"/>
    <w:uiPriority w:val="99"/>
    <w:semiHidden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46">
    <w:name w:val="annotation subject"/>
    <w:basedOn w:val="844"/>
    <w:next w:val="844"/>
    <w:link w:val="847"/>
    <w:uiPriority w:val="99"/>
    <w:semiHidden/>
    <w:unhideWhenUsed/>
    <w:rPr>
      <w:b/>
      <w:bCs/>
    </w:rPr>
  </w:style>
  <w:style w:type="character" w:styleId="847" w:customStyle="1">
    <w:name w:val="Тема примечания Знак"/>
    <w:basedOn w:val="845"/>
    <w:link w:val="846"/>
    <w:uiPriority w:val="99"/>
    <w:semiHidden/>
    <w:rPr>
      <w:rFonts w:ascii="Times New Roman" w:hAnsi="Times New Roman" w:eastAsia="Times New Roman" w:cs="Times New Roman"/>
      <w:b/>
      <w:bCs/>
      <w:color w:val="000000"/>
      <w:sz w:val="20"/>
      <w:szCs w:val="20"/>
      <w:lang w:eastAsia="ru-RU"/>
    </w:rPr>
  </w:style>
  <w:style w:type="character" w:styleId="848">
    <w:name w:val="Hyperlink"/>
    <w:basedOn w:val="834"/>
    <w:uiPriority w:val="99"/>
    <w:unhideWhenUsed/>
    <w:rPr>
      <w:color w:val="0000ff" w:themeColor="hyperlink"/>
      <w:u w:val="single"/>
    </w:rPr>
  </w:style>
  <w:style w:type="paragraph" w:styleId="849">
    <w:name w:val="Normal (Web)"/>
    <w:basedOn w:val="832"/>
    <w:uiPriority w:val="99"/>
    <w:unhideWhenUsed/>
    <w:pPr>
      <w:spacing w:before="100" w:beforeAutospacing="1" w:after="100" w:afterAutospacing="1"/>
    </w:pPr>
    <w:rPr>
      <w:color w:val="auto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pechengamr.gov-murman.ru/" TargetMode="External"/><Relationship Id="rId12" Type="http://schemas.openxmlformats.org/officeDocument/2006/relationships/hyperlink" Target="https://login.consultant.ru/link/?req=doc&amp;base=RLAW087&amp;n=132541&amp;date=08.07.2024&amp;dst=100296&amp;field=134" TargetMode="External"/><Relationship Id="rId13" Type="http://schemas.openxmlformats.org/officeDocument/2006/relationships/hyperlink" Target="https://login.consultant.ru/link/?req=doc&amp;base=RLAW087&amp;n=132541&amp;date=08.07.2024&amp;dst=100900&amp;field=134" TargetMode="External"/><Relationship Id="rId14" Type="http://schemas.openxmlformats.org/officeDocument/2006/relationships/hyperlink" Target="https://login.consultant.ru/link/?req=doc&amp;base=RLAW087&amp;n=132541&amp;date=08.07.2024&amp;dst=100911&amp;field=134" TargetMode="External"/><Relationship Id="rId15" Type="http://schemas.openxmlformats.org/officeDocument/2006/relationships/hyperlink" Target="https://login.consultant.ru/link/?req=doc&amp;base=LAW&amp;n=208761&amp;date=08.07.2024&amp;dst=100010&amp;field=134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EC8C0F-2B55-4EB4-853E-E810E5594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19</cp:revision>
  <dcterms:created xsi:type="dcterms:W3CDTF">2024-11-28T13:14:00Z</dcterms:created>
  <dcterms:modified xsi:type="dcterms:W3CDTF">2024-12-13T11:59:51Z</dcterms:modified>
</cp:coreProperties>
</file>