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12.12.2024 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№ 2010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6"/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</w:t>
      </w:r>
      <w:r>
        <w:rPr>
          <w:b/>
          <w:sz w:val="20"/>
          <w:szCs w:val="20"/>
        </w:rPr>
        <w:t xml:space="preserve">присвоении статуса </w:t>
      </w:r>
      <w:r>
        <w:rPr>
          <w:b/>
          <w:sz w:val="20"/>
          <w:szCs w:val="20"/>
        </w:rPr>
        <w:t xml:space="preserve">единой теплоснабжающей организац</w:t>
      </w:r>
      <w:r>
        <w:rPr>
          <w:b/>
          <w:sz w:val="20"/>
          <w:szCs w:val="20"/>
        </w:rPr>
        <w:t xml:space="preserve">ии ООО</w:t>
      </w:r>
      <w:r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 xml:space="preserve">ПромВоенСтрой</w:t>
      </w:r>
      <w:r>
        <w:rPr>
          <w:b/>
          <w:sz w:val="20"/>
          <w:szCs w:val="20"/>
        </w:rPr>
        <w:t xml:space="preserve">»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0"/>
          <w:szCs w:val="20"/>
          <w:highlight w:val="none"/>
        </w:rPr>
      </w:pPr>
      <w:r>
        <w:rPr>
          <w:b/>
          <w:sz w:val="20"/>
          <w:szCs w:val="20"/>
        </w:rPr>
        <w:t xml:space="preserve"> </w:t>
      </w:r>
      <w:r>
        <w:rPr>
          <w:b/>
          <w:bCs/>
          <w:sz w:val="20"/>
          <w:szCs w:val="20"/>
          <w:highlight w:val="none"/>
        </w:rPr>
      </w:r>
      <w:r>
        <w:rPr>
          <w:b/>
          <w:bCs/>
          <w:sz w:val="20"/>
          <w:szCs w:val="20"/>
          <w:highlight w:val="none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  <w:highlight w:val="none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Федеральным законом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Федеральным законом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27.07.2010 № 190-ФЗ «О теплоснабжении»,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Правительства Р</w:t>
      </w:r>
      <w:r>
        <w:rPr>
          <w:sz w:val="24"/>
          <w:szCs w:val="24"/>
        </w:rPr>
        <w:t xml:space="preserve">оссийской Федерации </w:t>
      </w:r>
      <w:r>
        <w:rPr>
          <w:sz w:val="24"/>
          <w:szCs w:val="24"/>
        </w:rPr>
        <w:t xml:space="preserve">от 08.08.2012 </w:t>
      </w:r>
      <w:r>
        <w:rPr>
          <w:sz w:val="24"/>
          <w:szCs w:val="24"/>
        </w:rPr>
        <w:t xml:space="preserve">№</w:t>
      </w:r>
      <w:bookmarkStart w:id="0" w:name="_GoBack"/>
      <w:r/>
      <w:bookmarkEnd w:id="0"/>
      <w:r>
        <w:rPr>
          <w:sz w:val="24"/>
          <w:szCs w:val="24"/>
        </w:rPr>
        <w:t xml:space="preserve"> 808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организации теплоснабжения в Российской Федерации и о внесении изменений в некоторые акты Правительства Российской Федерации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Уставом Печенгского муниципального округа</w:t>
      </w:r>
      <w:r>
        <w:rPr>
          <w:sz w:val="24"/>
          <w:szCs w:val="24"/>
        </w:rPr>
        <w:t xml:space="preserve">, на основании постановления администрации Печенгского муниципального округа </w:t>
        <w:br/>
        <w:t xml:space="preserve">от 11.10.2024</w:t>
      </w:r>
      <w:r>
        <w:rPr>
          <w:sz w:val="24"/>
          <w:szCs w:val="24"/>
        </w:rPr>
        <w:t xml:space="preserve"> № 1569 «Об утверждении схемы теплоснабжения Печенгского муниципального округа Мурманской области на период до 2043 года»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</w:t>
      </w:r>
      <w:r>
        <w:rPr>
          <w:sz w:val="24"/>
        </w:rPr>
        <w:t xml:space="preserve">П</w:t>
      </w:r>
      <w:r>
        <w:rPr>
          <w:sz w:val="24"/>
        </w:rPr>
        <w:t xml:space="preserve">рисвоить </w:t>
      </w:r>
      <w:r>
        <w:rPr>
          <w:sz w:val="24"/>
        </w:rPr>
        <w:t xml:space="preserve">обществу с ограниченной ответственностью «</w:t>
      </w:r>
      <w:r>
        <w:rPr>
          <w:sz w:val="24"/>
        </w:rPr>
        <w:t xml:space="preserve">ПромВоенСтрой</w:t>
      </w:r>
      <w:r>
        <w:rPr>
          <w:sz w:val="24"/>
        </w:rPr>
        <w:t xml:space="preserve">»</w:t>
      </w:r>
      <w:r>
        <w:rPr>
          <w:sz w:val="24"/>
        </w:rPr>
        <w:t xml:space="preserve">, </w:t>
      </w:r>
      <w:r>
        <w:rPr>
          <w:sz w:val="24"/>
        </w:rPr>
        <w:t xml:space="preserve">ОГРН </w:t>
      </w:r>
      <w:r>
        <w:rPr>
          <w:sz w:val="24"/>
        </w:rPr>
        <w:t xml:space="preserve">1097847172367, ИНН 7842410730 </w:t>
      </w:r>
      <w:r>
        <w:rPr>
          <w:sz w:val="24"/>
        </w:rPr>
        <w:t xml:space="preserve">(</w:t>
      </w:r>
      <w:r>
        <w:rPr>
          <w:sz w:val="24"/>
        </w:rPr>
        <w:t xml:space="preserve">ООО «</w:t>
      </w:r>
      <w:r>
        <w:rPr>
          <w:sz w:val="24"/>
        </w:rPr>
        <w:t xml:space="preserve">ПромВоенСтрой</w:t>
      </w:r>
      <w:r>
        <w:rPr>
          <w:sz w:val="24"/>
        </w:rPr>
        <w:t xml:space="preserve">»</w:t>
      </w:r>
      <w:r>
        <w:rPr>
          <w:sz w:val="24"/>
        </w:rPr>
        <w:t xml:space="preserve">)</w:t>
      </w:r>
      <w:r>
        <w:rPr>
          <w:sz w:val="24"/>
        </w:rPr>
        <w:t xml:space="preserve"> ст</w:t>
      </w:r>
      <w:r>
        <w:rPr>
          <w:sz w:val="24"/>
        </w:rPr>
        <w:t xml:space="preserve">а</w:t>
      </w:r>
      <w:r>
        <w:rPr>
          <w:sz w:val="24"/>
        </w:rPr>
        <w:t xml:space="preserve">тус единой теплоснабжающей организации на территории Печенгского муниципального округа в зоне де</w:t>
      </w:r>
      <w:r>
        <w:rPr>
          <w:sz w:val="24"/>
        </w:rPr>
        <w:t xml:space="preserve">ятельности источника тепловой энергии</w:t>
      </w:r>
      <w:r>
        <w:rPr>
          <w:sz w:val="24"/>
        </w:rPr>
        <w:t xml:space="preserve">: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1.1. </w:t>
      </w:r>
      <w:r>
        <w:rPr>
          <w:sz w:val="24"/>
        </w:rPr>
        <w:t xml:space="preserve">Котельн</w:t>
      </w:r>
      <w:r>
        <w:rPr>
          <w:sz w:val="24"/>
        </w:rPr>
        <w:t xml:space="preserve">ой</w:t>
      </w:r>
      <w:r>
        <w:rPr>
          <w:sz w:val="24"/>
        </w:rPr>
        <w:t xml:space="preserve"> № 3, расположенн</w:t>
      </w:r>
      <w:r>
        <w:rPr>
          <w:sz w:val="24"/>
        </w:rPr>
        <w:t xml:space="preserve">ой</w:t>
      </w:r>
      <w:r>
        <w:rPr>
          <w:sz w:val="24"/>
        </w:rPr>
        <w:t xml:space="preserve"> в </w:t>
      </w:r>
      <w:r>
        <w:rPr>
          <w:sz w:val="24"/>
        </w:rPr>
        <w:t xml:space="preserve">н.п</w:t>
      </w:r>
      <w:r>
        <w:rPr>
          <w:sz w:val="24"/>
        </w:rPr>
        <w:t xml:space="preserve">. </w:t>
      </w:r>
      <w:r>
        <w:rPr>
          <w:sz w:val="24"/>
        </w:rPr>
        <w:t xml:space="preserve">Лиинахамари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1.2. Котельной № 42/138, расположенн</w:t>
      </w:r>
      <w:r>
        <w:rPr>
          <w:sz w:val="24"/>
        </w:rPr>
        <w:t xml:space="preserve">ой</w:t>
      </w:r>
      <w:r>
        <w:rPr>
          <w:sz w:val="24"/>
        </w:rPr>
        <w:t xml:space="preserve"> в </w:t>
      </w:r>
      <w:r>
        <w:rPr>
          <w:sz w:val="24"/>
        </w:rPr>
        <w:t xml:space="preserve">н.п</w:t>
      </w:r>
      <w:r>
        <w:rPr>
          <w:sz w:val="24"/>
        </w:rPr>
        <w:t xml:space="preserve">. Спутник;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1.3. Котельной № 13/73</w:t>
      </w:r>
      <w:r>
        <w:rPr>
          <w:sz w:val="24"/>
        </w:rPr>
        <w:t xml:space="preserve">, </w:t>
      </w:r>
      <w:r>
        <w:rPr>
          <w:sz w:val="24"/>
        </w:rPr>
        <w:t xml:space="preserve">расположенн</w:t>
      </w:r>
      <w:r>
        <w:rPr>
          <w:sz w:val="24"/>
        </w:rPr>
        <w:t xml:space="preserve">ой</w:t>
      </w:r>
      <w:r>
        <w:rPr>
          <w:sz w:val="24"/>
        </w:rPr>
        <w:t xml:space="preserve"> в </w:t>
      </w:r>
      <w:r>
        <w:rPr>
          <w:sz w:val="24"/>
        </w:rPr>
        <w:t xml:space="preserve">п.г.т</w:t>
      </w:r>
      <w:r>
        <w:rPr>
          <w:sz w:val="24"/>
        </w:rPr>
        <w:t xml:space="preserve">. Печенга;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1.4. Котельной № 13/55</w:t>
      </w:r>
      <w:r>
        <w:rPr>
          <w:sz w:val="24"/>
        </w:rPr>
        <w:t xml:space="preserve">, </w:t>
      </w:r>
      <w:r>
        <w:rPr>
          <w:sz w:val="24"/>
        </w:rPr>
        <w:t xml:space="preserve">расположенн</w:t>
      </w:r>
      <w:r>
        <w:rPr>
          <w:sz w:val="24"/>
        </w:rPr>
        <w:t xml:space="preserve">ой</w:t>
      </w:r>
      <w:r>
        <w:rPr>
          <w:sz w:val="24"/>
        </w:rPr>
        <w:t xml:space="preserve"> в </w:t>
      </w:r>
      <w:r>
        <w:rPr>
          <w:sz w:val="24"/>
        </w:rPr>
        <w:t xml:space="preserve">п.г.т</w:t>
      </w:r>
      <w:r>
        <w:rPr>
          <w:sz w:val="24"/>
        </w:rPr>
        <w:t xml:space="preserve">. Печенга;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1.5. Котельной № 4/152</w:t>
      </w:r>
      <w:r>
        <w:rPr>
          <w:sz w:val="24"/>
        </w:rPr>
        <w:t xml:space="preserve">, </w:t>
      </w:r>
      <w:r>
        <w:rPr>
          <w:sz w:val="24"/>
        </w:rPr>
        <w:t xml:space="preserve">расположенн</w:t>
      </w:r>
      <w:r>
        <w:rPr>
          <w:sz w:val="24"/>
        </w:rPr>
        <w:t xml:space="preserve">ой</w:t>
      </w:r>
      <w:r>
        <w:rPr>
          <w:sz w:val="24"/>
        </w:rPr>
        <w:t xml:space="preserve"> ж/д ст. Печенга;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1.6. Котельной № 5/106, расположенной в </w:t>
      </w:r>
      <w:r>
        <w:rPr>
          <w:sz w:val="24"/>
        </w:rPr>
        <w:t xml:space="preserve">н.п</w:t>
      </w:r>
      <w:r>
        <w:rPr>
          <w:sz w:val="24"/>
        </w:rPr>
        <w:t xml:space="preserve">. </w:t>
      </w:r>
      <w:r>
        <w:rPr>
          <w:sz w:val="24"/>
        </w:rPr>
        <w:t xml:space="preserve">Луостари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1.7. Котельной № 5/149, расположенной в </w:t>
      </w:r>
      <w:r>
        <w:rPr>
          <w:sz w:val="24"/>
        </w:rPr>
        <w:t xml:space="preserve">н.п</w:t>
      </w:r>
      <w:r>
        <w:rPr>
          <w:sz w:val="24"/>
        </w:rPr>
        <w:t xml:space="preserve">. </w:t>
      </w:r>
      <w:r>
        <w:rPr>
          <w:sz w:val="24"/>
        </w:rPr>
        <w:t xml:space="preserve">Луостари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1.8</w:t>
      </w:r>
      <w:r>
        <w:rPr>
          <w:sz w:val="24"/>
        </w:rPr>
        <w:t xml:space="preserve">. Котельной № 15/146</w:t>
      </w:r>
      <w:r>
        <w:rPr>
          <w:sz w:val="24"/>
        </w:rPr>
        <w:t xml:space="preserve">, </w:t>
      </w:r>
      <w:r>
        <w:rPr>
          <w:sz w:val="24"/>
        </w:rPr>
        <w:t xml:space="preserve">расположенн</w:t>
      </w:r>
      <w:r>
        <w:rPr>
          <w:sz w:val="24"/>
        </w:rPr>
        <w:t xml:space="preserve">ой</w:t>
      </w:r>
      <w:r>
        <w:rPr>
          <w:sz w:val="24"/>
        </w:rPr>
        <w:t xml:space="preserve"> в </w:t>
      </w:r>
      <w:r>
        <w:rPr>
          <w:sz w:val="24"/>
        </w:rPr>
        <w:t xml:space="preserve">н.п</w:t>
      </w:r>
      <w:r>
        <w:rPr>
          <w:sz w:val="24"/>
        </w:rPr>
        <w:t xml:space="preserve">. </w:t>
      </w:r>
      <w:r>
        <w:rPr>
          <w:sz w:val="24"/>
        </w:rPr>
        <w:t xml:space="preserve">Луостари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1.</w:t>
      </w:r>
      <w:r>
        <w:rPr>
          <w:sz w:val="24"/>
        </w:rPr>
        <w:t xml:space="preserve">9</w:t>
      </w:r>
      <w:r>
        <w:rPr>
          <w:sz w:val="24"/>
        </w:rPr>
        <w:t xml:space="preserve">. Котельной № 15/176</w:t>
      </w:r>
      <w:r>
        <w:rPr>
          <w:sz w:val="24"/>
        </w:rPr>
        <w:t xml:space="preserve">, </w:t>
      </w:r>
      <w:r>
        <w:rPr>
          <w:sz w:val="24"/>
        </w:rPr>
        <w:t xml:space="preserve">расположенн</w:t>
      </w:r>
      <w:r>
        <w:rPr>
          <w:sz w:val="24"/>
        </w:rPr>
        <w:t xml:space="preserve">ой в </w:t>
      </w:r>
      <w:r>
        <w:rPr>
          <w:sz w:val="24"/>
        </w:rPr>
        <w:t xml:space="preserve">н.п</w:t>
      </w:r>
      <w:r>
        <w:rPr>
          <w:sz w:val="24"/>
        </w:rPr>
        <w:t xml:space="preserve">. </w:t>
      </w:r>
      <w:r>
        <w:rPr>
          <w:sz w:val="24"/>
        </w:rPr>
        <w:t xml:space="preserve">Луостари</w:t>
      </w:r>
      <w:r>
        <w:rPr>
          <w:sz w:val="24"/>
        </w:rPr>
        <w:t xml:space="preserve">.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</w:rPr>
      </w:pPr>
      <w:r>
        <w:rPr>
          <w:sz w:val="24"/>
        </w:rPr>
        <w:t xml:space="preserve">2</w:t>
      </w:r>
      <w:r>
        <w:rPr>
          <w:sz w:val="24"/>
        </w:rPr>
        <w:t xml:space="preserve">.</w:t>
      </w:r>
      <w:r>
        <w:rPr>
          <w:sz w:val="24"/>
        </w:rPr>
        <w:t xml:space="preserve"> Настоящее постановление вступает в силу после его подписания</w:t>
      </w:r>
      <w:r>
        <w:rPr>
          <w:sz w:val="24"/>
        </w:rPr>
        <w:t xml:space="preserve">.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</w:rPr>
        <w:t xml:space="preserve">3</w:t>
      </w:r>
      <w:r>
        <w:rPr>
          <w:sz w:val="24"/>
        </w:rPr>
        <w:t xml:space="preserve">. </w:t>
      </w:r>
      <w:r>
        <w:rPr>
          <w:sz w:val="24"/>
          <w:szCs w:val="24"/>
        </w:rPr>
        <w:t xml:space="preserve">Настоящее постановление подлежит</w:t>
      </w:r>
      <w:r>
        <w:rPr>
          <w:sz w:val="24"/>
          <w:szCs w:val="24"/>
        </w:rPr>
        <w:t xml:space="preserve"> опубликованию в газете «Печенга»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размещению</w:t>
      </w:r>
      <w:r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Печенгского муниципального округа https://pechengamr.gov-murman.ru/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И.о. Главы Печенгского муниципального округа</w:t>
      </w:r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А.В. 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Князева Э.Г., 60623</w:t>
      </w: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nextPage"/>
      <w:pgSz w:w="11906" w:h="16838" w:orient="portrait"/>
      <w:pgMar w:top="1134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67">
    <w:name w:val="Heading 2 Char"/>
    <w:basedOn w:val="693"/>
    <w:link w:val="685"/>
    <w:uiPriority w:val="9"/>
    <w:rPr>
      <w:rFonts w:ascii="Arial" w:hAnsi="Arial" w:eastAsia="Arial" w:cs="Arial"/>
      <w:sz w:val="34"/>
    </w:rPr>
  </w:style>
  <w:style w:type="character" w:styleId="668">
    <w:name w:val="Heading 3 Char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693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70">
    <w:name w:val="Heading 5 Char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693"/>
    <w:link w:val="707"/>
    <w:uiPriority w:val="10"/>
    <w:rPr>
      <w:sz w:val="48"/>
      <w:szCs w:val="48"/>
    </w:rPr>
  </w:style>
  <w:style w:type="character" w:styleId="676">
    <w:name w:val="Subtitle Char"/>
    <w:basedOn w:val="693"/>
    <w:link w:val="709"/>
    <w:uiPriority w:val="11"/>
    <w:rPr>
      <w:sz w:val="24"/>
      <w:szCs w:val="24"/>
    </w:rPr>
  </w:style>
  <w:style w:type="character" w:styleId="677">
    <w:name w:val="Quote Char"/>
    <w:link w:val="711"/>
    <w:uiPriority w:val="29"/>
    <w:rPr>
      <w:i/>
    </w:rPr>
  </w:style>
  <w:style w:type="character" w:styleId="678">
    <w:name w:val="Intense Quote Char"/>
    <w:link w:val="713"/>
    <w:uiPriority w:val="30"/>
    <w:rPr>
      <w:i/>
    </w:rPr>
  </w:style>
  <w:style w:type="character" w:styleId="679">
    <w:name w:val="Header Char"/>
    <w:basedOn w:val="693"/>
    <w:link w:val="715"/>
    <w:uiPriority w:val="99"/>
  </w:style>
  <w:style w:type="character" w:styleId="680">
    <w:name w:val="Caption Char"/>
    <w:basedOn w:val="719"/>
    <w:link w:val="717"/>
    <w:uiPriority w:val="99"/>
  </w:style>
  <w:style w:type="character" w:styleId="681">
    <w:name w:val="Footnote Text Char"/>
    <w:link w:val="848"/>
    <w:uiPriority w:val="99"/>
    <w:rPr>
      <w:sz w:val="18"/>
    </w:rPr>
  </w:style>
  <w:style w:type="character" w:styleId="682">
    <w:name w:val="Endnote Text Char"/>
    <w:link w:val="851"/>
    <w:uiPriority w:val="99"/>
    <w:rPr>
      <w:sz w:val="20"/>
    </w:rPr>
  </w:style>
  <w:style w:type="paragraph" w:styleId="683" w:default="1">
    <w:name w:val="Normal"/>
    <w:qFormat/>
  </w:style>
  <w:style w:type="paragraph" w:styleId="684">
    <w:name w:val="Heading 1"/>
    <w:basedOn w:val="683"/>
    <w:next w:val="683"/>
    <w:link w:val="696"/>
    <w:qFormat/>
    <w:pPr>
      <w:jc w:val="center"/>
      <w:keepNext/>
      <w:outlineLvl w:val="0"/>
    </w:pPr>
    <w:rPr>
      <w:sz w:val="24"/>
    </w:rPr>
  </w:style>
  <w:style w:type="paragraph" w:styleId="685">
    <w:name w:val="Heading 2"/>
    <w:basedOn w:val="683"/>
    <w:next w:val="683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6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683"/>
    <w:next w:val="683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683"/>
    <w:next w:val="68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683"/>
    <w:next w:val="683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683"/>
    <w:next w:val="683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Заголовок 1 Знак"/>
    <w:link w:val="684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link w:val="685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link w:val="686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Заголовок 4 Знак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List Paragraph"/>
    <w:basedOn w:val="683"/>
    <w:uiPriority w:val="34"/>
    <w:qFormat/>
    <w:pPr>
      <w:contextualSpacing/>
      <w:ind w:left="720"/>
    </w:pPr>
  </w:style>
  <w:style w:type="paragraph" w:styleId="706">
    <w:name w:val="No Spacing"/>
    <w:uiPriority w:val="1"/>
    <w:qFormat/>
    <w:rPr>
      <w:lang w:eastAsia="zh-CN"/>
    </w:rPr>
  </w:style>
  <w:style w:type="paragraph" w:styleId="707">
    <w:name w:val="Title"/>
    <w:basedOn w:val="683"/>
    <w:next w:val="68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 w:customStyle="1">
    <w:name w:val="Название Знак"/>
    <w:link w:val="707"/>
    <w:uiPriority w:val="10"/>
    <w:rPr>
      <w:sz w:val="48"/>
      <w:szCs w:val="48"/>
    </w:rPr>
  </w:style>
  <w:style w:type="paragraph" w:styleId="709">
    <w:name w:val="Subtitle"/>
    <w:basedOn w:val="683"/>
    <w:next w:val="68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 w:customStyle="1">
    <w:name w:val="Подзаголовок Знак"/>
    <w:link w:val="709"/>
    <w:uiPriority w:val="11"/>
    <w:rPr>
      <w:sz w:val="24"/>
      <w:szCs w:val="24"/>
    </w:rPr>
  </w:style>
  <w:style w:type="paragraph" w:styleId="711">
    <w:name w:val="Quote"/>
    <w:basedOn w:val="683"/>
    <w:next w:val="683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3"/>
    <w:next w:val="683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3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link w:val="715"/>
    <w:uiPriority w:val="99"/>
  </w:style>
  <w:style w:type="paragraph" w:styleId="717">
    <w:name w:val="Footer"/>
    <w:basedOn w:val="683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Footer Char"/>
    <w:uiPriority w:val="99"/>
  </w:style>
  <w:style w:type="paragraph" w:styleId="719">
    <w:name w:val="Caption"/>
    <w:basedOn w:val="683"/>
    <w:next w:val="683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20" w:customStyle="1">
    <w:name w:val="Нижний колонтитул Знак"/>
    <w:link w:val="717"/>
    <w:uiPriority w:val="99"/>
  </w:style>
  <w:style w:type="table" w:styleId="721">
    <w:name w:val="Table Grid"/>
    <w:basedOn w:val="694"/>
    <w:tblPr/>
  </w:style>
  <w:style w:type="table" w:styleId="722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6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7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8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47">
    <w:name w:val="Hyperlink"/>
    <w:uiPriority w:val="99"/>
    <w:unhideWhenUsed/>
    <w:rPr>
      <w:color w:val="0000ff"/>
      <w:u w:val="single"/>
    </w:rPr>
  </w:style>
  <w:style w:type="paragraph" w:styleId="848">
    <w:name w:val="footnote text"/>
    <w:basedOn w:val="68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uiPriority w:val="99"/>
    <w:unhideWhenUsed/>
    <w:rPr>
      <w:vertAlign w:val="superscript"/>
    </w:rPr>
  </w:style>
  <w:style w:type="paragraph" w:styleId="851">
    <w:name w:val="endnote text"/>
    <w:basedOn w:val="68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uiPriority w:val="99"/>
    <w:semiHidden/>
    <w:unhideWhenUsed/>
    <w:rPr>
      <w:vertAlign w:val="superscript"/>
    </w:rPr>
  </w:style>
  <w:style w:type="paragraph" w:styleId="854">
    <w:name w:val="toc 1"/>
    <w:basedOn w:val="683"/>
    <w:next w:val="683"/>
    <w:uiPriority w:val="39"/>
    <w:unhideWhenUsed/>
    <w:pPr>
      <w:spacing w:after="57"/>
    </w:pPr>
  </w:style>
  <w:style w:type="paragraph" w:styleId="855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56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57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58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59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60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61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62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  <w:rPr>
      <w:lang w:eastAsia="zh-CN"/>
    </w:rPr>
  </w:style>
  <w:style w:type="paragraph" w:styleId="864">
    <w:name w:val="table of figures"/>
    <w:basedOn w:val="683"/>
    <w:next w:val="683"/>
    <w:uiPriority w:val="99"/>
    <w:unhideWhenUsed/>
  </w:style>
  <w:style w:type="character" w:styleId="865" w:customStyle="1">
    <w:name w:val="Основной шрифт абзаца;Знак Знак1 Знак Знак Знак Знак Знак Знак"/>
    <w:link w:val="871"/>
    <w:semiHidden/>
  </w:style>
  <w:style w:type="paragraph" w:styleId="866">
    <w:name w:val="Body Text"/>
    <w:basedOn w:val="683"/>
    <w:pPr>
      <w:jc w:val="both"/>
    </w:pPr>
    <w:rPr>
      <w:sz w:val="24"/>
      <w:szCs w:val="24"/>
    </w:rPr>
  </w:style>
  <w:style w:type="paragraph" w:styleId="867">
    <w:name w:val="Body Text Indent"/>
    <w:basedOn w:val="683"/>
    <w:pPr>
      <w:ind w:left="283"/>
      <w:spacing w:after="120"/>
    </w:pPr>
  </w:style>
  <w:style w:type="paragraph" w:styleId="868">
    <w:name w:val="Body Text 2"/>
    <w:basedOn w:val="68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69">
    <w:name w:val="Body Text Indent 2"/>
    <w:basedOn w:val="683"/>
    <w:pPr>
      <w:ind w:firstLine="709"/>
      <w:jc w:val="both"/>
    </w:pPr>
    <w:rPr>
      <w:bCs/>
      <w:sz w:val="26"/>
      <w:szCs w:val="26"/>
    </w:rPr>
  </w:style>
  <w:style w:type="paragraph" w:styleId="870">
    <w:name w:val="Body Text Indent 3"/>
    <w:basedOn w:val="68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71" w:customStyle="1">
    <w:name w:val="Знак Знак1 Знак Знак Знак Знак"/>
    <w:basedOn w:val="683"/>
    <w:link w:val="86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2">
    <w:name w:val="Body Text 3"/>
    <w:basedOn w:val="683"/>
    <w:link w:val="873"/>
    <w:pPr>
      <w:spacing w:after="120"/>
    </w:pPr>
    <w:rPr>
      <w:sz w:val="16"/>
      <w:szCs w:val="16"/>
    </w:rPr>
  </w:style>
  <w:style w:type="character" w:styleId="873" w:customStyle="1">
    <w:name w:val="Основной текст 3 Знак"/>
    <w:link w:val="872"/>
    <w:rPr>
      <w:sz w:val="16"/>
      <w:szCs w:val="16"/>
    </w:rPr>
  </w:style>
  <w:style w:type="paragraph" w:styleId="874">
    <w:name w:val="Balloon Text"/>
    <w:basedOn w:val="683"/>
    <w:link w:val="875"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14</cp:revision>
  <dcterms:created xsi:type="dcterms:W3CDTF">2024-11-19T11:44:00Z</dcterms:created>
  <dcterms:modified xsi:type="dcterms:W3CDTF">2024-12-16T08:26:51Z</dcterms:modified>
  <cp:version>917504</cp:version>
</cp:coreProperties>
</file>