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 09.12.2024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       </w:t>
      </w:r>
      <w:r>
        <w:rPr>
          <w:b/>
          <w:color w:val="000000"/>
          <w:sz w:val="24"/>
        </w:rPr>
        <w:t xml:space="preserve">          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1977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О внесении изменений в муниципальную программу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«Молодежная политика»</w:t>
      </w:r>
      <w:r>
        <w:rPr>
          <w:b/>
          <w:szCs w:val="24"/>
        </w:rPr>
        <w:t xml:space="preserve"> на 2024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– 2026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годы</w:t>
      </w:r>
      <w:r>
        <w:rPr>
          <w:b/>
          <w:szCs w:val="24"/>
        </w:rPr>
        <w:t xml:space="preserve">, </w:t>
      </w:r>
      <w:r>
        <w:rPr>
          <w:b/>
          <w:szCs w:val="24"/>
        </w:rPr>
        <w:t xml:space="preserve">утвержденную</w:t>
      </w:r>
      <w:r>
        <w:rPr>
          <w:b/>
          <w:szCs w:val="24"/>
        </w:rPr>
        <w:t xml:space="preserve"> постановлением </w:t>
      </w:r>
      <w:r>
        <w:rPr>
          <w:b/>
          <w:szCs w:val="24"/>
        </w:rPr>
        <w:br/>
      </w:r>
      <w:r>
        <w:rPr>
          <w:b/>
          <w:szCs w:val="24"/>
        </w:rPr>
        <w:t xml:space="preserve">администрации Печенгского мун</w:t>
      </w:r>
      <w:r>
        <w:rPr>
          <w:b/>
          <w:szCs w:val="24"/>
        </w:rPr>
        <w:t xml:space="preserve">иципального округа от 03.11.2023</w:t>
      </w:r>
      <w:r>
        <w:rPr>
          <w:b/>
          <w:szCs w:val="24"/>
        </w:rPr>
        <w:t xml:space="preserve"> №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1</w:t>
      </w:r>
      <w:r>
        <w:rPr>
          <w:b/>
          <w:szCs w:val="24"/>
        </w:rPr>
        <w:t xml:space="preserve">627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ПОСТАНОВЛЯЮ:</w:t>
      </w:r>
      <w:r>
        <w:rPr>
          <w:rFonts w:eastAsia="Calibri"/>
          <w:b/>
          <w:bCs/>
          <w:sz w:val="24"/>
          <w:szCs w:val="24"/>
        </w:rPr>
      </w:r>
      <w:r>
        <w:rPr>
          <w:rFonts w:eastAsia="Calibri"/>
          <w:b/>
          <w:bCs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 </w:t>
      </w:r>
      <w:r>
        <w:rPr>
          <w:rFonts w:eastAsia="Calibri"/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</w:t>
      </w:r>
      <w:r>
        <w:rPr>
          <w:sz w:val="24"/>
          <w:szCs w:val="24"/>
        </w:rPr>
        <w:t xml:space="preserve">га «Молодежная политика» на 2024–2026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</w:t>
      </w:r>
      <w:r>
        <w:rPr>
          <w:sz w:val="24"/>
          <w:szCs w:val="24"/>
        </w:rPr>
        <w:t xml:space="preserve">иципального округа от 03.11.2023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627</w:t>
      </w:r>
      <w:r>
        <w:rPr>
          <w:sz w:val="24"/>
          <w:szCs w:val="24"/>
        </w:rPr>
        <w:t xml:space="preserve"> (в редакции постановления администрации Печенгс</w:t>
      </w:r>
      <w:r>
        <w:rPr>
          <w:sz w:val="24"/>
          <w:szCs w:val="24"/>
        </w:rPr>
        <w:t xml:space="preserve">кого муниципального округа от </w:t>
      </w:r>
      <w:r>
        <w:rPr>
          <w:sz w:val="24"/>
          <w:szCs w:val="24"/>
        </w:rPr>
        <w:t xml:space="preserve">26.08.2024 </w:t>
      </w:r>
      <w:r>
        <w:rPr>
          <w:sz w:val="24"/>
          <w:szCs w:val="24"/>
        </w:rPr>
        <w:br/>
        <w:t xml:space="preserve">№ 1318) </w:t>
      </w:r>
      <w:r>
        <w:rPr>
          <w:sz w:val="24"/>
          <w:szCs w:val="24"/>
        </w:rPr>
        <w:t xml:space="preserve">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</w:t>
      </w:r>
      <w:r>
        <w:rPr>
          <w:sz w:val="24"/>
          <w:szCs w:val="24"/>
        </w:rPr>
        <w:t xml:space="preserve">Показатели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19"/>
        <w:tblW w:w="0" w:type="auto"/>
        <w:tblInd w:w="108" w:type="dxa"/>
        <w:tblLook w:val="04A0" w:firstRow="1" w:lastRow="0" w:firstColumn="1" w:lastColumn="0" w:noHBand="0" w:noVBand="1"/>
      </w:tblPr>
      <w:tblGrid>
        <w:gridCol w:w="1931"/>
        <w:gridCol w:w="7425"/>
      </w:tblGrid>
      <w:tr>
        <w:tblPrEx/>
        <w:trPr/>
        <w:tc>
          <w:tcPr>
            <w:tcW w:w="193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Показатели программы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42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Выполнение муниципального задания МБУ «</w:t>
            </w:r>
            <w:r>
              <w:rPr>
                <w:sz w:val="24"/>
                <w:szCs w:val="24"/>
              </w:rPr>
              <w:t xml:space="preserve">ЦПиРМИ</w:t>
            </w:r>
            <w:r>
              <w:rPr>
                <w:sz w:val="24"/>
                <w:szCs w:val="24"/>
              </w:rPr>
              <w:t xml:space="preserve">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посетителей молодежного учреждения в возрасте от 14 до 35 лет.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Обеспечение развития </w:t>
            </w:r>
            <w:r>
              <w:rPr>
                <w:sz w:val="24"/>
                <w:szCs w:val="24"/>
              </w:rPr>
              <w:t xml:space="preserve">и укрепления </w:t>
            </w:r>
            <w:r>
              <w:rPr>
                <w:sz w:val="24"/>
                <w:szCs w:val="24"/>
              </w:rPr>
              <w:t xml:space="preserve">материально-технической базы учреждений молодежной политики.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. Количество конкурсов, фестивалей, конфере</w:t>
            </w: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ций</w:t>
            </w:r>
            <w:r>
              <w:rPr>
                <w:sz w:val="24"/>
                <w:szCs w:val="24"/>
              </w:rPr>
              <w:t xml:space="preserve">, семинаров для молодежи различной направленности.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. Численность молодых людей, участвующих в различных творческих мероприятиях и проектах.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. Численность молодых людей, награжденных за достижение </w:t>
            </w:r>
            <w:r>
              <w:rPr>
                <w:sz w:val="24"/>
                <w:szCs w:val="24"/>
              </w:rPr>
              <w:t xml:space="preserve">и успехи, в области спорта, общественн</w:t>
            </w:r>
            <w:r>
              <w:rPr>
                <w:sz w:val="24"/>
                <w:szCs w:val="24"/>
              </w:rPr>
              <w:t xml:space="preserve">о-</w:t>
            </w:r>
            <w:r>
              <w:rPr>
                <w:sz w:val="24"/>
                <w:szCs w:val="24"/>
              </w:rPr>
              <w:t xml:space="preserve"> полезной деятельности, культуры и искусства, учебно- исследовательской деятельности.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. Количество проведенных творческих мероприятий для молодых семей.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  <w:t xml:space="preserve">. Количество проведенных семинаров (тренингов, ролевых игр) для школьников и студентов по воспитанию толерантности и профилактике экстремизма.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  <w:t xml:space="preserve">. Количество проведенных патриотических слетов, фестивалей для молодежи Печенгского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  <w:t xml:space="preserve">.Численность участников Всероссийских, областны</w:t>
            </w:r>
            <w:r>
              <w:rPr>
                <w:sz w:val="24"/>
                <w:szCs w:val="24"/>
              </w:rPr>
              <w:t xml:space="preserve">х</w:t>
            </w:r>
            <w:r>
              <w:rPr>
                <w:sz w:val="24"/>
                <w:szCs w:val="24"/>
              </w:rPr>
              <w:t xml:space="preserve"> и региональных слетов, фестивалей и походов по местам боевой Славы.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</w:t>
            </w:r>
            <w:r>
              <w:rPr>
                <w:sz w:val="24"/>
                <w:szCs w:val="24"/>
              </w:rPr>
              <w:t xml:space="preserve">. Количество восстановленных памятников Великой Отечеств</w:t>
            </w:r>
            <w:r>
              <w:rPr>
                <w:sz w:val="24"/>
                <w:szCs w:val="24"/>
              </w:rPr>
              <w:t xml:space="preserve">енной</w:t>
            </w:r>
            <w:r>
              <w:rPr>
                <w:sz w:val="24"/>
                <w:szCs w:val="24"/>
              </w:rPr>
              <w:t xml:space="preserve"> войны.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</w:t>
            </w:r>
            <w:r>
              <w:rPr>
                <w:sz w:val="24"/>
                <w:szCs w:val="24"/>
              </w:rPr>
              <w:t xml:space="preserve">. Количество благоустроенных памятников истории.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</w:t>
            </w:r>
            <w:r>
              <w:rPr>
                <w:sz w:val="24"/>
                <w:szCs w:val="24"/>
              </w:rPr>
              <w:t xml:space="preserve">. Численность молодежи, охваченной кампаниями по профилактике потребления наркотических средств, </w:t>
            </w:r>
            <w:r>
              <w:rPr>
                <w:sz w:val="24"/>
                <w:szCs w:val="24"/>
              </w:rPr>
              <w:t xml:space="preserve">психоактивных</w:t>
            </w:r>
            <w:r>
              <w:rPr>
                <w:sz w:val="24"/>
                <w:szCs w:val="24"/>
              </w:rPr>
              <w:t xml:space="preserve"> веществ и алкоголя.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</w:t>
            </w:r>
            <w:r>
              <w:rPr>
                <w:sz w:val="24"/>
                <w:szCs w:val="24"/>
              </w:rPr>
              <w:t xml:space="preserve">. Количество общественных объединений, вовлеченных в проведение профилактических мероприятий.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</w:t>
            </w:r>
            <w:r>
              <w:rPr>
                <w:sz w:val="24"/>
                <w:szCs w:val="24"/>
              </w:rPr>
              <w:t xml:space="preserve">. Количество помещений молодежного пространства, в отношении которых выполнен ремонт и улучшена материально- техническая база.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</w:t>
            </w:r>
            <w:r>
              <w:rPr>
                <w:sz w:val="24"/>
                <w:szCs w:val="24"/>
              </w:rPr>
              <w:t xml:space="preserve">. Количество помещений отделений Общероссийского общественн</w:t>
            </w:r>
            <w:r>
              <w:rPr>
                <w:sz w:val="24"/>
                <w:szCs w:val="24"/>
              </w:rPr>
              <w:t xml:space="preserve">о-</w:t>
            </w:r>
            <w:r>
              <w:rPr>
                <w:sz w:val="24"/>
                <w:szCs w:val="24"/>
              </w:rPr>
              <w:t xml:space="preserve"> государственного движения детей и молодежи «Движение Первых», в отношении которых выполнен ремонт и улучшена материально- техническая база.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</w:t>
            </w:r>
            <w:r>
              <w:rPr>
                <w:sz w:val="24"/>
                <w:szCs w:val="24"/>
              </w:rPr>
              <w:t xml:space="preserve">. Количество материально оснащенных Комнат/Домов Всероссийского военно-патриотического движения «ЮНАРМИЯ»</w:t>
            </w:r>
            <w:r>
              <w:rPr>
                <w:sz w:val="24"/>
                <w:szCs w:val="24"/>
              </w:rPr>
              <w:t xml:space="preserve">.»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923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8"/>
        <w:gridCol w:w="7162"/>
      </w:tblGrid>
      <w:tr>
        <w:tblPrEx/>
        <w:trPr>
          <w:trHeight w:val="542"/>
        </w:trPr>
        <w:tc>
          <w:tcPr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6" w:type="pct"/>
            <w:textDirection w:val="lrTb"/>
            <w:noWrap w:val="false"/>
          </w:tcPr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62 380,4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12917,7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12917,7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058,7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17531,4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15827,7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14699,6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1404,0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1404,0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3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 xml:space="preserve">- </w:t>
      </w:r>
      <w:r>
        <w:rPr>
          <w:rFonts w:eastAsia="Calibri"/>
          <w:sz w:val="24"/>
          <w:szCs w:val="24"/>
        </w:rPr>
        <w:t xml:space="preserve">строки 2.3, 2,7, и 2.13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таблицы «Основные показатели эффективности реализации программы»</w:t>
      </w:r>
      <w:r>
        <w:rPr>
          <w:rFonts w:eastAsia="Calibri"/>
          <w:sz w:val="24"/>
          <w:szCs w:val="24"/>
        </w:rPr>
        <w:t xml:space="preserve"> раздела 2 «Основные </w:t>
      </w:r>
      <w:r>
        <w:rPr>
          <w:rFonts w:eastAsia="Calibri"/>
          <w:sz w:val="24"/>
          <w:szCs w:val="24"/>
        </w:rPr>
        <w:t xml:space="preserve">цели и задачи программы с указанием сроков и этапов ее реализации, а также перечень основных мероприятий и показателей</w:t>
      </w:r>
      <w:r>
        <w:rPr>
          <w:rFonts w:eastAsia="Calibri"/>
          <w:sz w:val="24"/>
          <w:szCs w:val="24"/>
        </w:rPr>
        <w:t xml:space="preserve">» изложить в следующей редакции: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Style w:val="938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57"/>
        <w:gridCol w:w="2504"/>
        <w:gridCol w:w="708"/>
        <w:gridCol w:w="709"/>
        <w:gridCol w:w="851"/>
        <w:gridCol w:w="850"/>
        <w:gridCol w:w="851"/>
        <w:gridCol w:w="850"/>
        <w:gridCol w:w="1418"/>
      </w:tblGrid>
      <w:tr>
        <w:tblPrEx/>
        <w:trPr/>
        <w:tc>
          <w:tcPr>
            <w:tcW w:w="757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cs="Times New Roman"/>
                <w:color w:val="000000"/>
                <w:lang w:val="en-US"/>
              </w:rPr>
            </w:pPr>
            <w:r>
              <w:rPr>
                <w:color w:val="000000"/>
              </w:rPr>
              <w:t xml:space="preserve">«2.3.</w:t>
            </w:r>
            <w:r>
              <w:rPr>
                <w:rFonts w:cs="Times New Roman"/>
                <w:color w:val="000000"/>
                <w:lang w:val="en-US"/>
              </w:rPr>
            </w:r>
            <w:r>
              <w:rPr>
                <w:rFonts w:cs="Times New Roman"/>
                <w:color w:val="000000"/>
                <w:lang w:val="en-US"/>
              </w:rPr>
            </w:r>
          </w:p>
        </w:tc>
        <w:tc>
          <w:tcPr>
            <w:tcW w:w="2504" w:type="dxa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Обеспечение развития и укрепления материально-</w:t>
            </w:r>
            <w:r>
              <w:rPr>
                <w:rFonts w:eastAsia="Calibri"/>
                <w:lang w:eastAsia="en-US"/>
              </w:rPr>
              <w:t xml:space="preserve">технической базы учреждений молодежной политики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%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-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-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right="22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Отчет исполнителей 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программы</w:t>
            </w:r>
            <w:r>
              <w:rPr>
                <w:rFonts w:eastAsia="Calibri"/>
                <w:sz w:val="18"/>
                <w:szCs w:val="18"/>
                <w:lang w:eastAsia="en-US"/>
              </w:rPr>
            </w:r>
            <w:r>
              <w:rPr>
                <w:rFonts w:eastAsia="Calibri"/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W w:w="757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 xml:space="preserve">2.7.</w:t>
            </w:r>
            <w:r>
              <w:rPr>
                <w:rFonts w:cs="Times New Roman"/>
                <w:color w:val="000000"/>
              </w:rPr>
            </w:r>
            <w:r>
              <w:rPr>
                <w:rFonts w:cs="Times New Roman"/>
                <w:color w:val="000000"/>
              </w:rPr>
            </w:r>
          </w:p>
        </w:tc>
        <w:tc>
          <w:tcPr>
            <w:tcW w:w="2504" w:type="dxa"/>
            <w:textDirection w:val="lrTb"/>
            <w:noWrap w:val="false"/>
          </w:tcPr>
          <w:p>
            <w:r>
              <w:t xml:space="preserve"> Количество проведенных творчески</w:t>
            </w:r>
            <w:r>
              <w:t xml:space="preserve">х мероприятий для молодых семей</w:t>
            </w:r>
            <w:r/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3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Не менее 3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right="22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eastAsia="Calibri"/>
                <w:sz w:val="18"/>
                <w:szCs w:val="18"/>
                <w:lang w:eastAsia="en-US"/>
              </w:rPr>
            </w:r>
            <w:r>
              <w:rPr>
                <w:rFonts w:eastAsia="Calibri"/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W w:w="757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 xml:space="preserve">2.13.</w:t>
            </w:r>
            <w:r>
              <w:rPr>
                <w:rFonts w:cs="Times New Roman"/>
                <w:color w:val="000000"/>
              </w:rPr>
            </w:r>
            <w:r>
              <w:rPr>
                <w:rFonts w:cs="Times New Roman"/>
                <w:color w:val="000000"/>
              </w:rPr>
            </w:r>
          </w:p>
        </w:tc>
        <w:tc>
          <w:tcPr>
            <w:tcW w:w="2504" w:type="dxa"/>
            <w:textDirection w:val="lrTb"/>
            <w:noWrap w:val="false"/>
          </w:tcPr>
          <w:p>
            <w:pPr>
              <w:ind w:right="29"/>
              <w:jc w:val="both"/>
              <w:rPr>
                <w:rFonts w:cs="Times New Roman"/>
              </w:rPr>
            </w:pPr>
            <w:r>
              <w:t xml:space="preserve">Численность молодежи, охваченной кампаниями по профилактике потребления наркотических средств, </w:t>
            </w:r>
            <w:r>
              <w:t xml:space="preserve">психоактивных</w:t>
            </w:r>
            <w:r>
              <w:t xml:space="preserve"> веществ и алкоголя</w: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ind w:right="29"/>
              <w:jc w:val="center"/>
              <w:rPr>
                <w:rFonts w:cs="Times New Roman"/>
              </w:rPr>
            </w:pPr>
            <w:r>
              <w:t xml:space="preserve">Чел.</w: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cs="Times New Roman"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184</w:t>
            </w:r>
            <w:r>
              <w:rPr>
                <w:rFonts w:cs="Times New Roman"/>
                <w:color w:val="000000"/>
                <w:lang w:val="en-US"/>
              </w:rPr>
            </w:r>
            <w:r>
              <w:rPr>
                <w:rFonts w:cs="Times New Roman"/>
                <w:color w:val="000000"/>
                <w:lang w:val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 xml:space="preserve">Не менее </w:t>
            </w:r>
            <w:r>
              <w:rPr>
                <w:color w:val="000000"/>
              </w:rPr>
              <w:t xml:space="preserve">190</w:t>
            </w:r>
            <w:r>
              <w:rPr>
                <w:rFonts w:cs="Times New Roman"/>
                <w:color w:val="000000"/>
              </w:rPr>
            </w:r>
            <w:r>
              <w:rPr>
                <w:rFonts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 xml:space="preserve">Не менее 1700</w:t>
            </w:r>
            <w:r>
              <w:rPr>
                <w:rFonts w:cs="Times New Roman"/>
                <w:color w:val="000000"/>
              </w:rPr>
            </w:r>
            <w:r>
              <w:rPr>
                <w:rFonts w:cs="Times New Roman"/>
                <w:color w:val="00000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 xml:space="preserve">Не менее 17</w:t>
            </w:r>
            <w:r>
              <w:rPr>
                <w:color w:val="000000"/>
              </w:rPr>
              <w:t xml:space="preserve">0</w:t>
            </w:r>
            <w:r>
              <w:rPr>
                <w:color w:val="000000"/>
              </w:rPr>
              <w:t xml:space="preserve">0</w:t>
            </w:r>
            <w:r>
              <w:rPr>
                <w:rFonts w:cs="Times New Roman"/>
                <w:color w:val="000000"/>
              </w:rPr>
            </w:r>
            <w:r>
              <w:rPr>
                <w:rFonts w:cs="Times New Roman"/>
                <w:color w:val="00000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 xml:space="preserve">Не менее 17</w:t>
            </w:r>
            <w:r>
              <w:rPr>
                <w:color w:val="000000"/>
              </w:rPr>
              <w:t xml:space="preserve">0</w:t>
            </w:r>
            <w:r>
              <w:rPr>
                <w:color w:val="000000"/>
              </w:rPr>
              <w:t xml:space="preserve">0</w:t>
            </w:r>
            <w:r>
              <w:rPr>
                <w:rFonts w:cs="Times New Roman"/>
                <w:color w:val="000000"/>
              </w:rPr>
            </w:r>
            <w:r>
              <w:rPr>
                <w:rFonts w:cs="Times New Roman"/>
                <w:color w:val="000000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right="22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Отчет исполнителей программы»;</w:t>
            </w:r>
            <w:r>
              <w:rPr>
                <w:rFonts w:eastAsia="Calibri"/>
                <w:sz w:val="18"/>
                <w:szCs w:val="18"/>
                <w:lang w:eastAsia="en-US"/>
              </w:rPr>
            </w:r>
            <w:r>
              <w:rPr>
                <w:rFonts w:eastAsia="Calibri"/>
                <w:sz w:val="18"/>
                <w:szCs w:val="18"/>
                <w:lang w:eastAsia="en-US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1 «Перечень мероприятий программы с объёмом финансирования»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рограмме изложить в редакции согласно приложению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sz w:val="24"/>
          <w:szCs w:val="22"/>
        </w:rPr>
      </w:pPr>
      <w:r/>
      <w:bookmarkStart w:id="0" w:name="_GoBack"/>
      <w:r/>
      <w:bookmarkEnd w:id="0"/>
      <w:r>
        <w:rPr>
          <w:sz w:val="24"/>
          <w:szCs w:val="22"/>
        </w:rPr>
        <w:t xml:space="preserve">- </w:t>
      </w:r>
      <w:r>
        <w:rPr>
          <w:sz w:val="24"/>
          <w:szCs w:val="22"/>
        </w:rPr>
        <w:t xml:space="preserve">строки</w:t>
      </w:r>
      <w:r>
        <w:rPr>
          <w:sz w:val="24"/>
          <w:szCs w:val="22"/>
        </w:rPr>
        <w:t xml:space="preserve"> 1.2, 1.5 и 3.1 </w:t>
      </w:r>
      <w:r>
        <w:rPr>
          <w:sz w:val="24"/>
          <w:szCs w:val="22"/>
        </w:rPr>
        <w:t xml:space="preserve">п</w:t>
      </w:r>
      <w:r>
        <w:rPr>
          <w:sz w:val="24"/>
          <w:szCs w:val="22"/>
        </w:rPr>
        <w:t xml:space="preserve">риложения 2 </w:t>
      </w:r>
      <w:r>
        <w:rPr>
          <w:sz w:val="24"/>
          <w:szCs w:val="22"/>
        </w:rPr>
        <w:t xml:space="preserve">«Перечень мероприятий </w:t>
      </w:r>
      <w:r>
        <w:rPr>
          <w:sz w:val="24"/>
          <w:szCs w:val="22"/>
        </w:rPr>
        <w:t xml:space="preserve">программы </w:t>
      </w:r>
      <w:r>
        <w:rPr>
          <w:sz w:val="24"/>
          <w:szCs w:val="22"/>
        </w:rPr>
        <w:t xml:space="preserve">с показателями результа</w:t>
      </w:r>
      <w:r>
        <w:rPr>
          <w:sz w:val="24"/>
          <w:szCs w:val="22"/>
        </w:rPr>
        <w:t xml:space="preserve">тивности выполнения мероприятий» к Программе изложить в следующей редакции:</w:t>
      </w:r>
      <w:r>
        <w:rPr>
          <w:sz w:val="24"/>
          <w:szCs w:val="22"/>
        </w:rPr>
      </w:r>
      <w:r>
        <w:rPr>
          <w:sz w:val="24"/>
          <w:szCs w:val="22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709"/>
        <w:gridCol w:w="1984"/>
        <w:gridCol w:w="567"/>
        <w:gridCol w:w="851"/>
        <w:gridCol w:w="850"/>
        <w:gridCol w:w="851"/>
        <w:gridCol w:w="1134"/>
      </w:tblGrid>
      <w:tr>
        <w:tblPrEx/>
        <w:trPr>
          <w:trHeight w:val="73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«1.2.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</w:pPr>
            <w:r>
              <w:t xml:space="preserve">Модернизация и укрепление материально-технической базы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</w:pPr>
            <w:r>
              <w:t xml:space="preserve">Обеспечение развития и укрепления материально-технической базы учреждений молодежной политики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%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МБУ «</w:t>
            </w:r>
            <w:r>
              <w:rPr>
                <w:sz w:val="17"/>
                <w:szCs w:val="17"/>
              </w:rPr>
              <w:t xml:space="preserve">ЦПиРМИ</w:t>
            </w:r>
            <w:r>
              <w:rPr>
                <w:sz w:val="17"/>
                <w:szCs w:val="17"/>
              </w:rPr>
              <w:t xml:space="preserve">»</w:t>
            </w:r>
            <w:r>
              <w:rPr>
                <w:sz w:val="17"/>
                <w:szCs w:val="17"/>
              </w:rPr>
            </w:r>
            <w:r>
              <w:rPr>
                <w:sz w:val="17"/>
                <w:szCs w:val="17"/>
              </w:rPr>
            </w:r>
          </w:p>
        </w:tc>
      </w:tr>
      <w:tr>
        <w:tblPrEx/>
        <w:trPr>
          <w:trHeight w:val="73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1.5.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</w:pPr>
            <w:r>
              <w:t xml:space="preserve">Пропаганда семейных ценностей в молодежной среде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</w:pPr>
            <w:r>
              <w:t xml:space="preserve"> Количество проведенных творчески</w:t>
            </w:r>
            <w:r>
              <w:t xml:space="preserve">х мероприятий для молодых семей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Отдел </w:t>
            </w:r>
            <w:r>
              <w:rPr>
                <w:sz w:val="17"/>
                <w:szCs w:val="17"/>
              </w:rPr>
              <w:t xml:space="preserve">КСиМП</w:t>
            </w:r>
            <w:r>
              <w:rPr>
                <w:sz w:val="17"/>
                <w:szCs w:val="17"/>
              </w:rPr>
              <w:t xml:space="preserve">; МБУ «</w:t>
            </w:r>
            <w:r>
              <w:rPr>
                <w:sz w:val="17"/>
                <w:szCs w:val="17"/>
              </w:rPr>
              <w:t xml:space="preserve">ЦПиРМИ</w:t>
            </w:r>
            <w:r>
              <w:rPr>
                <w:sz w:val="17"/>
                <w:szCs w:val="17"/>
              </w:rPr>
              <w:t xml:space="preserve">»</w:t>
            </w:r>
            <w:r>
              <w:rPr>
                <w:sz w:val="17"/>
                <w:szCs w:val="17"/>
              </w:rPr>
            </w:r>
            <w:r>
              <w:rPr>
                <w:sz w:val="17"/>
                <w:szCs w:val="17"/>
              </w:rPr>
            </w:r>
          </w:p>
        </w:tc>
      </w:tr>
      <w:tr>
        <w:tblPrEx/>
        <w:trPr>
          <w:trHeight w:val="73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3.1.</w:t>
            </w:r>
            <w:r/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Проведение работы по профилактике злоупотреблений и правонарушений в молодежной среде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</w:pPr>
            <w:r>
              <w:t xml:space="preserve">Численность молодежи, охваченной кампаниями по профилактике потребления наркотических средств, </w:t>
            </w:r>
            <w:r>
              <w:t xml:space="preserve">психоактивных</w:t>
            </w:r>
            <w:r>
              <w:t xml:space="preserve"> веществ и алкоголя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Чел.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1700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1700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1700</w:t>
            </w:r>
            <w:r/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Отдел </w:t>
            </w:r>
            <w:r>
              <w:rPr>
                <w:sz w:val="17"/>
                <w:szCs w:val="17"/>
              </w:rPr>
              <w:t xml:space="preserve">КСиМП</w:t>
            </w:r>
            <w:r>
              <w:rPr>
                <w:sz w:val="17"/>
                <w:szCs w:val="17"/>
              </w:rPr>
              <w:t xml:space="preserve">; МБУ «</w:t>
            </w:r>
            <w:r>
              <w:rPr>
                <w:sz w:val="17"/>
                <w:szCs w:val="17"/>
              </w:rPr>
              <w:t xml:space="preserve">ЦПиРМИ</w:t>
            </w:r>
            <w:r>
              <w:rPr>
                <w:sz w:val="17"/>
                <w:szCs w:val="17"/>
              </w:rPr>
              <w:t xml:space="preserve">»</w:t>
            </w:r>
            <w:r>
              <w:rPr>
                <w:sz w:val="17"/>
                <w:szCs w:val="17"/>
              </w:rPr>
              <w:t xml:space="preserve">».</w:t>
            </w:r>
            <w:r>
              <w:rPr>
                <w:sz w:val="17"/>
                <w:szCs w:val="17"/>
              </w:rPr>
            </w:r>
            <w:r>
              <w:rPr>
                <w:sz w:val="17"/>
                <w:szCs w:val="17"/>
              </w:rPr>
            </w:r>
          </w:p>
        </w:tc>
      </w:tr>
      <w:tr>
        <w:tblPrEx/>
        <w:trPr>
          <w:trHeight w:val="73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общественных объединений, вовлеченных в проведение профилактических мероприятий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</w:t>
            </w:r>
            <w:r/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widowControl/>
        <w:tabs>
          <w:tab w:val="left" w:pos="993" w:leader="none"/>
        </w:tabs>
        <w:rPr>
          <w:sz w:val="24"/>
          <w:szCs w:val="22"/>
        </w:rPr>
      </w:pPr>
      <w:r>
        <w:rPr>
          <w:sz w:val="24"/>
          <w:szCs w:val="22"/>
        </w:rPr>
      </w:r>
      <w:r>
        <w:rPr>
          <w:sz w:val="24"/>
          <w:szCs w:val="22"/>
        </w:rPr>
      </w:r>
      <w:r>
        <w:rPr>
          <w:sz w:val="24"/>
          <w:szCs w:val="22"/>
        </w:rPr>
      </w:r>
    </w:p>
    <w:p>
      <w:pPr>
        <w:jc w:val="both"/>
        <w:widowControl/>
        <w:tabs>
          <w:tab w:val="left" w:pos="0" w:leader="none"/>
        </w:tabs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</w: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вступает в силу </w:t>
      </w:r>
      <w:r>
        <w:rPr>
          <w:sz w:val="24"/>
          <w:szCs w:val="24"/>
          <w:lang w:eastAsia="en-US"/>
        </w:rPr>
        <w:t xml:space="preserve">после его подписания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опубликова</w:t>
      </w:r>
      <w:r>
        <w:rPr>
          <w:sz w:val="24"/>
          <w:szCs w:val="24"/>
          <w:lang w:eastAsia="en-US"/>
        </w:rPr>
        <w:t xml:space="preserve">ть</w:t>
      </w:r>
      <w:r>
        <w:rPr>
          <w:sz w:val="24"/>
          <w:szCs w:val="24"/>
          <w:lang w:eastAsia="en-US"/>
        </w:rPr>
        <w:t xml:space="preserve"> в </w:t>
      </w:r>
      <w:r>
        <w:rPr>
          <w:sz w:val="24"/>
          <w:szCs w:val="24"/>
          <w:lang w:eastAsia="en-US"/>
        </w:rPr>
        <w:t xml:space="preserve">официальном издании </w:t>
      </w:r>
      <w:r>
        <w:rPr>
          <w:sz w:val="24"/>
          <w:szCs w:val="24"/>
          <w:lang w:eastAsia="en-US"/>
        </w:rPr>
        <w:t xml:space="preserve">газет</w:t>
      </w:r>
      <w:r>
        <w:rPr>
          <w:sz w:val="24"/>
          <w:szCs w:val="24"/>
          <w:lang w:eastAsia="en-US"/>
        </w:rPr>
        <w:t xml:space="preserve">а</w:t>
      </w:r>
      <w:r>
        <w:rPr>
          <w:sz w:val="24"/>
          <w:szCs w:val="24"/>
          <w:lang w:eastAsia="en-US"/>
        </w:rPr>
        <w:t xml:space="preserve"> «Печенга» и разме</w:t>
      </w:r>
      <w:r>
        <w:rPr>
          <w:sz w:val="24"/>
          <w:szCs w:val="24"/>
          <w:lang w:eastAsia="en-US"/>
        </w:rPr>
        <w:t xml:space="preserve">стить на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сайте Печенгского муниципального округа в сети Интернет.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rPr>
          <w:rFonts w:eastAsia="Calibri"/>
          <w:sz w:val="24"/>
          <w:szCs w:val="24"/>
          <w:highlight w:val="yellow"/>
        </w:rPr>
      </w:pP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sz w:val="18"/>
          <w:szCs w:val="18"/>
        </w:rPr>
      </w:pPr>
      <w:r>
        <w:t xml:space="preserve">Бо</w:t>
      </w:r>
      <w:r>
        <w:t xml:space="preserve">льшакова О.В.  5-27-25</w:t>
      </w:r>
      <w:bookmarkStart w:id="1" w:name="Par557"/>
      <w:r/>
      <w:bookmarkEnd w:id="1"/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09.12.2024 № 1977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1 к программе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ероприятий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с объёмом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4986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5"/>
        <w:gridCol w:w="8"/>
        <w:gridCol w:w="5120"/>
        <w:gridCol w:w="12"/>
        <w:gridCol w:w="1337"/>
        <w:gridCol w:w="1063"/>
        <w:gridCol w:w="1200"/>
        <w:gridCol w:w="1203"/>
        <w:gridCol w:w="1200"/>
        <w:gridCol w:w="1331"/>
        <w:gridCol w:w="18"/>
        <w:gridCol w:w="1682"/>
      </w:tblGrid>
      <w:tr>
        <w:tblPrEx/>
        <w:trPr>
          <w:trHeight w:val="780"/>
        </w:trPr>
        <w:tc>
          <w:tcPr>
            <w:gridSpan w:val="3"/>
            <w:shd w:val="clear" w:color="auto" w:fill="auto"/>
            <w:tcW w:w="2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№ </w:t>
            </w:r>
            <w:r>
              <w:rPr>
                <w:bCs/>
                <w:sz w:val="23"/>
                <w:szCs w:val="23"/>
              </w:rPr>
              <w:t xml:space="preserve">п</w:t>
            </w:r>
            <w:r>
              <w:rPr>
                <w:bCs/>
                <w:sz w:val="23"/>
                <w:szCs w:val="23"/>
              </w:rPr>
              <w:t xml:space="preserve">/п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7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Цели, мероприятия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5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Источники финансирования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5"/>
            <w:shd w:val="clear" w:color="auto" w:fill="auto"/>
            <w:tcW w:w="166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тысяч рублей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885" w:leader="none"/>
              </w:tabs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Исполнители, соисполнители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gridSpan w:val="3"/>
            <w:shd w:val="clear" w:color="auto" w:fill="auto"/>
            <w:tcW w:w="2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7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Всего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24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72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5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widowControl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молодежной политики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38787,8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13059,5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12826,7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12901,6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38787,8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13059,5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12826,7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12901,6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233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12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72,7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72,7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7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45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72,7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72,7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37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 МБУ «</w:t>
            </w:r>
            <w:r>
              <w:t xml:space="preserve">ЦПиРМИ</w:t>
            </w:r>
            <w:r>
              <w:t xml:space="preserve">»</w:t>
            </w:r>
            <w:r/>
          </w:p>
          <w:p>
            <w:pPr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2299,5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1196,5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1103,0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50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2299,5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1196,5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1103,0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00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Награждение премией Главы Печенгского муниципального округа одаренных детей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50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898,8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298,8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50"/>
        </w:trPr>
        <w:tc>
          <w:tcPr>
            <w:gridSpan w:val="2"/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898,8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298,8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30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30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37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Пропаганда семейных ценностей в молодежной среде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12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163,0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63,0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163,0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63,0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благоприятных условий для эффективной работы с молодежью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КДЛЦ «Платформа»</w:t>
            </w:r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10000,0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10000,0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526,3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526,3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10526,3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10526,3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материально-технической базы для функционирования отделений Общероссийского общественно-государственного движения детей и молодежи «Движение Первых»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МБУ «СК «Дельфин»;      МБУ ДО ДДТ </w:t>
            </w:r>
            <w:r/>
          </w:p>
          <w:p>
            <w:pPr>
              <w:jc w:val="center"/>
              <w:widowControl/>
            </w:pPr>
            <w:r>
              <w:t xml:space="preserve">№ 1</w:t>
            </w:r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900,0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900,0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396,5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396,5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1296,5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1296,5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4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10900,0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10900,0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43144,6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15613,3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14329,7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13201,6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54044,6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26513,3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14329,7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13201,6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</w:t>
            </w:r>
            <w:r>
              <w:rPr>
                <w:b/>
                <w:bCs/>
                <w:sz w:val="23"/>
                <w:szCs w:val="23"/>
              </w:rPr>
              <w:t xml:space="preserve">ероприятие 2. Сохранение и развитие системы гражданско-патриотического воспитания детей и молодежи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restart"/>
            <w:textDirection w:val="lrTb"/>
            <w:noWrap w:val="false"/>
          </w:tcPr>
          <w:p>
            <w:pPr>
              <w:ind w:firstLine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гражданского становления молодежи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197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1780,5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  <w:t xml:space="preserve">47,5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566,5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566,5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178</w:t>
            </w:r>
            <w:r>
              <w:rPr>
                <w:b/>
                <w:bCs/>
                <w:sz w:val="22"/>
                <w:szCs w:val="22"/>
              </w:rPr>
              <w:t xml:space="preserve">0,5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6</w:t>
            </w:r>
            <w:r>
              <w:rPr>
                <w:b/>
                <w:bCs/>
                <w:sz w:val="22"/>
                <w:szCs w:val="22"/>
              </w:rPr>
              <w:t xml:space="preserve">47,5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566,5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566,5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restart"/>
            <w:textDirection w:val="lrTb"/>
            <w:noWrap w:val="false"/>
          </w:tcPr>
          <w:p>
            <w:pPr>
              <w:ind w:left="33" w:right="-26" w:hanging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молодежи в мероприятиях, направленных </w:t>
            </w:r>
            <w:r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 xml:space="preserve">сохранность</w:t>
            </w:r>
            <w:r>
              <w:rPr>
                <w:sz w:val="22"/>
                <w:szCs w:val="22"/>
              </w:rPr>
              <w:t xml:space="preserve"> и восстановление воинских памятников и захоронений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262,5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62,5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</w:t>
            </w: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</w:t>
            </w: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262,5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62,5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0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7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50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2250,0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1274,0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1274,0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3524,0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2024,0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7</w:t>
            </w:r>
            <w:r>
              <w:rPr>
                <w:b/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7</w:t>
            </w:r>
            <w:r>
              <w:rPr>
                <w:b/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проекта «Благоустройство памятника истории»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1155,1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  <w:t xml:space="preserve">155,1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функционирования в муниципальных образованиях Комнат/Домов Всероссийского военно-патриотического движения «ЮНАРМИЯ»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образования, СОШ № 3, № 19</w:t>
            </w:r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68,5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68,5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1735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1369,6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1369,6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4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2017,7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2017,7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12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4670,0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1837,0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1404,0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8091,7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5258,7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365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</w:t>
            </w:r>
            <w:r>
              <w:rPr>
                <w:b/>
                <w:bCs/>
                <w:sz w:val="23"/>
                <w:szCs w:val="23"/>
              </w:rPr>
              <w:t xml:space="preserve">ероприятие 3. </w:t>
            </w:r>
            <w:r>
              <w:rPr>
                <w:b/>
                <w:sz w:val="23"/>
                <w:szCs w:val="23"/>
              </w:rPr>
              <w:t xml:space="preserve">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4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restart"/>
            <w:textDirection w:val="lrTb"/>
            <w:noWrap w:val="false"/>
          </w:tcPr>
          <w:p>
            <w:pPr>
              <w:ind w:left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целенаправленной работы по профилактике злоупотреблений и правонарушений в молодежной среде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33" w:right="-108" w:hanging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4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03"/>
        </w:trPr>
        <w:tc>
          <w:tcPr>
            <w:gridSpan w:val="3"/>
            <w:shd w:val="clear" w:color="auto" w:fill="auto"/>
            <w:tcW w:w="24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244,1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4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9"/>
        </w:trPr>
        <w:tc>
          <w:tcPr>
            <w:gridSpan w:val="3"/>
            <w:shd w:val="clear" w:color="auto" w:fill="auto"/>
            <w:tcW w:w="24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244,1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4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3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4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9"/>
        </w:trPr>
        <w:tc>
          <w:tcPr>
            <w:gridSpan w:val="6"/>
            <w:shd w:val="clear" w:color="auto" w:fill="auto"/>
            <w:tcW w:w="24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244,1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4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4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244,1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4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12917,7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12917,7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48058,7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17531,4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15827,7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14699,6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1404,0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1404,0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41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7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62380,4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31853,1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15827,7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14699,6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right"/>
        <w:widowControl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sz w:val="18"/>
          <w:szCs w:val="18"/>
        </w:rPr>
        <w:t xml:space="preserve">.</w:t>
      </w:r>
      <w:r>
        <w:rPr>
          <w:sz w:val="18"/>
          <w:szCs w:val="18"/>
        </w:rPr>
        <w:t xml:space="preserve">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851" w:right="1135" w:bottom="707" w:left="993" w:header="708" w:footer="708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5" w:right="850" w:bottom="993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4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30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2"/>
  </w:num>
  <w:num w:numId="9">
    <w:abstractNumId w:val="12"/>
  </w:num>
  <w:num w:numId="10">
    <w:abstractNumId w:val="35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9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8"/>
  </w:num>
  <w:num w:numId="29">
    <w:abstractNumId w:val="37"/>
  </w:num>
  <w:num w:numId="30">
    <w:abstractNumId w:val="20"/>
  </w:num>
  <w:num w:numId="31">
    <w:abstractNumId w:val="21"/>
  </w:num>
  <w:num w:numId="32">
    <w:abstractNumId w:val="32"/>
  </w:num>
  <w:num w:numId="33">
    <w:abstractNumId w:val="17"/>
  </w:num>
  <w:num w:numId="34">
    <w:abstractNumId w:val="23"/>
  </w:num>
  <w:num w:numId="35">
    <w:abstractNumId w:val="40"/>
  </w:num>
  <w:num w:numId="36">
    <w:abstractNumId w:val="6"/>
  </w:num>
  <w:num w:numId="37">
    <w:abstractNumId w:val="24"/>
  </w:num>
  <w:num w:numId="38">
    <w:abstractNumId w:val="31"/>
  </w:num>
  <w:num w:numId="39">
    <w:abstractNumId w:val="33"/>
  </w:num>
  <w:num w:numId="40">
    <w:abstractNumId w:val="38"/>
  </w:num>
  <w:num w:numId="41">
    <w:abstractNumId w:val="18"/>
  </w:num>
  <w:num w:numId="42">
    <w:abstractNumId w:val="36"/>
  </w:num>
  <w:num w:numId="43">
    <w:abstractNumId w:val="29"/>
  </w:num>
  <w:num w:numId="44">
    <w:abstractNumId w:val="3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0">
    <w:name w:val="Heading 1"/>
    <w:basedOn w:val="910"/>
    <w:next w:val="910"/>
    <w:link w:val="7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1">
    <w:name w:val="Heading 1 Char"/>
    <w:basedOn w:val="912"/>
    <w:link w:val="740"/>
    <w:uiPriority w:val="9"/>
    <w:rPr>
      <w:rFonts w:ascii="Arial" w:hAnsi="Arial" w:eastAsia="Arial" w:cs="Arial"/>
      <w:sz w:val="40"/>
      <w:szCs w:val="40"/>
    </w:rPr>
  </w:style>
  <w:style w:type="character" w:styleId="742">
    <w:name w:val="Heading 2 Char"/>
    <w:basedOn w:val="912"/>
    <w:link w:val="911"/>
    <w:uiPriority w:val="9"/>
    <w:rPr>
      <w:rFonts w:ascii="Arial" w:hAnsi="Arial" w:eastAsia="Arial" w:cs="Arial"/>
      <w:sz w:val="34"/>
    </w:rPr>
  </w:style>
  <w:style w:type="paragraph" w:styleId="743">
    <w:name w:val="Heading 3"/>
    <w:basedOn w:val="910"/>
    <w:next w:val="910"/>
    <w:link w:val="74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4">
    <w:name w:val="Heading 3 Char"/>
    <w:basedOn w:val="912"/>
    <w:link w:val="743"/>
    <w:uiPriority w:val="9"/>
    <w:rPr>
      <w:rFonts w:ascii="Arial" w:hAnsi="Arial" w:eastAsia="Arial" w:cs="Arial"/>
      <w:sz w:val="30"/>
      <w:szCs w:val="30"/>
    </w:rPr>
  </w:style>
  <w:style w:type="paragraph" w:styleId="745">
    <w:name w:val="Heading 4"/>
    <w:basedOn w:val="910"/>
    <w:next w:val="910"/>
    <w:link w:val="74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6">
    <w:name w:val="Heading 4 Char"/>
    <w:basedOn w:val="912"/>
    <w:link w:val="745"/>
    <w:uiPriority w:val="9"/>
    <w:rPr>
      <w:rFonts w:ascii="Arial" w:hAnsi="Arial" w:eastAsia="Arial" w:cs="Arial"/>
      <w:b/>
      <w:bCs/>
      <w:sz w:val="26"/>
      <w:szCs w:val="26"/>
    </w:rPr>
  </w:style>
  <w:style w:type="paragraph" w:styleId="747">
    <w:name w:val="Heading 5"/>
    <w:basedOn w:val="910"/>
    <w:next w:val="910"/>
    <w:link w:val="74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8">
    <w:name w:val="Heading 5 Char"/>
    <w:basedOn w:val="91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paragraph" w:styleId="749">
    <w:name w:val="Heading 6"/>
    <w:basedOn w:val="910"/>
    <w:next w:val="910"/>
    <w:link w:val="75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0">
    <w:name w:val="Heading 6 Char"/>
    <w:basedOn w:val="912"/>
    <w:link w:val="749"/>
    <w:uiPriority w:val="9"/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910"/>
    <w:next w:val="910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2">
    <w:name w:val="Heading 7 Char"/>
    <w:basedOn w:val="912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3">
    <w:name w:val="Heading 8"/>
    <w:basedOn w:val="910"/>
    <w:next w:val="910"/>
    <w:link w:val="75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4">
    <w:name w:val="Heading 8 Char"/>
    <w:basedOn w:val="912"/>
    <w:link w:val="753"/>
    <w:uiPriority w:val="9"/>
    <w:rPr>
      <w:rFonts w:ascii="Arial" w:hAnsi="Arial" w:eastAsia="Arial" w:cs="Arial"/>
      <w:i/>
      <w:iCs/>
      <w:sz w:val="22"/>
      <w:szCs w:val="22"/>
    </w:rPr>
  </w:style>
  <w:style w:type="paragraph" w:styleId="755">
    <w:name w:val="Heading 9"/>
    <w:basedOn w:val="910"/>
    <w:next w:val="910"/>
    <w:link w:val="75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6">
    <w:name w:val="Heading 9 Char"/>
    <w:basedOn w:val="912"/>
    <w:link w:val="755"/>
    <w:uiPriority w:val="9"/>
    <w:rPr>
      <w:rFonts w:ascii="Arial" w:hAnsi="Arial" w:eastAsia="Arial" w:cs="Arial"/>
      <w:i/>
      <w:iCs/>
      <w:sz w:val="21"/>
      <w:szCs w:val="21"/>
    </w:rPr>
  </w:style>
  <w:style w:type="paragraph" w:styleId="757">
    <w:name w:val="Title"/>
    <w:basedOn w:val="910"/>
    <w:next w:val="910"/>
    <w:link w:val="75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8">
    <w:name w:val="Title Char"/>
    <w:basedOn w:val="912"/>
    <w:link w:val="757"/>
    <w:uiPriority w:val="10"/>
    <w:rPr>
      <w:sz w:val="48"/>
      <w:szCs w:val="48"/>
    </w:rPr>
  </w:style>
  <w:style w:type="paragraph" w:styleId="759">
    <w:name w:val="Subtitle"/>
    <w:basedOn w:val="910"/>
    <w:next w:val="910"/>
    <w:link w:val="760"/>
    <w:uiPriority w:val="11"/>
    <w:qFormat/>
    <w:pPr>
      <w:spacing w:before="200" w:after="200"/>
    </w:pPr>
    <w:rPr>
      <w:sz w:val="24"/>
      <w:szCs w:val="24"/>
    </w:rPr>
  </w:style>
  <w:style w:type="character" w:styleId="760">
    <w:name w:val="Subtitle Char"/>
    <w:basedOn w:val="912"/>
    <w:link w:val="759"/>
    <w:uiPriority w:val="11"/>
    <w:rPr>
      <w:sz w:val="24"/>
      <w:szCs w:val="24"/>
    </w:rPr>
  </w:style>
  <w:style w:type="paragraph" w:styleId="761">
    <w:name w:val="Quote"/>
    <w:basedOn w:val="910"/>
    <w:next w:val="910"/>
    <w:link w:val="762"/>
    <w:uiPriority w:val="29"/>
    <w:qFormat/>
    <w:pPr>
      <w:ind w:left="720" w:right="720"/>
    </w:pPr>
    <w:rPr>
      <w:i/>
    </w:rPr>
  </w:style>
  <w:style w:type="character" w:styleId="762">
    <w:name w:val="Quote Char"/>
    <w:link w:val="761"/>
    <w:uiPriority w:val="29"/>
    <w:rPr>
      <w:i/>
    </w:rPr>
  </w:style>
  <w:style w:type="paragraph" w:styleId="763">
    <w:name w:val="Intense Quote"/>
    <w:basedOn w:val="910"/>
    <w:next w:val="910"/>
    <w:link w:val="76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4">
    <w:name w:val="Intense Quote Char"/>
    <w:link w:val="763"/>
    <w:uiPriority w:val="30"/>
    <w:rPr>
      <w:i/>
    </w:rPr>
  </w:style>
  <w:style w:type="character" w:styleId="765">
    <w:name w:val="Header Char"/>
    <w:basedOn w:val="912"/>
    <w:link w:val="920"/>
    <w:uiPriority w:val="99"/>
  </w:style>
  <w:style w:type="character" w:styleId="766">
    <w:name w:val="Footer Char"/>
    <w:basedOn w:val="912"/>
    <w:link w:val="934"/>
    <w:uiPriority w:val="99"/>
  </w:style>
  <w:style w:type="character" w:styleId="767">
    <w:name w:val="Caption Char"/>
    <w:basedOn w:val="927"/>
    <w:link w:val="934"/>
    <w:uiPriority w:val="99"/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3">
    <w:name w:val="footnote text"/>
    <w:basedOn w:val="910"/>
    <w:link w:val="894"/>
    <w:uiPriority w:val="99"/>
    <w:semiHidden/>
    <w:unhideWhenUsed/>
    <w:pPr>
      <w:spacing w:after="40" w:line="240" w:lineRule="auto"/>
    </w:pPr>
    <w:rPr>
      <w:sz w:val="18"/>
    </w:rPr>
  </w:style>
  <w:style w:type="character" w:styleId="894">
    <w:name w:val="Footnote Text Char"/>
    <w:link w:val="893"/>
    <w:uiPriority w:val="99"/>
    <w:rPr>
      <w:sz w:val="18"/>
    </w:rPr>
  </w:style>
  <w:style w:type="character" w:styleId="895">
    <w:name w:val="footnote reference"/>
    <w:basedOn w:val="912"/>
    <w:uiPriority w:val="99"/>
    <w:unhideWhenUsed/>
    <w:rPr>
      <w:vertAlign w:val="superscript"/>
    </w:rPr>
  </w:style>
  <w:style w:type="paragraph" w:styleId="896">
    <w:name w:val="endnote text"/>
    <w:basedOn w:val="910"/>
    <w:link w:val="897"/>
    <w:uiPriority w:val="99"/>
    <w:semiHidden/>
    <w:unhideWhenUsed/>
    <w:pPr>
      <w:spacing w:after="0" w:line="240" w:lineRule="auto"/>
    </w:pPr>
    <w:rPr>
      <w:sz w:val="20"/>
    </w:rPr>
  </w:style>
  <w:style w:type="character" w:styleId="897">
    <w:name w:val="Endnote Text Char"/>
    <w:link w:val="896"/>
    <w:uiPriority w:val="99"/>
    <w:rPr>
      <w:sz w:val="20"/>
    </w:rPr>
  </w:style>
  <w:style w:type="character" w:styleId="898">
    <w:name w:val="endnote reference"/>
    <w:basedOn w:val="912"/>
    <w:uiPriority w:val="99"/>
    <w:semiHidden/>
    <w:unhideWhenUsed/>
    <w:rPr>
      <w:vertAlign w:val="superscript"/>
    </w:rPr>
  </w:style>
  <w:style w:type="paragraph" w:styleId="899">
    <w:name w:val="toc 1"/>
    <w:basedOn w:val="910"/>
    <w:next w:val="910"/>
    <w:uiPriority w:val="39"/>
    <w:unhideWhenUsed/>
    <w:pPr>
      <w:ind w:left="0" w:right="0" w:firstLine="0"/>
      <w:spacing w:after="57"/>
    </w:pPr>
  </w:style>
  <w:style w:type="paragraph" w:styleId="900">
    <w:name w:val="toc 2"/>
    <w:basedOn w:val="910"/>
    <w:next w:val="910"/>
    <w:uiPriority w:val="39"/>
    <w:unhideWhenUsed/>
    <w:pPr>
      <w:ind w:left="283" w:right="0" w:firstLine="0"/>
      <w:spacing w:after="57"/>
    </w:pPr>
  </w:style>
  <w:style w:type="paragraph" w:styleId="901">
    <w:name w:val="toc 3"/>
    <w:basedOn w:val="910"/>
    <w:next w:val="910"/>
    <w:uiPriority w:val="39"/>
    <w:unhideWhenUsed/>
    <w:pPr>
      <w:ind w:left="567" w:right="0" w:firstLine="0"/>
      <w:spacing w:after="57"/>
    </w:pPr>
  </w:style>
  <w:style w:type="paragraph" w:styleId="902">
    <w:name w:val="toc 4"/>
    <w:basedOn w:val="910"/>
    <w:next w:val="910"/>
    <w:uiPriority w:val="39"/>
    <w:unhideWhenUsed/>
    <w:pPr>
      <w:ind w:left="850" w:right="0" w:firstLine="0"/>
      <w:spacing w:after="57"/>
    </w:pPr>
  </w:style>
  <w:style w:type="paragraph" w:styleId="903">
    <w:name w:val="toc 5"/>
    <w:basedOn w:val="910"/>
    <w:next w:val="910"/>
    <w:uiPriority w:val="39"/>
    <w:unhideWhenUsed/>
    <w:pPr>
      <w:ind w:left="1134" w:right="0" w:firstLine="0"/>
      <w:spacing w:after="57"/>
    </w:pPr>
  </w:style>
  <w:style w:type="paragraph" w:styleId="904">
    <w:name w:val="toc 6"/>
    <w:basedOn w:val="910"/>
    <w:next w:val="910"/>
    <w:uiPriority w:val="39"/>
    <w:unhideWhenUsed/>
    <w:pPr>
      <w:ind w:left="1417" w:right="0" w:firstLine="0"/>
      <w:spacing w:after="57"/>
    </w:pPr>
  </w:style>
  <w:style w:type="paragraph" w:styleId="905">
    <w:name w:val="toc 7"/>
    <w:basedOn w:val="910"/>
    <w:next w:val="910"/>
    <w:uiPriority w:val="39"/>
    <w:unhideWhenUsed/>
    <w:pPr>
      <w:ind w:left="1701" w:right="0" w:firstLine="0"/>
      <w:spacing w:after="57"/>
    </w:pPr>
  </w:style>
  <w:style w:type="paragraph" w:styleId="906">
    <w:name w:val="toc 8"/>
    <w:basedOn w:val="910"/>
    <w:next w:val="910"/>
    <w:uiPriority w:val="39"/>
    <w:unhideWhenUsed/>
    <w:pPr>
      <w:ind w:left="1984" w:right="0" w:firstLine="0"/>
      <w:spacing w:after="57"/>
    </w:pPr>
  </w:style>
  <w:style w:type="paragraph" w:styleId="907">
    <w:name w:val="toc 9"/>
    <w:basedOn w:val="910"/>
    <w:next w:val="910"/>
    <w:uiPriority w:val="39"/>
    <w:unhideWhenUsed/>
    <w:pPr>
      <w:ind w:left="2268" w:right="0" w:firstLine="0"/>
      <w:spacing w:after="57"/>
    </w:pPr>
  </w:style>
  <w:style w:type="paragraph" w:styleId="908">
    <w:name w:val="TOC Heading"/>
    <w:uiPriority w:val="39"/>
    <w:unhideWhenUsed/>
  </w:style>
  <w:style w:type="paragraph" w:styleId="909">
    <w:name w:val="table of figures"/>
    <w:basedOn w:val="910"/>
    <w:next w:val="910"/>
    <w:uiPriority w:val="99"/>
    <w:unhideWhenUsed/>
    <w:pPr>
      <w:spacing w:after="0" w:afterAutospacing="0"/>
    </w:pPr>
  </w:style>
  <w:style w:type="paragraph" w:styleId="910" w:default="1">
    <w:name w:val="Normal"/>
    <w:qFormat/>
    <w:pPr>
      <w:widowControl w:val="off"/>
    </w:pPr>
    <w:rPr>
      <w:rFonts w:ascii="Times New Roman" w:hAnsi="Times New Roman" w:eastAsia="Times New Roman"/>
    </w:rPr>
  </w:style>
  <w:style w:type="paragraph" w:styleId="911">
    <w:name w:val="Heading 2"/>
    <w:basedOn w:val="910"/>
    <w:next w:val="910"/>
    <w:link w:val="915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character" w:styleId="915" w:customStyle="1">
    <w:name w:val="Заголовок 2 Знак"/>
    <w:link w:val="911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paragraph" w:styleId="916">
    <w:name w:val="Balloon Text"/>
    <w:basedOn w:val="910"/>
    <w:link w:val="917"/>
    <w:semiHidden/>
    <w:rPr>
      <w:rFonts w:ascii="Tahoma" w:hAnsi="Tahoma" w:cs="Tahoma"/>
      <w:sz w:val="16"/>
      <w:szCs w:val="16"/>
    </w:rPr>
  </w:style>
  <w:style w:type="character" w:styleId="917" w:customStyle="1">
    <w:name w:val="Текст выноски Знак"/>
    <w:link w:val="916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8">
    <w:name w:val="Normal (Web)"/>
    <w:basedOn w:val="910"/>
    <w:pPr>
      <w:spacing w:before="100" w:beforeAutospacing="1" w:after="100" w:afterAutospacing="1"/>
      <w:widowControl/>
    </w:pPr>
    <w:rPr>
      <w:sz w:val="24"/>
      <w:szCs w:val="24"/>
    </w:rPr>
  </w:style>
  <w:style w:type="table" w:styleId="919">
    <w:name w:val="Table Grid"/>
    <w:basedOn w:val="913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0">
    <w:name w:val="Header"/>
    <w:basedOn w:val="910"/>
    <w:link w:val="921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921" w:customStyle="1">
    <w:name w:val="Верхний колонтитул Знак"/>
    <w:link w:val="920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922">
    <w:name w:val="Body Text Indent"/>
    <w:basedOn w:val="910"/>
    <w:link w:val="923"/>
    <w:pPr>
      <w:ind w:left="283"/>
      <w:spacing w:after="120"/>
      <w:widowControl/>
    </w:pPr>
    <w:rPr>
      <w:sz w:val="24"/>
      <w:szCs w:val="24"/>
    </w:rPr>
  </w:style>
  <w:style w:type="character" w:styleId="923" w:customStyle="1">
    <w:name w:val="Основной текст с отступом Знак"/>
    <w:link w:val="92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4" w:customStyle="1">
    <w:name w:val="ConsPlusNonformat"/>
    <w:rPr>
      <w:rFonts w:ascii="Courier New" w:hAnsi="Courier New" w:eastAsia="Times New Roman" w:cs="Courier New"/>
    </w:rPr>
  </w:style>
  <w:style w:type="paragraph" w:styleId="925">
    <w:name w:val="Body Text"/>
    <w:basedOn w:val="910"/>
    <w:link w:val="926"/>
    <w:pPr>
      <w:spacing w:after="120"/>
    </w:pPr>
  </w:style>
  <w:style w:type="character" w:styleId="926" w:customStyle="1">
    <w:name w:val="Основной текст Знак"/>
    <w:link w:val="925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7">
    <w:name w:val="Caption"/>
    <w:basedOn w:val="910"/>
    <w:next w:val="910"/>
    <w:qFormat/>
    <w:pPr>
      <w:jc w:val="center"/>
      <w:widowControl/>
    </w:pPr>
    <w:rPr>
      <w:b/>
      <w:sz w:val="32"/>
    </w:rPr>
  </w:style>
  <w:style w:type="paragraph" w:styleId="928">
    <w:name w:val="Body Text Indent 2"/>
    <w:basedOn w:val="910"/>
    <w:link w:val="929"/>
    <w:pPr>
      <w:ind w:left="283"/>
      <w:spacing w:after="120" w:line="480" w:lineRule="auto"/>
      <w:widowControl/>
    </w:pPr>
    <w:rPr>
      <w:sz w:val="24"/>
      <w:szCs w:val="24"/>
    </w:rPr>
  </w:style>
  <w:style w:type="character" w:styleId="929" w:customStyle="1">
    <w:name w:val="Основной текст с отступом 2 Знак"/>
    <w:link w:val="92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0">
    <w:name w:val="List Paragraph"/>
    <w:basedOn w:val="910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931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932" w:customStyle="1">
    <w:name w:val="ConsPlusNormal"/>
    <w:rPr>
      <w:rFonts w:ascii="Times New Roman" w:hAnsi="Times New Roman" w:eastAsia="Times New Roman"/>
      <w:sz w:val="24"/>
      <w:szCs w:val="24"/>
    </w:rPr>
  </w:style>
  <w:style w:type="character" w:styleId="933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934">
    <w:name w:val="Footer"/>
    <w:basedOn w:val="910"/>
    <w:link w:val="93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5" w:customStyle="1">
    <w:name w:val="Нижний колонтитул Знак"/>
    <w:link w:val="93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36">
    <w:name w:val="Hyperlink"/>
    <w:basedOn w:val="912"/>
    <w:uiPriority w:val="99"/>
    <w:unhideWhenUsed/>
    <w:rPr>
      <w:color w:val="0000ff" w:themeColor="hyperlink"/>
      <w:u w:val="single"/>
    </w:rPr>
  </w:style>
  <w:style w:type="paragraph" w:styleId="937" w:customStyle="1">
    <w:name w:val="Абзац списка1"/>
    <w:basedOn w:val="910"/>
    <w:pPr>
      <w:ind w:left="720"/>
      <w:spacing w:after="200" w:line="276" w:lineRule="auto"/>
      <w:widowControl/>
    </w:pPr>
    <w:rPr>
      <w:rFonts w:ascii="Calibri" w:hAnsi="Calibri" w:eastAsia="Calibri" w:cs="Calibri"/>
      <w:sz w:val="22"/>
      <w:szCs w:val="22"/>
      <w:lang w:eastAsia="en-US"/>
    </w:rPr>
  </w:style>
  <w:style w:type="table" w:styleId="938" w:customStyle="1">
    <w:name w:val="Сетка таблицы1"/>
    <w:basedOn w:val="913"/>
    <w:next w:val="919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270F6-0573-43D2-AB91-DD09C2410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revision>8</cp:revision>
  <dcterms:created xsi:type="dcterms:W3CDTF">2024-12-12T08:13:00Z</dcterms:created>
  <dcterms:modified xsi:type="dcterms:W3CDTF">2024-12-24T07:33:05Z</dcterms:modified>
</cp:coreProperties>
</file>