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09.12.2024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1983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«Транспортная система» на 202</w:t>
      </w:r>
      <w:r>
        <w:rPr>
          <w:b/>
        </w:rPr>
        <w:t xml:space="preserve">4</w:t>
      </w:r>
      <w:r>
        <w:rPr>
          <w:b/>
        </w:rPr>
        <w:t xml:space="preserve">-202</w:t>
      </w:r>
      <w:r>
        <w:rPr>
          <w:b/>
        </w:rPr>
        <w:t xml:space="preserve">6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634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634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28.08.2024 № 1329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22"/>
        <w:gridCol w:w="7314"/>
      </w:tblGrid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textDirection w:val="lrTb"/>
            <w:noWrap w:val="false"/>
          </w:tcPr>
          <w:p>
            <w:pPr>
              <w:shd w:val="clear" w:color="auto" w:fill="ffffff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 xml:space="preserve">«</w:t>
            </w:r>
            <w:r>
              <w:rPr>
                <w:bCs/>
                <w:spacing w:val="-1"/>
                <w:sz w:val="22"/>
                <w:szCs w:val="22"/>
              </w:rPr>
              <w:t xml:space="preserve">Показатели программы</w:t>
            </w:r>
            <w:r>
              <w:rPr>
                <w:bCs/>
                <w:spacing w:val="-1"/>
                <w:sz w:val="22"/>
                <w:szCs w:val="22"/>
              </w:rPr>
            </w:r>
            <w:r>
              <w:rPr>
                <w:bCs/>
                <w:spacing w:val="-1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14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 Эксплуатационное содержание автомобильных дорог в соответствии с требованиями стандартов, норм и правил. 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 Площадь проведенного ямочного ремонта на участках дорог, на которых отсутствует необходимость замены дорожного покрытия.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 Протяженность дорожной разметки на дорогах общего пользования местного значения.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4. Обеспечение дорожно-уличной системы Печенгского муниципального округа дорожными знаками.   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5. Площадь отремонтированных автомобильных дорог общего пользования местного значения.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6. Количество крышек колодцев, на которых выполнено регулирование высотного положения.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7. Количество отремонтированных мостовых сооружений.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8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 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9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 Количество отремонтированных автобусных остановок.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»;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2"/>
        <w:gridCol w:w="7385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85" w:type="dxa"/>
            <w:textDirection w:val="lrTb"/>
            <w:noWrap w:val="false"/>
          </w:tcPr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473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004,7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33796,8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64723,4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34536,7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34536,7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39207,9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0988,1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82517,9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65701,9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40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2404"/>
        <w:gridCol w:w="709"/>
        <w:gridCol w:w="992"/>
        <w:gridCol w:w="851"/>
        <w:gridCol w:w="850"/>
        <w:gridCol w:w="851"/>
        <w:gridCol w:w="850"/>
        <w:gridCol w:w="1418"/>
      </w:tblGrid>
      <w:tr>
        <w:tblPrEx/>
        <w:trPr/>
        <w:tc>
          <w:tcPr>
            <w:shd w:val="clear" w:color="auto" w:fill="auto"/>
            <w:tcW w:w="71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№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п/п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40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Цели, </w:t>
            </w:r>
            <w:r>
              <w:rPr>
                <w:bCs/>
              </w:rPr>
              <w:t xml:space="preserve">мероприятия</w:t>
            </w:r>
            <w:r>
              <w:rPr>
                <w:bCs/>
              </w:rPr>
              <w:t xml:space="preserve">, показатели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Ед. изм.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5"/>
            <w:shd w:val="clear" w:color="auto" w:fill="auto"/>
            <w:tcW w:w="4394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Значение показателя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Источник данных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40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Отчет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Оценка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3"/>
            <w:shd w:val="clear" w:color="auto" w:fill="auto"/>
            <w:tcW w:w="25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outlineLvl w:val="1"/>
            </w:pPr>
            <w:r>
              <w:t xml:space="preserve">Годы</w:t>
            </w:r>
            <w:r>
              <w:t xml:space="preserve"> р</w:t>
            </w:r>
            <w:r>
              <w:t xml:space="preserve">еализации </w:t>
            </w:r>
            <w:r>
              <w:t xml:space="preserve">п</w:t>
            </w:r>
            <w:r>
              <w:t xml:space="preserve">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40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center" w:pos="716" w:leader="none"/>
                <w:tab w:val="left" w:pos="1361" w:leader="none"/>
              </w:tabs>
              <w:rPr>
                <w:bCs/>
              </w:rPr>
            </w:pPr>
            <w:r>
              <w:rPr>
                <w:bCs/>
              </w:rPr>
              <w:t xml:space="preserve">20</w:t>
            </w:r>
            <w:r>
              <w:rPr>
                <w:bCs/>
              </w:rPr>
              <w:t xml:space="preserve">22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shd w:val="clear" w:color="auto" w:fill="auto"/>
            <w:tcW w:w="8925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Показатель цели муниципальной программы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  <w:outlineLvl w:val="1"/>
            </w:pPr>
            <w:r>
              <w:t xml:space="preserve">1.1.</w:t>
            </w:r>
            <w:r/>
          </w:p>
        </w:tc>
        <w:tc>
          <w:tcPr>
            <w:gridSpan w:val="8"/>
            <w:shd w:val="clear" w:color="auto" w:fill="auto"/>
            <w:tcW w:w="8925" w:type="dxa"/>
            <w:textDirection w:val="lrTb"/>
            <w:noWrap w:val="false"/>
          </w:tcPr>
          <w:p>
            <w:pPr>
              <w:jc w:val="both"/>
              <w:rPr>
                <w:spacing w:val="1"/>
              </w:rPr>
            </w:pPr>
            <w:r>
              <w:t xml:space="preserve"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2.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shd w:val="clear" w:color="auto" w:fill="auto"/>
            <w:tcW w:w="8925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Показатели  </w:t>
            </w:r>
            <w:r>
              <w:rPr>
                <w:b/>
              </w:rPr>
              <w:t xml:space="preserve">мероприятий муниципальной</w:t>
            </w:r>
            <w:r>
              <w:rPr>
                <w:b/>
              </w:rPr>
              <w:t xml:space="preserve"> программы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</w:pPr>
            <w:r>
              <w:t xml:space="preserve">2.1.</w:t>
            </w:r>
            <w:r/>
          </w:p>
        </w:tc>
        <w:tc>
          <w:tcPr>
            <w:shd w:val="clear" w:color="auto" w:fill="auto"/>
            <w:tcW w:w="24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rFonts w:eastAsia="Calibri"/>
                <w:lang w:eastAsia="en-US"/>
              </w:rPr>
              <w:t xml:space="preserve">Эксплуатационное содержание автомобильных дорог в соответствии с требованиями стандартов, норм и правил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да/</w:t>
            </w:r>
            <w:r/>
          </w:p>
          <w:p>
            <w:pPr>
              <w:jc w:val="center"/>
            </w:pPr>
            <w:r>
              <w:t xml:space="preserve">нет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</w:pPr>
            <w:r>
              <w:t xml:space="preserve">2.2.</w:t>
            </w:r>
            <w:r/>
          </w:p>
        </w:tc>
        <w:tc>
          <w:tcPr>
            <w:shd w:val="clear" w:color="auto" w:fill="auto"/>
            <w:tcW w:w="24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Площадь </w:t>
            </w:r>
            <w:r>
              <w:t xml:space="preserve">п</w:t>
            </w:r>
            <w:r>
              <w:t xml:space="preserve">роведенного ямочного ремонта, на участках автодорог, на которых отсутствует необходимость замены дорожного покрытия 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1379,5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800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</w:t>
            </w:r>
            <w:r>
              <w:t xml:space="preserve">е менее </w:t>
            </w:r>
            <w:r>
              <w:t xml:space="preserve">2060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</w:t>
            </w:r>
            <w:r>
              <w:t xml:space="preserve">е менее </w:t>
            </w:r>
            <w:r>
              <w:t xml:space="preserve">1000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</w:t>
            </w:r>
            <w:r>
              <w:t xml:space="preserve">е менее </w:t>
            </w:r>
            <w:r>
              <w:t xml:space="preserve">1000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</w:pPr>
            <w:r>
              <w:t xml:space="preserve">2.3.</w:t>
            </w:r>
            <w:r/>
          </w:p>
        </w:tc>
        <w:tc>
          <w:tcPr>
            <w:shd w:val="clear" w:color="auto" w:fill="auto"/>
            <w:tcW w:w="24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Протяженность дорожной разметки на дорогах общего пользования местного значения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км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20,46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</w:t>
            </w:r>
            <w:r>
              <w:t xml:space="preserve">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</w:pPr>
            <w:r>
              <w:t xml:space="preserve">2.4.</w:t>
            </w:r>
            <w:r/>
          </w:p>
        </w:tc>
        <w:tc>
          <w:tcPr>
            <w:shd w:val="clear" w:color="auto" w:fill="auto"/>
            <w:tcW w:w="24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Обеспечение дорожно-уличной системы Печенгского муниципального округа дорожными знаками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д</w:t>
            </w:r>
            <w:r>
              <w:t xml:space="preserve">а</w:t>
            </w:r>
            <w:r>
              <w:t xml:space="preserve"> </w:t>
            </w:r>
            <w:r>
              <w:t xml:space="preserve">/нет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</w:pPr>
            <w:r>
              <w:t xml:space="preserve">2.5.</w:t>
            </w:r>
            <w:r/>
          </w:p>
        </w:tc>
        <w:tc>
          <w:tcPr>
            <w:shd w:val="clear" w:color="auto" w:fill="auto"/>
            <w:tcW w:w="2404" w:type="dxa"/>
            <w:textDirection w:val="lrTb"/>
            <w:noWrap w:val="false"/>
          </w:tcPr>
          <w:p>
            <w:pPr>
              <w:jc w:val="both"/>
              <w:widowControl w:val="off"/>
              <w:rPr>
                <w:spacing w:val="3"/>
                <w:shd w:val="clear" w:color="auto" w:fill="ffffff"/>
              </w:rPr>
            </w:pPr>
            <w:r>
              <w:t xml:space="preserve">Площадь отремонтированных автомобильных дорог общего пользования местного значения </w:t>
            </w:r>
            <w:r>
              <w:rPr>
                <w:spacing w:val="3"/>
                <w:shd w:val="clear" w:color="auto" w:fill="ffffff"/>
              </w:rPr>
            </w:r>
            <w:r>
              <w:rPr>
                <w:spacing w:val="3"/>
                <w:shd w:val="clear" w:color="auto" w:fill="ffffff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10739,5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17044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lang w:val="en-US"/>
              </w:rPr>
            </w:pPr>
            <w:r>
              <w:t xml:space="preserve">Не менее </w:t>
            </w:r>
            <w:r>
              <w:rPr>
                <w:lang w:val="en-US"/>
              </w:rPr>
              <w:t xml:space="preserve">7949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10000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10000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</w:pPr>
            <w:r>
              <w:t xml:space="preserve">2.6.</w:t>
            </w:r>
            <w:r/>
          </w:p>
        </w:tc>
        <w:tc>
          <w:tcPr>
            <w:shd w:val="clear" w:color="auto" w:fill="auto"/>
            <w:tcW w:w="24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крышек колодцев, на которых выполнено регулирование высотного положения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</w:t>
            </w:r>
            <w:r>
              <w:t xml:space="preserve">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34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8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10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</w:pPr>
            <w:r>
              <w:t xml:space="preserve">2.7.</w:t>
            </w:r>
            <w:r/>
          </w:p>
        </w:tc>
        <w:tc>
          <w:tcPr>
            <w:shd w:val="clear" w:color="auto" w:fill="auto"/>
            <w:tcW w:w="24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отремонтированных мостовых сооружений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t xml:space="preserve">Отчет КУИ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</w:pPr>
            <w:r>
              <w:t xml:space="preserve">2.8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24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color w:val="000000"/>
                <w:spacing w:val="1"/>
              </w:rP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движения.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д</w:t>
            </w:r>
            <w:r>
              <w:t xml:space="preserve">а/</w:t>
            </w:r>
            <w:r/>
          </w:p>
          <w:p>
            <w:pPr>
              <w:jc w:val="center"/>
            </w:pPr>
            <w:r>
              <w:t xml:space="preserve">нет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</w:t>
            </w:r>
            <w:r>
              <w:t xml:space="preserve">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исполнителей программы</w:t>
            </w:r>
            <w:r/>
          </w:p>
        </w:tc>
      </w:tr>
      <w:tr>
        <w:tblPrEx/>
        <w:trPr/>
        <w:tc>
          <w:tcPr>
            <w:shd w:val="clear" w:color="auto" w:fill="auto"/>
            <w:tcW w:w="715" w:type="dxa"/>
            <w:textDirection w:val="lrTb"/>
            <w:noWrap w:val="false"/>
          </w:tcPr>
          <w:p>
            <w:pPr>
              <w:jc w:val="center"/>
            </w:pPr>
            <w:r>
              <w:t xml:space="preserve">2.9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240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Количество отремонтированных автобусных остановок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</w:t>
            </w:r>
            <w:r>
              <w:t xml:space="preserve">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</w:t>
            </w:r>
            <w:r>
              <w:t xml:space="preserve">е менее </w:t>
            </w:r>
            <w:r>
              <w:t xml:space="preserve">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исполнителей программы</w:t>
            </w:r>
            <w:r>
              <w:t xml:space="preserve">»;</w:t>
            </w:r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«Перечень мероприятий программы с объёмом финансирования» к Программе изложить в редакции согласно приложению</w:t>
      </w:r>
      <w:r>
        <w:rPr>
          <w:sz w:val="24"/>
          <w:szCs w:val="24"/>
        </w:rPr>
        <w:t xml:space="preserve"> № 1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 «Перечень мероприятий программы с показателями результативности выполнения мероприятий» к Программе изложить в редакции согласно приложению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rPr>
          <w:sz w:val="24"/>
          <w:szCs w:val="24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t xml:space="preserve">Жулидова Н.Ю., 5</w:t>
      </w:r>
      <w:r>
        <w:t xml:space="preserve">1291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  <w:lang w:eastAsia="en-US"/>
        </w:rPr>
        <w:t xml:space="preserve">Приложение № 1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09.12.2024 № 1983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к программе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мероприятий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4897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83"/>
        <w:gridCol w:w="4546"/>
        <w:gridCol w:w="1494"/>
        <w:gridCol w:w="1077"/>
        <w:gridCol w:w="308"/>
        <w:gridCol w:w="1035"/>
        <w:gridCol w:w="192"/>
        <w:gridCol w:w="1020"/>
        <w:gridCol w:w="198"/>
        <w:gridCol w:w="1009"/>
        <w:gridCol w:w="213"/>
        <w:gridCol w:w="1133"/>
        <w:gridCol w:w="115"/>
        <w:gridCol w:w="1766"/>
      </w:tblGrid>
      <w:tr>
        <w:tblPrEx/>
        <w:trPr>
          <w:trHeight w:val="780"/>
        </w:trPr>
        <w:tc>
          <w:tcPr>
            <w:shd w:val="clear" w:color="auto" w:fill="auto"/>
            <w:tcW w:w="2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№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8"/>
            <w:shd w:val="clear" w:color="auto" w:fill="auto"/>
            <w:tcW w:w="166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 «</w:t>
            </w:r>
            <w:r>
              <w:rPr>
                <w:b/>
                <w:sz w:val="22"/>
                <w:szCs w:val="22"/>
              </w:rPr>
              <w:t xml:space="preserve"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</w:t>
            </w:r>
            <w:r>
              <w:rPr>
                <w:b/>
                <w:bCs/>
                <w:sz w:val="22"/>
                <w:szCs w:val="22"/>
              </w:rPr>
              <w:t xml:space="preserve">ероприятие 1. Приведение в нормативное состояние сети автомобильных дорог общего пользования местного значения на территории Печенгского муниципального округа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«ДЭСП»;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202441,4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78755,3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62601,9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61084,2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202441,4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78755,3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62601,9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61084,2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«ДЭСП»;  МБУ «РЭС»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19035,2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5235,2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</w:rPr>
              <w:t xml:space="preserve">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19035,2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5235,2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</w:t>
            </w:r>
            <w:r>
              <w:rPr>
                <w:b/>
                <w:bCs/>
                <w:sz w:val="22"/>
                <w:szCs w:val="22"/>
              </w:rPr>
              <w:t xml:space="preserve">2</w:t>
            </w:r>
            <w:r>
              <w:rPr>
                <w:b/>
                <w:bCs/>
                <w:sz w:val="22"/>
                <w:szCs w:val="22"/>
              </w:rPr>
              <w:t xml:space="preserve">400,0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«ДЭСП»;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3416,4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3416,4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1116,4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«ДЭСП»;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747,9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247,9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747,9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ремонту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109488,9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40415,5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34536,7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34536,7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10457,6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2823,9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5816,0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1817,7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119946,5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43239,4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40352,7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36354,4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регулированию высотного положения крышек колодцев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957,5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657,5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957,5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657,5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</w:t>
            </w: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Капитальный ремонт мостовых сооружений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121158,6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121158,6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122382,4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122382,4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 за счет средств дорожного фонда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3149,3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3149,3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3315,1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3315,1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1.9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автобусных остановок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762,3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762,3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762,3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762,3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1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233796,8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164723,4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239207,9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90988,1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82517,9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65701,9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473004,7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255711,5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117054,6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100238,6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233796,8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164723,4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239207,9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90988,1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82517,9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65701,9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473004,7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255711,5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117054,6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100238,6</w:t>
            </w:r>
            <w:r>
              <w:rPr>
                <w:b/>
                <w:sz w:val="22"/>
                <w:szCs w:val="22"/>
              </w:rPr>
              <w:t xml:space="preserve">»;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sz w:val="18"/>
          <w:szCs w:val="18"/>
        </w:rPr>
        <w:t xml:space="preserve">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 № </w:t>
      </w:r>
      <w:r>
        <w:rPr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09.12.2024 № 1983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bookmarkStart w:id="0" w:name="_GoBack"/>
      <w:r/>
      <w:bookmarkEnd w:id="0"/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к программе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мероприятий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с показателями результативности выполнения мероприятий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4913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1276"/>
        <w:gridCol w:w="3402"/>
        <w:gridCol w:w="851"/>
        <w:gridCol w:w="1134"/>
        <w:gridCol w:w="1134"/>
        <w:gridCol w:w="1134"/>
        <w:gridCol w:w="1588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№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п/п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vMerge w:val="restart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Цели, мероприятия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Срок исполнения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Наименование показателя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Ед.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изм.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vMerge w:val="restart"/>
            <w:textDirection w:val="lrTb"/>
            <w:noWrap w:val="false"/>
          </w:tcPr>
          <w:p>
            <w:pPr>
              <w:pStyle w:val="946"/>
              <w:ind w:right="-24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Исполнитель, соисполнитель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vMerge w:val="continue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2024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2025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2026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vMerge w:val="continue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1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3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4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5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6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7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8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pStyle w:val="946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9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4913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 «</w:t>
            </w:r>
            <w:r>
              <w:rPr>
                <w:b/>
                <w:sz w:val="22"/>
                <w:szCs w:val="22"/>
              </w:rPr>
              <w:t xml:space="preserve"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4913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</w:t>
            </w:r>
            <w:r>
              <w:rPr>
                <w:b/>
                <w:bCs/>
                <w:sz w:val="22"/>
                <w:szCs w:val="22"/>
              </w:rPr>
              <w:t xml:space="preserve">ероприятие 1. Приведение в нормативное состояние сети автомобильных дорог общего пользования местного значения на территории Печенгского муниципального округа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Эксплуатационное содержание автомобильных дорог в соответствии с требованиями стандартов, норм и правил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                    МБУ «ДЭСП»;                     МБУ «РЭС»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карточному (ямочному) ремонту автомобильных дорог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проведенного ямочного ремонта, на участках автодорог, на которых отсутствует необходимость замены дорожного покрытия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кв. 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2060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</w:t>
            </w:r>
            <w:r>
              <w:t xml:space="preserve"> </w:t>
            </w:r>
            <w:r>
              <w:t xml:space="preserve">МБУ «ДЭСП»;</w:t>
            </w:r>
            <w:r>
              <w:t xml:space="preserve"> </w:t>
            </w:r>
            <w:r>
              <w:t xml:space="preserve">МБУ «РЭС»;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                    МБУ «ДЭСП»;                     МБУ «РЭС»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дорожно-уличной системы Печенгского муниципального округа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</w:t>
            </w:r>
            <w:r/>
          </w:p>
          <w:p>
            <w:pPr>
              <w:jc w:val="center"/>
            </w:pPr>
            <w:r>
              <w:t xml:space="preserve">МБУ «ДЭСП»;                 МБУ «РЭС»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ремонту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отремонтированных автомобильных дорог общего </w:t>
            </w:r>
            <w:r>
              <w:rPr>
                <w:sz w:val="22"/>
                <w:szCs w:val="22"/>
              </w:rPr>
              <w:t xml:space="preserve">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кв. 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7949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10000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10000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регулированию высотного положения крышек колодцев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2024-2026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крышек колодцев, на которых выполнено регулирование высотного положения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шт.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 менее </w:t>
            </w:r>
            <w:r>
              <w:rPr>
                <w:sz w:val="23"/>
                <w:szCs w:val="23"/>
              </w:rPr>
              <w:t xml:space="preserve">8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 менее 10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 менее 10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Капитальный ремонт мостовых сооружений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отремонтированных мостовых сооружений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 за счет средств дорожного фонда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автобусных остановок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отремонтированных автобусных остановок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8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«РЭС»</w:t>
            </w:r>
            <w:r>
              <w:t xml:space="preserve">;       МКУ «</w:t>
            </w:r>
            <w:r>
              <w:t xml:space="preserve">УБиР</w:t>
            </w:r>
            <w:r>
              <w:t xml:space="preserve">»».</w:t>
            </w:r>
            <w:r/>
          </w:p>
        </w:tc>
      </w:tr>
    </w:tbl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2474" w:right="395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993" w:right="820" w:bottom="426" w:left="1134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0"/>
        <w:jc w:val="lef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  <w:fldChar w:fldCharType="begin"/>
    </w:r>
    <w:r>
      <w:rPr>
        <w:rStyle w:val="934"/>
      </w:rPr>
      <w:instrText xml:space="preserve">PAGE  </w:instrText>
    </w:r>
    <w:r>
      <w:rPr>
        <w:rStyle w:val="934"/>
      </w:rPr>
      <w:fldChar w:fldCharType="end"/>
    </w: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9">
    <w:name w:val="Heading 1 Char"/>
    <w:basedOn w:val="921"/>
    <w:link w:val="919"/>
    <w:uiPriority w:val="9"/>
    <w:rPr>
      <w:rFonts w:ascii="Arial" w:hAnsi="Arial" w:eastAsia="Arial" w:cs="Arial"/>
      <w:sz w:val="40"/>
      <w:szCs w:val="40"/>
    </w:rPr>
  </w:style>
  <w:style w:type="character" w:styleId="750">
    <w:name w:val="Heading 2 Char"/>
    <w:basedOn w:val="921"/>
    <w:link w:val="920"/>
    <w:uiPriority w:val="9"/>
    <w:rPr>
      <w:rFonts w:ascii="Arial" w:hAnsi="Arial" w:eastAsia="Arial" w:cs="Arial"/>
      <w:sz w:val="34"/>
    </w:rPr>
  </w:style>
  <w:style w:type="paragraph" w:styleId="751">
    <w:name w:val="Heading 3"/>
    <w:basedOn w:val="918"/>
    <w:next w:val="918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2">
    <w:name w:val="Heading 3 Char"/>
    <w:basedOn w:val="921"/>
    <w:link w:val="751"/>
    <w:uiPriority w:val="9"/>
    <w:rPr>
      <w:rFonts w:ascii="Arial" w:hAnsi="Arial" w:eastAsia="Arial" w:cs="Arial"/>
      <w:sz w:val="30"/>
      <w:szCs w:val="30"/>
    </w:rPr>
  </w:style>
  <w:style w:type="paragraph" w:styleId="753">
    <w:name w:val="Heading 4"/>
    <w:basedOn w:val="918"/>
    <w:next w:val="918"/>
    <w:link w:val="75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4">
    <w:name w:val="Heading 4 Char"/>
    <w:basedOn w:val="921"/>
    <w:link w:val="753"/>
    <w:uiPriority w:val="9"/>
    <w:rPr>
      <w:rFonts w:ascii="Arial" w:hAnsi="Arial" w:eastAsia="Arial" w:cs="Arial"/>
      <w:b/>
      <w:bCs/>
      <w:sz w:val="26"/>
      <w:szCs w:val="26"/>
    </w:rPr>
  </w:style>
  <w:style w:type="paragraph" w:styleId="755">
    <w:name w:val="Heading 5"/>
    <w:basedOn w:val="918"/>
    <w:next w:val="918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6">
    <w:name w:val="Heading 5 Char"/>
    <w:basedOn w:val="921"/>
    <w:link w:val="755"/>
    <w:uiPriority w:val="9"/>
    <w:rPr>
      <w:rFonts w:ascii="Arial" w:hAnsi="Arial" w:eastAsia="Arial" w:cs="Arial"/>
      <w:b/>
      <w:bCs/>
      <w:sz w:val="24"/>
      <w:szCs w:val="24"/>
    </w:rPr>
  </w:style>
  <w:style w:type="paragraph" w:styleId="757">
    <w:name w:val="Heading 6"/>
    <w:basedOn w:val="918"/>
    <w:next w:val="918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8">
    <w:name w:val="Heading 6 Char"/>
    <w:basedOn w:val="921"/>
    <w:link w:val="757"/>
    <w:uiPriority w:val="9"/>
    <w:rPr>
      <w:rFonts w:ascii="Arial" w:hAnsi="Arial" w:eastAsia="Arial" w:cs="Arial"/>
      <w:b/>
      <w:bCs/>
      <w:sz w:val="22"/>
      <w:szCs w:val="22"/>
    </w:rPr>
  </w:style>
  <w:style w:type="paragraph" w:styleId="759">
    <w:name w:val="Heading 7"/>
    <w:basedOn w:val="918"/>
    <w:next w:val="918"/>
    <w:link w:val="76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0">
    <w:name w:val="Heading 7 Char"/>
    <w:basedOn w:val="921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1">
    <w:name w:val="Heading 8"/>
    <w:basedOn w:val="918"/>
    <w:next w:val="918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2">
    <w:name w:val="Heading 8 Char"/>
    <w:basedOn w:val="921"/>
    <w:link w:val="761"/>
    <w:uiPriority w:val="9"/>
    <w:rPr>
      <w:rFonts w:ascii="Arial" w:hAnsi="Arial" w:eastAsia="Arial" w:cs="Arial"/>
      <w:i/>
      <w:iCs/>
      <w:sz w:val="22"/>
      <w:szCs w:val="22"/>
    </w:rPr>
  </w:style>
  <w:style w:type="paragraph" w:styleId="763">
    <w:name w:val="Heading 9"/>
    <w:basedOn w:val="918"/>
    <w:next w:val="918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4">
    <w:name w:val="Heading 9 Char"/>
    <w:basedOn w:val="921"/>
    <w:link w:val="763"/>
    <w:uiPriority w:val="9"/>
    <w:rPr>
      <w:rFonts w:ascii="Arial" w:hAnsi="Arial" w:eastAsia="Arial" w:cs="Arial"/>
      <w:i/>
      <w:iCs/>
      <w:sz w:val="21"/>
      <w:szCs w:val="21"/>
    </w:rPr>
  </w:style>
  <w:style w:type="character" w:styleId="765">
    <w:name w:val="Title Char"/>
    <w:basedOn w:val="921"/>
    <w:link w:val="950"/>
    <w:uiPriority w:val="10"/>
    <w:rPr>
      <w:sz w:val="48"/>
      <w:szCs w:val="48"/>
    </w:rPr>
  </w:style>
  <w:style w:type="paragraph" w:styleId="766">
    <w:name w:val="Subtitle"/>
    <w:basedOn w:val="918"/>
    <w:next w:val="918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>
    <w:name w:val="Subtitle Char"/>
    <w:basedOn w:val="921"/>
    <w:link w:val="766"/>
    <w:uiPriority w:val="11"/>
    <w:rPr>
      <w:sz w:val="24"/>
      <w:szCs w:val="24"/>
    </w:rPr>
  </w:style>
  <w:style w:type="paragraph" w:styleId="768">
    <w:name w:val="Quote"/>
    <w:basedOn w:val="918"/>
    <w:next w:val="918"/>
    <w:link w:val="769"/>
    <w:uiPriority w:val="29"/>
    <w:qFormat/>
    <w:pPr>
      <w:ind w:left="720" w:right="720"/>
    </w:pPr>
    <w:rPr>
      <w:i/>
    </w:rPr>
  </w:style>
  <w:style w:type="character" w:styleId="769">
    <w:name w:val="Quote Char"/>
    <w:link w:val="768"/>
    <w:uiPriority w:val="29"/>
    <w:rPr>
      <w:i/>
    </w:rPr>
  </w:style>
  <w:style w:type="paragraph" w:styleId="770">
    <w:name w:val="Intense Quote"/>
    <w:basedOn w:val="918"/>
    <w:next w:val="918"/>
    <w:link w:val="7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>
    <w:name w:val="Intense Quote Char"/>
    <w:link w:val="770"/>
    <w:uiPriority w:val="30"/>
    <w:rPr>
      <w:i/>
    </w:rPr>
  </w:style>
  <w:style w:type="character" w:styleId="772">
    <w:name w:val="Header Char"/>
    <w:basedOn w:val="921"/>
    <w:link w:val="935"/>
    <w:uiPriority w:val="99"/>
  </w:style>
  <w:style w:type="character" w:styleId="773">
    <w:name w:val="Footer Char"/>
    <w:basedOn w:val="921"/>
    <w:link w:val="932"/>
    <w:uiPriority w:val="99"/>
  </w:style>
  <w:style w:type="paragraph" w:styleId="774">
    <w:name w:val="Caption"/>
    <w:basedOn w:val="918"/>
    <w:next w:val="9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5">
    <w:name w:val="Caption Char"/>
    <w:basedOn w:val="774"/>
    <w:link w:val="932"/>
    <w:uiPriority w:val="99"/>
  </w:style>
  <w:style w:type="table" w:styleId="776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5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7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9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0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7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8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9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0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1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2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3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4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9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0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1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2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3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4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5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7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8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0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2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3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4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5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6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7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8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9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0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9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0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1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2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3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4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5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6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7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8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9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0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1">
    <w:name w:val="footnote text"/>
    <w:basedOn w:val="918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>
    <w:name w:val="Footnote Text Char"/>
    <w:link w:val="901"/>
    <w:uiPriority w:val="99"/>
    <w:rPr>
      <w:sz w:val="18"/>
    </w:rPr>
  </w:style>
  <w:style w:type="character" w:styleId="903">
    <w:name w:val="footnote reference"/>
    <w:basedOn w:val="921"/>
    <w:uiPriority w:val="99"/>
    <w:unhideWhenUsed/>
    <w:rPr>
      <w:vertAlign w:val="superscript"/>
    </w:rPr>
  </w:style>
  <w:style w:type="paragraph" w:styleId="904">
    <w:name w:val="endnote text"/>
    <w:basedOn w:val="918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>
    <w:name w:val="Endnote Text Char"/>
    <w:link w:val="904"/>
    <w:uiPriority w:val="99"/>
    <w:rPr>
      <w:sz w:val="20"/>
    </w:rPr>
  </w:style>
  <w:style w:type="character" w:styleId="906">
    <w:name w:val="endnote reference"/>
    <w:basedOn w:val="921"/>
    <w:uiPriority w:val="99"/>
    <w:semiHidden/>
    <w:unhideWhenUsed/>
    <w:rPr>
      <w:vertAlign w:val="superscript"/>
    </w:rPr>
  </w:style>
  <w:style w:type="paragraph" w:styleId="907">
    <w:name w:val="toc 1"/>
    <w:basedOn w:val="918"/>
    <w:next w:val="918"/>
    <w:uiPriority w:val="39"/>
    <w:unhideWhenUsed/>
    <w:pPr>
      <w:ind w:left="0" w:right="0" w:firstLine="0"/>
      <w:spacing w:after="57"/>
    </w:pPr>
  </w:style>
  <w:style w:type="paragraph" w:styleId="908">
    <w:name w:val="toc 2"/>
    <w:basedOn w:val="918"/>
    <w:next w:val="918"/>
    <w:uiPriority w:val="39"/>
    <w:unhideWhenUsed/>
    <w:pPr>
      <w:ind w:left="283" w:right="0" w:firstLine="0"/>
      <w:spacing w:after="57"/>
    </w:pPr>
  </w:style>
  <w:style w:type="paragraph" w:styleId="909">
    <w:name w:val="toc 3"/>
    <w:basedOn w:val="918"/>
    <w:next w:val="918"/>
    <w:uiPriority w:val="39"/>
    <w:unhideWhenUsed/>
    <w:pPr>
      <w:ind w:left="567" w:right="0" w:firstLine="0"/>
      <w:spacing w:after="57"/>
    </w:pPr>
  </w:style>
  <w:style w:type="paragraph" w:styleId="910">
    <w:name w:val="toc 4"/>
    <w:basedOn w:val="918"/>
    <w:next w:val="918"/>
    <w:uiPriority w:val="39"/>
    <w:unhideWhenUsed/>
    <w:pPr>
      <w:ind w:left="850" w:right="0" w:firstLine="0"/>
      <w:spacing w:after="57"/>
    </w:pPr>
  </w:style>
  <w:style w:type="paragraph" w:styleId="911">
    <w:name w:val="toc 5"/>
    <w:basedOn w:val="918"/>
    <w:next w:val="918"/>
    <w:uiPriority w:val="39"/>
    <w:unhideWhenUsed/>
    <w:pPr>
      <w:ind w:left="1134" w:right="0" w:firstLine="0"/>
      <w:spacing w:after="57"/>
    </w:pPr>
  </w:style>
  <w:style w:type="paragraph" w:styleId="912">
    <w:name w:val="toc 6"/>
    <w:basedOn w:val="918"/>
    <w:next w:val="918"/>
    <w:uiPriority w:val="39"/>
    <w:unhideWhenUsed/>
    <w:pPr>
      <w:ind w:left="1417" w:right="0" w:firstLine="0"/>
      <w:spacing w:after="57"/>
    </w:pPr>
  </w:style>
  <w:style w:type="paragraph" w:styleId="913">
    <w:name w:val="toc 7"/>
    <w:basedOn w:val="918"/>
    <w:next w:val="918"/>
    <w:uiPriority w:val="39"/>
    <w:unhideWhenUsed/>
    <w:pPr>
      <w:ind w:left="1701" w:right="0" w:firstLine="0"/>
      <w:spacing w:after="57"/>
    </w:pPr>
  </w:style>
  <w:style w:type="paragraph" w:styleId="914">
    <w:name w:val="toc 8"/>
    <w:basedOn w:val="918"/>
    <w:next w:val="918"/>
    <w:uiPriority w:val="39"/>
    <w:unhideWhenUsed/>
    <w:pPr>
      <w:ind w:left="1984" w:right="0" w:firstLine="0"/>
      <w:spacing w:after="57"/>
    </w:pPr>
  </w:style>
  <w:style w:type="paragraph" w:styleId="915">
    <w:name w:val="toc 9"/>
    <w:basedOn w:val="918"/>
    <w:next w:val="918"/>
    <w:uiPriority w:val="39"/>
    <w:unhideWhenUsed/>
    <w:pPr>
      <w:ind w:left="2268" w:right="0" w:firstLine="0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918"/>
    <w:next w:val="918"/>
    <w:uiPriority w:val="99"/>
    <w:unhideWhenUsed/>
    <w:pPr>
      <w:spacing w:after="0" w:afterAutospacing="0"/>
    </w:pPr>
  </w:style>
  <w:style w:type="paragraph" w:styleId="918" w:default="1">
    <w:name w:val="Normal"/>
    <w:qFormat/>
  </w:style>
  <w:style w:type="paragraph" w:styleId="919">
    <w:name w:val="Heading 1"/>
    <w:basedOn w:val="918"/>
    <w:next w:val="918"/>
    <w:qFormat/>
    <w:pPr>
      <w:jc w:val="center"/>
      <w:keepNext/>
      <w:outlineLvl w:val="0"/>
    </w:pPr>
    <w:rPr>
      <w:sz w:val="24"/>
    </w:rPr>
  </w:style>
  <w:style w:type="paragraph" w:styleId="920">
    <w:name w:val="Heading 2"/>
    <w:basedOn w:val="918"/>
    <w:next w:val="918"/>
    <w:link w:val="930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paragraph" w:styleId="924">
    <w:name w:val="Body Text"/>
    <w:basedOn w:val="918"/>
    <w:pPr>
      <w:jc w:val="both"/>
    </w:pPr>
    <w:rPr>
      <w:sz w:val="24"/>
      <w:szCs w:val="24"/>
    </w:rPr>
  </w:style>
  <w:style w:type="paragraph" w:styleId="925">
    <w:name w:val="Body Text Indent"/>
    <w:basedOn w:val="918"/>
    <w:link w:val="949"/>
    <w:uiPriority w:val="99"/>
    <w:pPr>
      <w:ind w:left="283"/>
      <w:spacing w:after="120"/>
    </w:pPr>
  </w:style>
  <w:style w:type="paragraph" w:styleId="926">
    <w:name w:val="Body Text 2"/>
    <w:basedOn w:val="91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7">
    <w:name w:val="Body Text Indent 2"/>
    <w:basedOn w:val="918"/>
    <w:link w:val="957"/>
    <w:pPr>
      <w:ind w:firstLine="709"/>
      <w:jc w:val="both"/>
    </w:pPr>
    <w:rPr>
      <w:bCs/>
      <w:sz w:val="26"/>
      <w:szCs w:val="26"/>
    </w:rPr>
  </w:style>
  <w:style w:type="paragraph" w:styleId="928">
    <w:name w:val="Body Text Indent 3"/>
    <w:basedOn w:val="91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9" w:customStyle="1">
    <w:name w:val="Знак Знак2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0" w:customStyle="1">
    <w:name w:val="Заголовок 2 Знак"/>
    <w:link w:val="920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2">
    <w:name w:val="Footer"/>
    <w:basedOn w:val="918"/>
    <w:link w:val="933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3" w:customStyle="1">
    <w:name w:val="Нижний колонтитул Знак"/>
    <w:link w:val="932"/>
    <w:uiPriority w:val="99"/>
    <w:rPr>
      <w:rFonts w:ascii="Arial" w:hAnsi="Arial" w:cs="Arial"/>
    </w:rPr>
  </w:style>
  <w:style w:type="character" w:styleId="934">
    <w:name w:val="page number"/>
    <w:uiPriority w:val="99"/>
  </w:style>
  <w:style w:type="paragraph" w:styleId="935">
    <w:name w:val="Header"/>
    <w:basedOn w:val="918"/>
    <w:link w:val="936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6" w:customStyle="1">
    <w:name w:val="Верхний колонтитул Знак"/>
    <w:link w:val="935"/>
    <w:uiPriority w:val="99"/>
    <w:rPr>
      <w:rFonts w:ascii="Arial" w:hAnsi="Arial" w:cs="Arial"/>
    </w:rPr>
  </w:style>
  <w:style w:type="paragraph" w:styleId="937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8">
    <w:name w:val="Table Grid"/>
    <w:basedOn w:val="92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>
    <w:name w:val="Balloon Text"/>
    <w:basedOn w:val="918"/>
    <w:link w:val="940"/>
    <w:uiPriority w:val="99"/>
    <w:rPr>
      <w:rFonts w:ascii="Arial" w:hAnsi="Arial" w:cs="Arial"/>
      <w:sz w:val="16"/>
      <w:szCs w:val="16"/>
    </w:rPr>
  </w:style>
  <w:style w:type="character" w:styleId="940" w:customStyle="1">
    <w:name w:val="Текст выноски Знак"/>
    <w:link w:val="939"/>
    <w:uiPriority w:val="99"/>
    <w:rPr>
      <w:rFonts w:ascii="Arial" w:hAnsi="Arial" w:cs="Arial"/>
      <w:sz w:val="16"/>
      <w:szCs w:val="16"/>
    </w:rPr>
  </w:style>
  <w:style w:type="paragraph" w:styleId="941">
    <w:name w:val="List Paragraph"/>
    <w:basedOn w:val="918"/>
    <w:link w:val="942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2" w:customStyle="1">
    <w:name w:val="Абзац списка Знак"/>
    <w:link w:val="941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43" w:customStyle="1">
    <w:name w:val="Абзац списка1"/>
    <w:basedOn w:val="918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4">
    <w:name w:val="Hyperlink"/>
    <w:rPr>
      <w:color w:val="0000ff"/>
      <w:u w:val="single"/>
    </w:rPr>
  </w:style>
  <w:style w:type="paragraph" w:styleId="945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6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7">
    <w:name w:val="Body Text 3"/>
    <w:basedOn w:val="918"/>
    <w:link w:val="948"/>
    <w:uiPriority w:val="99"/>
    <w:pPr>
      <w:spacing w:after="120"/>
    </w:pPr>
    <w:rPr>
      <w:sz w:val="16"/>
      <w:szCs w:val="16"/>
    </w:rPr>
  </w:style>
  <w:style w:type="character" w:styleId="948" w:customStyle="1">
    <w:name w:val="Основной текст 3 Знак"/>
    <w:basedOn w:val="921"/>
    <w:link w:val="947"/>
    <w:uiPriority w:val="99"/>
    <w:rPr>
      <w:sz w:val="16"/>
      <w:szCs w:val="16"/>
    </w:rPr>
  </w:style>
  <w:style w:type="character" w:styleId="949" w:customStyle="1">
    <w:name w:val="Основной текст с отступом Знак"/>
    <w:link w:val="925"/>
    <w:uiPriority w:val="99"/>
  </w:style>
  <w:style w:type="paragraph" w:styleId="950">
    <w:name w:val="Title"/>
    <w:basedOn w:val="918"/>
    <w:link w:val="951"/>
    <w:uiPriority w:val="99"/>
    <w:qFormat/>
    <w:pPr>
      <w:jc w:val="center"/>
    </w:pPr>
    <w:rPr>
      <w:caps/>
      <w:sz w:val="24"/>
      <w:szCs w:val="24"/>
    </w:rPr>
  </w:style>
  <w:style w:type="character" w:styleId="951" w:customStyle="1">
    <w:name w:val="Название Знак"/>
    <w:basedOn w:val="921"/>
    <w:link w:val="950"/>
    <w:uiPriority w:val="99"/>
    <w:rPr>
      <w:caps/>
      <w:sz w:val="24"/>
      <w:szCs w:val="24"/>
    </w:rPr>
  </w:style>
  <w:style w:type="paragraph" w:styleId="952" w:customStyle="1">
    <w:name w:val="Знак1"/>
    <w:basedOn w:val="918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5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4" w:customStyle="1">
    <w:name w:val="Знак Знак Знак Знак Знак Знак Знак Знак Знак Знак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5">
    <w:name w:val="Emphasis"/>
    <w:qFormat/>
    <w:rPr>
      <w:i/>
      <w:iCs/>
    </w:rPr>
  </w:style>
  <w:style w:type="table" w:styleId="956" w:customStyle="1">
    <w:name w:val="Сетка таблицы1"/>
    <w:basedOn w:val="922"/>
    <w:next w:val="93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7" w:customStyle="1">
    <w:name w:val="Основной текст с отступом 2 Знак"/>
    <w:link w:val="927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4E528-75F9-4F41-A481-648ACCCED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7</cp:revision>
  <dcterms:created xsi:type="dcterms:W3CDTF">2024-12-16T11:20:00Z</dcterms:created>
  <dcterms:modified xsi:type="dcterms:W3CDTF">2024-12-24T07:29:55Z</dcterms:modified>
</cp:coreProperties>
</file>