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20.12.2024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№ 2093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</w:pPr>
      <w:r>
        <w:rPr>
          <w:b/>
          <w:bCs/>
          <w:iCs/>
        </w:rPr>
        <w:t xml:space="preserve">Об </w:t>
      </w:r>
      <w:r>
        <w:rPr>
          <w:b/>
          <w:bCs/>
          <w:iCs/>
        </w:rPr>
        <w:t xml:space="preserve">утверждении </w:t>
      </w:r>
      <w:r>
        <w:rPr>
          <w:b/>
        </w:rPr>
        <w:t xml:space="preserve">Программы профилактики рисков причинения вреда (ущерба) </w:t>
      </w:r>
      <w:r>
        <w:rPr>
          <w:b/>
        </w:rPr>
        <w:br/>
      </w:r>
      <w:r>
        <w:rPr>
          <w:b/>
        </w:rPr>
        <w:t xml:space="preserve">охраняемым законом ценностям по муниципальному</w:t>
      </w:r>
      <w:r>
        <w:rPr>
          <w:b/>
        </w:rPr>
        <w:t xml:space="preserve"> </w:t>
      </w:r>
      <w:r>
        <w:rPr>
          <w:b/>
        </w:rPr>
        <w:t xml:space="preserve"> контролю </w:t>
      </w:r>
      <w:r>
        <w:rPr>
          <w:b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b/>
        </w:rPr>
        <w:br/>
      </w:r>
      <w:r>
        <w:rPr>
          <w:b/>
        </w:rPr>
        <w:t xml:space="preserve">в границах Печенгского муниципального округа на </w:t>
      </w:r>
      <w:r>
        <w:rPr>
          <w:b/>
        </w:rPr>
        <w:t xml:space="preserve">2025</w:t>
      </w:r>
      <w:r>
        <w:rPr>
          <w:b/>
        </w:rPr>
        <w:t xml:space="preserve"> год</w:t>
      </w:r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Федеральн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прилагаемую П</w:t>
      </w:r>
      <w:r>
        <w:rPr>
          <w:sz w:val="24"/>
          <w:szCs w:val="24"/>
        </w:rPr>
        <w:t xml:space="preserve">рограмму профилактики </w:t>
      </w:r>
      <w:r>
        <w:rPr>
          <w:sz w:val="24"/>
          <w:szCs w:val="24"/>
        </w:rPr>
        <w:t xml:space="preserve">рисков причи</w:t>
      </w:r>
      <w:r>
        <w:rPr>
          <w:sz w:val="24"/>
          <w:szCs w:val="24"/>
        </w:rPr>
        <w:t xml:space="preserve">нения вреда (ущерба) охраняемым законом ценностям по муниципальному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контролю</w:t>
      </w:r>
      <w:r>
        <w:rPr>
          <w:sz w:val="24"/>
          <w:szCs w:val="24"/>
        </w:rPr>
        <w:t xml:space="preserve"> на автомобильном транспорте, городском наземном электрическом транспорте и в дорожном хозяйстве в границах Печенгского муниципального округа на </w:t>
      </w:r>
      <w:r>
        <w:rPr>
          <w:sz w:val="24"/>
          <w:szCs w:val="24"/>
        </w:rPr>
        <w:t xml:space="preserve">2025</w:t>
      </w:r>
      <w:r>
        <w:rPr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0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 xml:space="preserve">после его</w:t>
      </w:r>
      <w:r>
        <w:rPr>
          <w:color w:val="auto"/>
          <w:sz w:val="24"/>
          <w:szCs w:val="24"/>
        </w:rPr>
        <w:t xml:space="preserve">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0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постановление </w:t>
      </w:r>
      <w:r>
        <w:rPr>
          <w:color w:val="auto"/>
          <w:sz w:val="24"/>
          <w:szCs w:val="24"/>
        </w:rPr>
        <w:t xml:space="preserve">подлежит </w:t>
      </w:r>
      <w:r>
        <w:rPr>
          <w:color w:val="auto"/>
          <w:sz w:val="24"/>
          <w:szCs w:val="24"/>
        </w:rPr>
        <w:t xml:space="preserve">разме</w:t>
      </w:r>
      <w:r>
        <w:rPr>
          <w:color w:val="auto"/>
          <w:sz w:val="24"/>
          <w:szCs w:val="24"/>
        </w:rPr>
        <w:t xml:space="preserve">щению</w:t>
      </w:r>
      <w:r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официальном </w:t>
      </w:r>
      <w:r>
        <w:rPr>
          <w:color w:val="auto"/>
          <w:sz w:val="24"/>
          <w:szCs w:val="24"/>
        </w:rPr>
        <w:t xml:space="preserve">сайте Печенгского муниципального округа </w:t>
      </w:r>
      <w:hyperlink r:id="rId11" w:tooltip="http://pechengamr.gov-murman.ru/" w:history="1">
        <w:r>
          <w:rPr>
            <w:rStyle w:val="851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rStyle w:val="851"/>
          <w:color w:val="auto"/>
          <w:sz w:val="24"/>
          <w:szCs w:val="24"/>
          <w:u w:val="none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исп. Жулидова Н.Ю., 5-12-91</w:t>
      </w:r>
      <w:r>
        <w:rPr>
          <w:sz w:val="24"/>
          <w:szCs w:val="24"/>
        </w:rPr>
      </w:r>
      <w:r/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от 20.12.2024 </w:t>
      </w:r>
      <w:r>
        <w:rPr>
          <w:sz w:val="24"/>
          <w:szCs w:val="24"/>
        </w:rPr>
        <w:t xml:space="preserve">№ 2093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pacing w:line="10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ind w:left="432" w:hanging="432"/>
        <w:jc w:val="center"/>
        <w:keepLines w:val="0"/>
        <w:spacing w:before="0"/>
        <w:tabs>
          <w:tab w:val="num" w:pos="0" w:leader="none"/>
        </w:tabs>
        <w:rPr>
          <w:rFonts w:eastAsia="Calibri"/>
          <w:bCs w:val="0"/>
          <w:color w:val="auto"/>
          <w:sz w:val="24"/>
          <w:szCs w:val="24"/>
        </w:rPr>
      </w:pPr>
      <w:r>
        <w:rPr>
          <w:rFonts w:eastAsia="Calibri"/>
          <w:bCs w:val="0"/>
          <w:color w:val="auto"/>
          <w:sz w:val="24"/>
          <w:szCs w:val="24"/>
        </w:rPr>
      </w:r>
      <w:r>
        <w:rPr>
          <w:rFonts w:eastAsia="Calibri"/>
          <w:bCs w:val="0"/>
          <w:color w:val="auto"/>
          <w:sz w:val="24"/>
          <w:szCs w:val="24"/>
        </w:rPr>
      </w:r>
      <w:r>
        <w:rPr>
          <w:rFonts w:eastAsia="Calibri"/>
          <w:bCs w:val="0"/>
          <w:color w:val="auto"/>
          <w:sz w:val="24"/>
          <w:szCs w:val="24"/>
        </w:rPr>
      </w:r>
    </w:p>
    <w:p>
      <w:pPr>
        <w:ind w:right="8"/>
        <w:jc w:val="center"/>
        <w:spacing w:line="269" w:lineRule="auto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ПРОГРАММА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ind w:right="8"/>
        <w:jc w:val="center"/>
        <w:spacing w:line="269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профилактики рисков причинения вреда (ущерба) охраняемым законом ценностям по муниципальному </w:t>
      </w:r>
      <w:r>
        <w:rPr>
          <w:sz w:val="24"/>
          <w:szCs w:val="24"/>
          <w:lang w:eastAsia="en-US"/>
        </w:rPr>
        <w:t xml:space="preserve">контролю на автомобильном транспорте, городском наземном электрическом транспорте и в дорожном хозяйстве в границах Печенгского муниципального округа на </w:t>
      </w:r>
      <w:r>
        <w:rPr>
          <w:sz w:val="24"/>
          <w:szCs w:val="24"/>
          <w:lang w:eastAsia="en-US"/>
        </w:rPr>
        <w:t xml:space="preserve">2025</w:t>
      </w:r>
      <w:r>
        <w:rPr>
          <w:sz w:val="24"/>
          <w:szCs w:val="24"/>
          <w:lang w:eastAsia="en-US"/>
        </w:rPr>
        <w:t xml:space="preserve"> год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15"/>
        <w:jc w:val="center"/>
        <w:spacing w:after="31" w:line="259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12" w:right="110" w:firstLine="596"/>
        <w:keepLines/>
        <w:keepNext/>
        <w:spacing w:after="13" w:line="248" w:lineRule="auto"/>
        <w:rPr>
          <w:b/>
          <w:sz w:val="24"/>
          <w:szCs w:val="24"/>
          <w:lang w:eastAsia="en-US"/>
        </w:rPr>
        <w:outlineLvl w:val="1"/>
      </w:pPr>
      <w:r>
        <w:rPr>
          <w:b/>
          <w:sz w:val="24"/>
          <w:szCs w:val="24"/>
          <w:lang w:val="en-US" w:eastAsia="en-US"/>
        </w:rPr>
        <w:t xml:space="preserve">I</w:t>
      </w:r>
      <w:r>
        <w:rPr>
          <w:b/>
          <w:sz w:val="24"/>
          <w:szCs w:val="24"/>
          <w:lang w:eastAsia="en-US"/>
        </w:rPr>
        <w:t xml:space="preserve">. Общие положения 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ind w:left="61"/>
        <w:jc w:val="center"/>
        <w:spacing w:line="259" w:lineRule="auto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в границах Печенгского муниципального округа на </w:t>
      </w:r>
      <w:r>
        <w:rPr>
          <w:sz w:val="24"/>
          <w:szCs w:val="24"/>
          <w:lang w:eastAsia="en-US"/>
        </w:rPr>
        <w:t xml:space="preserve">2025</w:t>
      </w:r>
      <w:r>
        <w:rPr>
          <w:sz w:val="24"/>
          <w:szCs w:val="24"/>
          <w:lang w:eastAsia="en-US"/>
        </w:rPr>
        <w:t xml:space="preserve"> год (далее – Программа профилактики рисков причинения вреда)</w:t>
      </w:r>
      <w:r>
        <w:rPr>
          <w:sz w:val="24"/>
          <w:szCs w:val="24"/>
          <w:lang w:eastAsia="en-US"/>
        </w:rPr>
        <w:t xml:space="preserve">, разработана на основании Федерального закона от 06.10.2003 № 131-ФЗ «Об общих принципах организации местного самоуправления в Российской Федерации», в соответствии с Федеральным законом от 31.07.2020 № 248-ФЗ «О государственном контроле (надзоре) и муниц</w:t>
      </w:r>
      <w:r>
        <w:rPr>
          <w:sz w:val="24"/>
          <w:szCs w:val="24"/>
          <w:lang w:eastAsia="en-US"/>
        </w:rPr>
        <w:t xml:space="preserve">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</w:t>
      </w:r>
      <w:r>
        <w:rPr>
          <w:sz w:val="24"/>
          <w:szCs w:val="24"/>
          <w:lang w:eastAsia="en-US"/>
        </w:rPr>
        <w:t xml:space="preserve">няемым законом ценностям», Уставом Печенгского муниципального округа</w:t>
      </w:r>
      <w:r>
        <w:rPr>
          <w:sz w:val="24"/>
          <w:szCs w:val="24"/>
          <w:lang w:eastAsia="en-US"/>
        </w:rPr>
        <w:t xml:space="preserve">, </w:t>
      </w:r>
      <w:r>
        <w:rPr>
          <w:sz w:val="24"/>
          <w:szCs w:val="24"/>
          <w:lang w:eastAsia="en-US"/>
        </w:rPr>
        <w:t xml:space="preserve">р</w:t>
      </w:r>
      <w:r>
        <w:rPr>
          <w:sz w:val="24"/>
          <w:szCs w:val="24"/>
          <w:lang w:eastAsia="en-US"/>
        </w:rPr>
        <w:t xml:space="preserve">ешением </w:t>
      </w:r>
      <w:r>
        <w:rPr>
          <w:sz w:val="24"/>
          <w:szCs w:val="24"/>
          <w:lang w:eastAsia="en-US"/>
        </w:rPr>
        <w:t xml:space="preserve">С</w:t>
      </w:r>
      <w:r>
        <w:rPr>
          <w:sz w:val="24"/>
          <w:szCs w:val="24"/>
          <w:lang w:eastAsia="en-US"/>
        </w:rPr>
        <w:t xml:space="preserve">овета</w:t>
      </w:r>
      <w:r>
        <w:rPr>
          <w:sz w:val="24"/>
          <w:szCs w:val="24"/>
          <w:lang w:eastAsia="en-US"/>
        </w:rPr>
        <w:t xml:space="preserve"> депутатов Печенгского муниципального округа Мурманской области № 260 от 24.12.2021 «</w:t>
      </w:r>
      <w:r>
        <w:rPr>
          <w:bCs/>
          <w:sz w:val="24"/>
          <w:szCs w:val="24"/>
          <w:lang w:eastAsia="en-US"/>
        </w:rPr>
        <w:t xml:space="preserve">Об утверждении Положения </w:t>
      </w:r>
      <w:r>
        <w:rPr>
          <w:sz w:val="24"/>
          <w:szCs w:val="24"/>
          <w:lang w:eastAsia="en-US"/>
        </w:rPr>
        <w:t xml:space="preserve">о муниципальном контроле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 автомобильном транспорте, городском наземном электрическом транспорте и в дорожном хозяйстве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границах Печенгского муниципального округа</w:t>
      </w:r>
      <w:r>
        <w:rPr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  <w:t xml:space="preserve"> (в редакции от 13.09.2024 № 491)</w:t>
      </w:r>
      <w:bookmarkStart w:id="0" w:name="_GoBack"/>
      <w:r/>
      <w:bookmarkEnd w:id="0"/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утверждается ежегодно и состоит из следующих разделов: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цели и задачи реализации программы профилактики рисков причинения вреда;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перечень профилактических мероприятий, сроки (периодичность) их проведения;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5"/>
        </w:numPr>
        <w:ind w:left="0" w:right="-1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показатели результативности и эффективности программы профилактики рисков причинения вреда.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Администрация Печенгского муниципального округа (далее – контрольный орган) при утверждении программы профилактики рисков причинения вреда </w:t>
      </w:r>
      <w:r>
        <w:rPr>
          <w:sz w:val="24"/>
          <w:szCs w:val="24"/>
          <w:lang w:eastAsia="en-US"/>
        </w:rPr>
        <w:t xml:space="preserve">учитывает категории риска, к которым отнесены объекты контроля, установленные положением о муниципальном контроле на автомобильном транспорте, городском наземном электрическом транспорте и в дорожном хозяйстве.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предусматривает ее общественное обсуждение.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rStyle w:val="851"/>
          <w:rFonts w:eastAsia="Calibri"/>
          <w:color w:val="auto"/>
          <w:sz w:val="24"/>
          <w:szCs w:val="24"/>
        </w:rPr>
      </w:pPr>
      <w:r>
        <w:rPr>
          <w:sz w:val="24"/>
          <w:szCs w:val="24"/>
        </w:rPr>
        <w:t xml:space="preserve">Утвержденная программа профилактики рисков причинения вреда размещается на сайте </w:t>
      </w:r>
      <w:r>
        <w:rPr>
          <w:color w:val="auto"/>
          <w:sz w:val="24"/>
          <w:szCs w:val="24"/>
        </w:rPr>
        <w:t xml:space="preserve">Печенгского муниципального округа </w:t>
      </w:r>
      <w:hyperlink r:id="rId12" w:tooltip="http://pechengamr.gov-murman.ru/" w:history="1">
        <w:r>
          <w:rPr>
            <w:rStyle w:val="851"/>
            <w:rFonts w:eastAsia="Calibri"/>
            <w:color w:val="auto"/>
            <w:sz w:val="24"/>
            <w:szCs w:val="24"/>
          </w:rPr>
          <w:t xml:space="preserve">http://pechengamr.gov-murman.ru/</w:t>
        </w:r>
      </w:hyperlink>
      <w:r>
        <w:rPr>
          <w:rStyle w:val="851"/>
          <w:rFonts w:eastAsia="Calibri"/>
          <w:color w:val="auto"/>
          <w:sz w:val="24"/>
          <w:szCs w:val="24"/>
        </w:rPr>
        <w:t xml:space="preserve">.</w:t>
      </w:r>
      <w:r>
        <w:rPr>
          <w:rStyle w:val="851"/>
          <w:rFonts w:eastAsia="Calibri"/>
          <w:color w:val="auto"/>
          <w:sz w:val="24"/>
          <w:szCs w:val="24"/>
        </w:rPr>
      </w:r>
      <w:r>
        <w:rPr>
          <w:rStyle w:val="851"/>
          <w:rFonts w:eastAsia="Calibri"/>
          <w:color w:val="auto"/>
          <w:sz w:val="24"/>
          <w:szCs w:val="24"/>
        </w:rPr>
      </w:r>
    </w:p>
    <w:p>
      <w:pPr>
        <w:ind w:left="-15" w:right="-9" w:firstLine="85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Профилактические </w:t>
      </w:r>
      <w:r>
        <w:rPr>
          <w:sz w:val="24"/>
          <w:szCs w:val="24"/>
          <w:lang w:eastAsia="en-US"/>
        </w:rPr>
        <w:tab/>
        <w:t xml:space="preserve">мероприятия, </w:t>
      </w:r>
      <w:r>
        <w:rPr>
          <w:sz w:val="24"/>
          <w:szCs w:val="24"/>
          <w:lang w:eastAsia="en-US"/>
        </w:rPr>
        <w:tab/>
        <w:t xml:space="preserve">предусмотренные программой профилактики рисков причинения вреда, обязательны для проведения контрольным органом.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Контрольный орган может проводить профилактические мероприятия, не предусмотренные программой профилактики рисков причинения вреда.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2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7" w:firstLine="851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val="en-US" w:eastAsia="en-US"/>
        </w:rPr>
        <w:t xml:space="preserve">II</w:t>
      </w:r>
      <w:r>
        <w:rPr>
          <w:b/>
          <w:sz w:val="24"/>
          <w:szCs w:val="24"/>
          <w:lang w:eastAsia="en-US"/>
        </w:rPr>
        <w:t xml:space="preserve">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2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7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осуществляется уполномоченными должностными лицами контрольного органа на осн</w:t>
      </w:r>
      <w:r>
        <w:rPr>
          <w:sz w:val="24"/>
          <w:szCs w:val="24"/>
          <w:lang w:eastAsia="en-US"/>
        </w:rPr>
        <w:t xml:space="preserve">овании Федерального закона от 06.10.2003 № 131-ФЗ «Об общих принципах организации местного самоуправления в Российской Федерации», Федерального закона от 08.11.2007 № 257-ФЗ «Об автомобильных дорогах и о дорожной деятельности в Российской Федерации и о вне</w:t>
      </w:r>
      <w:r>
        <w:rPr>
          <w:sz w:val="24"/>
          <w:szCs w:val="24"/>
          <w:lang w:eastAsia="en-US"/>
        </w:rPr>
        <w:t xml:space="preserve">сении изменений в отдельные законодательные акты Российской Федерации», Федерального закона от 31.07.2020 № 248-ФЗ «О государственном контроле (надзоре) и муниципальном контроле в Российской Федерации». Кроме этого, осуществляется во исполнение требований </w:t>
      </w:r>
      <w:r>
        <w:rPr>
          <w:sz w:val="24"/>
          <w:szCs w:val="24"/>
          <w:lang w:eastAsia="en-US"/>
        </w:rPr>
        <w:t xml:space="preserve">П</w:t>
      </w:r>
      <w:r>
        <w:rPr>
          <w:sz w:val="24"/>
          <w:szCs w:val="24"/>
          <w:lang w:eastAsia="en-US"/>
        </w:rPr>
        <w:t xml:space="preserve">остановления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</w:t>
      </w:r>
      <w:r>
        <w:rPr>
          <w:sz w:val="24"/>
          <w:szCs w:val="24"/>
          <w:lang w:eastAsia="en-US"/>
        </w:rPr>
        <w:t xml:space="preserve">ий обязательных требований, требований, установленных муниципальными правовыми актами»,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</w:t>
      </w:r>
      <w:r>
        <w:rPr>
          <w:sz w:val="24"/>
          <w:szCs w:val="24"/>
          <w:lang w:eastAsia="en-US"/>
        </w:rPr>
        <w:t xml:space="preserve">нарушениям обязательных требований, а так же требований установленных муниципальными правовыми актами.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7" w:firstLine="83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напр</w:t>
      </w:r>
      <w:r>
        <w:rPr>
          <w:sz w:val="24"/>
          <w:szCs w:val="24"/>
          <w:lang w:eastAsia="en-US"/>
        </w:rPr>
        <w:t xml:space="preserve">авлена на обеспечение состояния безопасности охраняемых законом ценностей, рост числа контролируемых лиц, самостоятельно и своевременно обеспечивающих исполнение обязательных требований. Как показывает практика, применение к контролируемым лицам мер ответс</w:t>
      </w:r>
      <w:r>
        <w:rPr>
          <w:sz w:val="24"/>
          <w:szCs w:val="24"/>
          <w:lang w:eastAsia="en-US"/>
        </w:rPr>
        <w:t xml:space="preserve">твенности в целях пресечения нарушения обязательных требований не приводит к снижению количества выявленных нарушений или увеличению в совокупности количества объектов контроля, обеспечивающих соблюдение обязательных требований и предпринимающих меры по не</w:t>
      </w:r>
      <w:r>
        <w:rPr>
          <w:sz w:val="24"/>
          <w:szCs w:val="24"/>
          <w:lang w:eastAsia="en-US"/>
        </w:rPr>
        <w:t xml:space="preserve">допущению нарушений обязательных требований, недопущению рисков причинения вреда охраняемым законом ценностям. Основной направленностью профилактической деятельности контрольного органа являются контролируемые лица, поведение которых свидетельствует об их </w:t>
      </w:r>
      <w:r>
        <w:rPr>
          <w:sz w:val="24"/>
          <w:szCs w:val="24"/>
          <w:lang w:eastAsia="en-US"/>
        </w:rPr>
        <w:t xml:space="preserve">стремлении к исполнению предъявляемым к ним обязательным требованиям, даже если они допускают их нарушение по причинам недостаточной информированности об обязательных требованиях, предъявляемых к объекту контроля. Целенаправленное содействие соблюдению обя</w:t>
      </w:r>
      <w:r>
        <w:rPr>
          <w:sz w:val="24"/>
          <w:szCs w:val="24"/>
          <w:lang w:eastAsia="en-US"/>
        </w:rPr>
        <w:t xml:space="preserve">зательных требований данной категории лиц способствует снижению рисков причинения вреда охраняемым законом ценностям.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50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val="en-US" w:eastAsia="en-US"/>
        </w:rPr>
        <w:t xml:space="preserve">III</w:t>
      </w:r>
      <w:r>
        <w:rPr>
          <w:b/>
          <w:sz w:val="24"/>
          <w:szCs w:val="24"/>
          <w:lang w:eastAsia="en-US"/>
        </w:rPr>
        <w:t xml:space="preserve">. Цели и задачи реализации программы профилактики рисков причинения вреда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0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Программа профилактики рисков причинения вреда направлена на достижение следующих основных целей: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6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стимулирование </w:t>
      </w:r>
      <w:r>
        <w:rPr>
          <w:sz w:val="24"/>
          <w:szCs w:val="24"/>
          <w:lang w:eastAsia="en-US"/>
        </w:rPr>
        <w:tab/>
        <w:t xml:space="preserve">добросовестного </w:t>
      </w:r>
      <w:r>
        <w:rPr>
          <w:sz w:val="24"/>
          <w:szCs w:val="24"/>
          <w:lang w:eastAsia="en-US"/>
        </w:rPr>
        <w:tab/>
        <w:t xml:space="preserve">соблюдения </w:t>
      </w:r>
      <w:r>
        <w:rPr>
          <w:sz w:val="24"/>
          <w:szCs w:val="24"/>
          <w:lang w:eastAsia="en-US"/>
        </w:rPr>
        <w:tab/>
        <w:t xml:space="preserve">обязательных требований всеми контролируемыми лицами;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6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6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создание условий для доведения обязательных требований до контролируемых лиц, повышение информированности о способах их соблюдения.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0" w:right="-1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Задачами программы рисков причинения вреда являются: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создание условий для исполнения контролируемыми лицами обязательных требований - меры, направленные на повышение уровня информирования контролируемых лиц и всех заинтересованных лиц, в том </w:t>
      </w:r>
      <w:r>
        <w:rPr>
          <w:sz w:val="24"/>
          <w:szCs w:val="24"/>
          <w:lang w:eastAsia="en-US"/>
        </w:rPr>
        <w:t xml:space="preserve">числе по широкому спектру вопросов соблюдения обязательных требований (включая разъяснение порядка применения требований, рекомендации по обеспечению правомерности</w:t>
      </w:r>
      <w:r>
        <w:rPr>
          <w:sz w:val="24"/>
          <w:szCs w:val="24"/>
          <w:lang w:eastAsia="en-US"/>
        </w:rPr>
        <w:t xml:space="preserve"> действий контролируемого лица, содействие в повышении квалификации контролируемых лиц), разъяснение порядка организации и проведения контрольных и профилактических мероприятий, прав и обязанностей контролируемых лиц и должностных лиц контрольного органа;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создание условий для общественного контроля;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left="-15" w:right="-1" w:firstLine="866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стимулирование контролируемых лиц к добросовестному поведению путем широкого освещения и предоставления информации о способах и примерах наиболее эффективных образцов соблюдения обязательных требований;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обеспечение информационной открытости контрольного органа, в том числе обеспечение размещения в установленном законодательством по</w:t>
      </w:r>
      <w:r>
        <w:rPr>
          <w:sz w:val="24"/>
          <w:szCs w:val="24"/>
          <w:lang w:eastAsia="en-US"/>
        </w:rPr>
        <w:t xml:space="preserve">рядке достаточной, достоверной и полной информации об обязательных требованиях, информации о процедурах досудебного (внесудебного) обжалования решений, действий (бездействия) должностных лиц контрольного органа, о проводимых профилактических мероприятиях;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учет при организации профилактических мероприятий, мероприятий по контролю, мнения контроли</w:t>
      </w:r>
      <w:r>
        <w:rPr>
          <w:sz w:val="24"/>
          <w:szCs w:val="24"/>
          <w:lang w:eastAsia="en-US"/>
        </w:rPr>
        <w:t xml:space="preserve">руемых лиц о порядке, полноте, эффективности проведения контрольных и профилактических мероприятий, достаточности и полноте работы по информированию об обязательных требованиях;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развитие </w:t>
      </w:r>
      <w:r>
        <w:rPr>
          <w:sz w:val="24"/>
          <w:szCs w:val="24"/>
          <w:lang w:eastAsia="en-US"/>
        </w:rPr>
        <w:tab/>
        <w:t xml:space="preserve">межведомственного </w:t>
      </w:r>
      <w:r>
        <w:rPr>
          <w:sz w:val="24"/>
          <w:szCs w:val="24"/>
          <w:lang w:eastAsia="en-US"/>
        </w:rPr>
        <w:tab/>
        <w:t xml:space="preserve">взаимодействия </w:t>
      </w:r>
      <w:r>
        <w:rPr>
          <w:sz w:val="24"/>
          <w:szCs w:val="24"/>
          <w:lang w:eastAsia="en-US"/>
        </w:rPr>
        <w:tab/>
        <w:t xml:space="preserve">по вопросам профилактики рисков причинения вреда охраняемым законом ценностям;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7"/>
        </w:numPr>
        <w:ind w:right="-1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дифференциация, адаптация, индивидуализация и периодический пересмотр применяемых профилактических мер с учетом состояния подконтрольной сферы, типизации объектов контроля, результатов комплексного анализа проблем соблюдения обязательных требований.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0"/>
        <w:spacing w:after="28" w:line="259" w:lineRule="auto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line="270" w:lineRule="auto"/>
        <w:tabs>
          <w:tab w:val="center" w:pos="1041" w:leader="none"/>
          <w:tab w:val="center" w:pos="2364" w:leader="none"/>
          <w:tab w:val="center" w:pos="4714" w:leader="none"/>
          <w:tab w:val="center" w:pos="7343" w:leader="none"/>
          <w:tab w:val="right" w:pos="9501" w:leader="none"/>
        </w:tabs>
        <w:rPr>
          <w:sz w:val="24"/>
          <w:szCs w:val="24"/>
          <w:lang w:eastAsia="en-US"/>
        </w:rPr>
      </w:pPr>
      <w:r>
        <w:rPr>
          <w:rFonts w:ascii="Calibri" w:hAnsi="Calibri" w:eastAsia="Calibri" w:cs="Calibri"/>
          <w:sz w:val="24"/>
          <w:szCs w:val="24"/>
          <w:lang w:eastAsia="en-US"/>
        </w:rPr>
        <w:tab/>
      </w:r>
      <w:r>
        <w:rPr>
          <w:b/>
          <w:sz w:val="24"/>
          <w:szCs w:val="24"/>
          <w:lang w:val="en-US" w:eastAsia="en-US"/>
        </w:rPr>
        <w:t xml:space="preserve">IV</w:t>
      </w:r>
      <w:r>
        <w:rPr>
          <w:b/>
          <w:sz w:val="24"/>
          <w:szCs w:val="24"/>
          <w:lang w:eastAsia="en-US"/>
        </w:rPr>
        <w:t xml:space="preserve">. </w:t>
      </w:r>
      <w:r>
        <w:rPr>
          <w:b/>
          <w:sz w:val="24"/>
          <w:szCs w:val="24"/>
          <w:lang w:eastAsia="en-US"/>
        </w:rPr>
        <w:tab/>
        <w:t xml:space="preserve">Перечень </w:t>
      </w:r>
      <w:r>
        <w:rPr>
          <w:b/>
          <w:sz w:val="24"/>
          <w:szCs w:val="24"/>
          <w:lang w:eastAsia="en-US"/>
        </w:rPr>
        <w:tab/>
        <w:t xml:space="preserve">профилактических </w:t>
      </w:r>
      <w:r>
        <w:rPr>
          <w:b/>
          <w:sz w:val="24"/>
          <w:szCs w:val="24"/>
          <w:lang w:eastAsia="en-US"/>
        </w:rPr>
        <w:tab/>
        <w:t xml:space="preserve">мероприятий, </w:t>
      </w:r>
      <w:r>
        <w:rPr>
          <w:b/>
          <w:sz w:val="24"/>
          <w:szCs w:val="24"/>
          <w:lang w:eastAsia="en-US"/>
        </w:rPr>
        <w:tab/>
        <w:t xml:space="preserve">сроки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5" w:hanging="10"/>
        <w:jc w:val="both"/>
        <w:spacing w:line="270" w:lineRule="auto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(периодичность) их проведения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contextualSpacing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72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3"/>
        <w:tblW w:w="0" w:type="auto"/>
        <w:tblLook w:val="04A0" w:firstRow="1" w:lastRow="0" w:firstColumn="1" w:lastColumn="0" w:noHBand="0" w:noVBand="1"/>
      </w:tblPr>
      <w:tblGrid>
        <w:gridCol w:w="1176"/>
        <w:gridCol w:w="2608"/>
        <w:gridCol w:w="2596"/>
        <w:gridCol w:w="3191"/>
      </w:tblGrid>
      <w:tr>
        <w:tblPrEx/>
        <w:trPr/>
        <w:tc>
          <w:tcPr>
            <w:tcW w:w="1206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36" w:type="dxa"/>
            <w:textDirection w:val="lrTb"/>
            <w:noWrap w:val="false"/>
          </w:tcPr>
          <w:p>
            <w:pPr>
              <w:contextualSpacing/>
              <w:ind w:left="-1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-126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2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исполнения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textDirection w:val="lrTb"/>
            <w:noWrap w:val="false"/>
          </w:tcPr>
          <w:p>
            <w:pPr>
              <w:contextualSpacing/>
              <w:ind w:left="-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Структурное подразделение, ответственное за реализацию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-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206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36" w:type="dxa"/>
            <w:textDirection w:val="lrTb"/>
            <w:noWrap w:val="false"/>
          </w:tcPr>
          <w:p>
            <w:pPr>
              <w:contextualSpacing/>
              <w:ind w:left="-126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Информирование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2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textDirection w:val="lrTb"/>
            <w:noWrap w:val="false"/>
          </w:tcPr>
          <w:p>
            <w:pPr>
              <w:contextualSpacing/>
              <w:ind w:left="-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-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206" w:type="dxa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36" w:type="dxa"/>
            <w:textDirection w:val="lrTb"/>
            <w:noWrap w:val="false"/>
          </w:tcPr>
          <w:p>
            <w:pPr>
              <w:contextualSpacing/>
              <w:ind w:left="-1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Объявление предостережений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-1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21" w:type="dxa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при наличии оснований, предусмотренных статьей 49 Федерального закона </w:t>
            </w:r>
            <w:r>
              <w:rPr>
                <w:sz w:val="24"/>
                <w:szCs w:val="24"/>
              </w:rPr>
              <w:t xml:space="preserve">от 31.07.2020 № 248ФЗ «О государственном контроле (надзоре) и муниципальном контроле в Российской Федерации»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textDirection w:val="lrTb"/>
            <w:noWrap w:val="false"/>
          </w:tcPr>
          <w:p>
            <w:pPr>
              <w:contextualSpacing/>
              <w:ind w:left="-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-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206" w:type="dxa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636" w:type="dxa"/>
            <w:textDirection w:val="lrTb"/>
            <w:noWrap w:val="false"/>
          </w:tcPr>
          <w:p>
            <w:pPr>
              <w:contextualSpacing/>
              <w:ind w:left="-126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Консультирование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621" w:type="dxa"/>
            <w:textDirection w:val="lrTb"/>
            <w:noWrap w:val="false"/>
          </w:tcPr>
          <w:p>
            <w:pPr>
              <w:contextualSpacing/>
              <w:ind w:left="-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мере обращения подконтрольных субъектов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7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textDirection w:val="lrTb"/>
            <w:noWrap w:val="false"/>
          </w:tcPr>
          <w:p>
            <w:pPr>
              <w:contextualSpacing/>
              <w:ind w:left="-143" w:firstLine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7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</w:tbl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Контрольный орган при осуществлении муниципального контроля может проводить следующие профилактические мероприятия: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8"/>
        </w:numPr>
        <w:ind w:right="902" w:firstLine="842"/>
        <w:jc w:val="both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информирование; </w:t>
      </w:r>
      <w:r>
        <w:rPr>
          <w:sz w:val="24"/>
          <w:szCs w:val="24"/>
          <w:lang w:val="en-US" w:eastAsia="en-US"/>
        </w:rPr>
      </w:r>
      <w:r>
        <w:rPr>
          <w:sz w:val="24"/>
          <w:szCs w:val="24"/>
          <w:lang w:val="en-US" w:eastAsia="en-US"/>
        </w:rPr>
      </w:r>
    </w:p>
    <w:p>
      <w:pPr>
        <w:numPr>
          <w:ilvl w:val="0"/>
          <w:numId w:val="8"/>
        </w:numPr>
        <w:ind w:right="902" w:firstLine="842"/>
        <w:jc w:val="both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объявление предостережения;</w:t>
      </w:r>
      <w:r>
        <w:rPr>
          <w:sz w:val="24"/>
          <w:szCs w:val="24"/>
          <w:lang w:val="en-US" w:eastAsia="en-US"/>
        </w:rPr>
      </w:r>
      <w:r>
        <w:rPr>
          <w:sz w:val="24"/>
          <w:szCs w:val="24"/>
          <w:lang w:val="en-US" w:eastAsia="en-US"/>
        </w:rPr>
      </w:r>
    </w:p>
    <w:p>
      <w:pPr>
        <w:numPr>
          <w:ilvl w:val="0"/>
          <w:numId w:val="8"/>
        </w:numPr>
        <w:ind w:right="902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val="en-US" w:eastAsia="en-US"/>
        </w:rPr>
        <w:t xml:space="preserve">консультирование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-9" w:firstLine="85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Контрольный орган при прове</w:t>
      </w:r>
      <w:r>
        <w:rPr>
          <w:sz w:val="24"/>
          <w:szCs w:val="24"/>
          <w:lang w:eastAsia="en-US"/>
        </w:rPr>
        <w:t xml:space="preserve">дении профилактических мероприятий осуществляет взаимодействие с гражданами, организациями только в случаях, установленных Федеральным законом от 31.07.2020 № 248-ФЗ «О государственном контроле (надзоре) и муниципальном контроле в Российской Федерации».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Должностными лицами, ответственным за реализацию профилактических мероприятий, являются должностные лица, уполномоченные осу</w:t>
      </w:r>
      <w:r>
        <w:rPr>
          <w:sz w:val="24"/>
          <w:szCs w:val="24"/>
          <w:lang w:eastAsia="en-US"/>
        </w:rPr>
        <w:t xml:space="preserve">ществлять муниципальный контроль, в должностные обязанности которого в соответствии с Положением о муниципальном контроле на автомобильном транспорте, городском наземном электрическом транспорте и в дорожном хозяйстве в границах Печенгского муниципального </w:t>
      </w:r>
      <w:r>
        <w:rPr>
          <w:sz w:val="24"/>
          <w:szCs w:val="24"/>
          <w:lang w:eastAsia="en-US"/>
        </w:rPr>
        <w:t xml:space="preserve">округа, </w:t>
      </w:r>
      <w:r>
        <w:rPr>
          <w:sz w:val="24"/>
          <w:szCs w:val="24"/>
          <w:lang w:eastAsia="en-US"/>
        </w:rPr>
        <w:t xml:space="preserve">должностной инструкцией входит осуществление полномочий по муниципальному контролю на автомобильном транспорте, городском наземном электрическом транспорте и в дорожном хозяйстве, проведению профилактических и контрольных мероприятий (далее – инспектор).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 осуществлении профилактических мероприятий инспектором может вестись аудио-, видеозапись, фотофиксация, в том числе с использованием видеорегистраторов, телефонов (смартфонов), видео и </w:t>
      </w:r>
      <w:r>
        <w:rPr>
          <w:sz w:val="24"/>
          <w:szCs w:val="24"/>
          <w:lang w:val="en-US" w:eastAsia="en-US"/>
        </w:rPr>
        <w:t xml:space="preserve">web</w:t>
      </w:r>
      <w:r>
        <w:rPr>
          <w:sz w:val="24"/>
          <w:szCs w:val="24"/>
          <w:lang w:eastAsia="en-US"/>
        </w:rPr>
        <w:t xml:space="preserve"> камер и т.п.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План профилактических мероприятий </w:t>
      </w:r>
      <w:r>
        <w:rPr>
          <w:sz w:val="24"/>
          <w:szCs w:val="24"/>
          <w:lang w:eastAsia="en-US"/>
        </w:rPr>
        <w:t xml:space="preserve">утверждается правовым актом администрации Печенгского муниципального округа.</w:t>
      </w:r>
      <w:r>
        <w:rPr>
          <w:sz w:val="24"/>
          <w:szCs w:val="24"/>
          <w:lang w:eastAsia="en-US"/>
        </w:rPr>
        <w:t xml:space="preserve">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2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-15" w:firstLine="852"/>
        <w:jc w:val="both"/>
        <w:spacing w:line="270" w:lineRule="auto"/>
        <w:rPr>
          <w:sz w:val="24"/>
          <w:szCs w:val="24"/>
          <w:lang w:eastAsia="en-US"/>
        </w:rPr>
      </w:pPr>
      <w:r>
        <w:rPr>
          <w:b/>
          <w:sz w:val="24"/>
          <w:szCs w:val="24"/>
          <w:lang w:val="en-US" w:eastAsia="en-US"/>
        </w:rPr>
        <w:t xml:space="preserve">V</w:t>
      </w:r>
      <w:r>
        <w:rPr>
          <w:b/>
          <w:sz w:val="24"/>
          <w:szCs w:val="24"/>
          <w:lang w:eastAsia="en-US"/>
        </w:rPr>
        <w:t xml:space="preserve">. Показатели результативности и эффективности программы профилактики рисков причинения вреда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852"/>
        <w:spacing w:line="259" w:lineRule="auto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W w:w="9494" w:type="dxa"/>
        <w:tblInd w:w="-108" w:type="dxa"/>
        <w:tblCellMar>
          <w:left w:w="106" w:type="dxa"/>
          <w:top w:w="9" w:type="dxa"/>
          <w:right w:w="39" w:type="dxa"/>
        </w:tblCellMar>
        <w:tblLook w:val="04A0" w:firstRow="1" w:lastRow="0" w:firstColumn="1" w:lastColumn="0" w:noHBand="0" w:noVBand="1"/>
      </w:tblPr>
      <w:tblGrid>
        <w:gridCol w:w="595"/>
        <w:gridCol w:w="5224"/>
        <w:gridCol w:w="3675"/>
      </w:tblGrid>
      <w:tr>
        <w:tblPrEx/>
        <w:trPr>
          <w:trHeight w:val="65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55"/>
              <w:jc w:val="center"/>
              <w:spacing w:after="17"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№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  <w:p>
            <w:pPr>
              <w:ind w:left="2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п/п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ind w:right="74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Наименование показателя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ind w:right="68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Значение показателя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</w:tr>
      <w:tr>
        <w:tblPrEx/>
        <w:trPr>
          <w:trHeight w:val="65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2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1.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Исполнение Плана профилактических мероприятий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ind w:right="66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100%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</w:tr>
      <w:tr>
        <w:tblPrEx/>
        <w:trPr>
          <w:trHeight w:val="97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2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2.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jc w:val="center"/>
              <w:spacing w:after="56" w:line="237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Повышение уровня информированности контролируемых лиц о способах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соблюдения обязательных требований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ind w:right="66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100%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</w:tr>
      <w:tr>
        <w:tblPrEx/>
        <w:trPr>
          <w:trHeight w:val="16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textDirection w:val="lrTb"/>
            <w:noWrap w:val="false"/>
          </w:tcPr>
          <w:p>
            <w:pPr>
              <w:ind w:left="2"/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3.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3" w:type="dxa"/>
            <w:textDirection w:val="lrTb"/>
            <w:noWrap w:val="false"/>
          </w:tcPr>
          <w:p>
            <w:pPr>
              <w:ind w:right="72"/>
              <w:jc w:val="center"/>
              <w:spacing w:after="53" w:line="237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Снижение доли контрольных мероприятий в общем количестве контрольных и профилактических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59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мероприятий</w:t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5" w:type="dxa"/>
            <w:textDirection w:val="lrTb"/>
            <w:noWrap w:val="false"/>
          </w:tcPr>
          <w:p>
            <w:pPr>
              <w:jc w:val="center"/>
              <w:spacing w:line="237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не более 40% контрольных мероприятий в общем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20" w:hanging="20"/>
              <w:jc w:val="center"/>
              <w:spacing w:line="259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количестве контрольных и профилактических мероприятий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after="200" w:line="276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2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3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30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7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5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52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9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6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3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844"/>
    <w:link w:val="841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844"/>
    <w:link w:val="842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0"/>
    <w:next w:val="840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4"/>
    <w:link w:val="672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844"/>
    <w:link w:val="84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4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4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4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4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4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4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4"/>
    <w:link w:val="865"/>
    <w:uiPriority w:val="99"/>
  </w:style>
  <w:style w:type="character" w:styleId="695">
    <w:name w:val="Footer Char"/>
    <w:basedOn w:val="844"/>
    <w:link w:val="867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67"/>
    <w:uiPriority w:val="99"/>
  </w:style>
  <w:style w:type="table" w:styleId="698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4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4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1">
    <w:name w:val="Heading 1"/>
    <w:basedOn w:val="840"/>
    <w:next w:val="840"/>
    <w:link w:val="857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2">
    <w:name w:val="Heading 2"/>
    <w:basedOn w:val="840"/>
    <w:next w:val="840"/>
    <w:link w:val="864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3">
    <w:name w:val="Heading 4"/>
    <w:basedOn w:val="840"/>
    <w:next w:val="840"/>
    <w:link w:val="847"/>
    <w:qFormat/>
    <w:pPr>
      <w:ind w:firstLine="709"/>
      <w:keepNext/>
      <w:outlineLvl w:val="3"/>
    </w:pPr>
    <w:rPr>
      <w:sz w:val="28"/>
    </w:rPr>
  </w:style>
  <w:style w:type="character" w:styleId="844" w:default="1">
    <w:name w:val="Default Paragraph Font"/>
    <w:uiPriority w:val="1"/>
    <w:semiHidden/>
    <w:unhideWhenUsed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character" w:styleId="847" w:customStyle="1">
    <w:name w:val="Заголовок 4 Знак"/>
    <w:basedOn w:val="844"/>
    <w:link w:val="84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8" w:customStyle="1">
    <w:name w:val="Знак Знак Знак Знак Знак Знак Знак Знак Знак Знак"/>
    <w:basedOn w:val="840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49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50">
    <w:name w:val="List Paragraph"/>
    <w:basedOn w:val="840"/>
    <w:link w:val="856"/>
    <w:qFormat/>
    <w:pPr>
      <w:contextualSpacing/>
      <w:ind w:left="720"/>
    </w:pPr>
  </w:style>
  <w:style w:type="character" w:styleId="851">
    <w:name w:val="Hyperlink"/>
    <w:basedOn w:val="844"/>
    <w:uiPriority w:val="99"/>
    <w:semiHidden/>
    <w:unhideWhenUsed/>
    <w:rPr>
      <w:color w:val="0000ff"/>
      <w:u w:val="single"/>
    </w:rPr>
  </w:style>
  <w:style w:type="paragraph" w:styleId="852">
    <w:name w:val="Balloon Text"/>
    <w:basedOn w:val="840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 w:customStyle="1">
    <w:name w:val="Текст выноски Знак"/>
    <w:basedOn w:val="844"/>
    <w:link w:val="852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54" w:customStyle="1">
    <w:name w:val="doccaption"/>
    <w:basedOn w:val="844"/>
  </w:style>
  <w:style w:type="character" w:styleId="855">
    <w:name w:val="Strong"/>
    <w:basedOn w:val="844"/>
    <w:uiPriority w:val="22"/>
    <w:qFormat/>
    <w:rPr>
      <w:b/>
      <w:bCs/>
    </w:rPr>
  </w:style>
  <w:style w:type="character" w:styleId="856" w:customStyle="1">
    <w:name w:val="Абзац списка Знак"/>
    <w:link w:val="850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57" w:customStyle="1">
    <w:name w:val="Заголовок 1 Знак"/>
    <w:basedOn w:val="844"/>
    <w:link w:val="84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8" w:customStyle="1">
    <w:name w:val="ConsPlusNormal"/>
    <w:link w:val="860"/>
    <w:pPr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ar-SA"/>
    </w:rPr>
  </w:style>
  <w:style w:type="character" w:styleId="859" w:customStyle="1">
    <w:name w:val="Основной текст (2) + 8;5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860" w:customStyle="1">
    <w:name w:val="ConsPlusNormal1"/>
    <w:link w:val="858"/>
    <w:rPr>
      <w:rFonts w:ascii="Times New Roman" w:hAnsi="Times New Roman" w:eastAsia="Calibri" w:cs="Times New Roman"/>
      <w:b/>
      <w:bCs/>
      <w:sz w:val="24"/>
      <w:szCs w:val="24"/>
      <w:lang w:eastAsia="ar-SA"/>
    </w:rPr>
  </w:style>
  <w:style w:type="paragraph" w:styleId="861">
    <w:name w:val="HTML Preformatted"/>
    <w:basedOn w:val="840"/>
    <w:link w:val="862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862" w:customStyle="1">
    <w:name w:val="Стандартный HTML Знак"/>
    <w:basedOn w:val="844"/>
    <w:link w:val="861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table" w:styleId="863">
    <w:name w:val="Table Grid"/>
    <w:basedOn w:val="84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4" w:customStyle="1">
    <w:name w:val="Заголовок 2 Знак"/>
    <w:basedOn w:val="844"/>
    <w:link w:val="84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paragraph" w:styleId="865">
    <w:name w:val="Header"/>
    <w:basedOn w:val="840"/>
    <w:link w:val="86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6" w:customStyle="1">
    <w:name w:val="Верхний колонтитул Знак"/>
    <w:basedOn w:val="844"/>
    <w:link w:val="865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7">
    <w:name w:val="Footer"/>
    <w:basedOn w:val="840"/>
    <w:link w:val="86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8" w:customStyle="1">
    <w:name w:val="Нижний колонтитул Знак"/>
    <w:basedOn w:val="844"/>
    <w:link w:val="86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8B636-80DF-49F7-A0E4-5886517A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2024-12-20T08:51:00Z</dcterms:created>
  <dcterms:modified xsi:type="dcterms:W3CDTF">2024-12-25T08:46:47Z</dcterms:modified>
</cp:coreProperties>
</file>