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t xml:space="preserve"> </w:t>
      </w:r>
      <w:r>
        <w:rPr>
          <w:sz w:val="24"/>
          <w:szCs w:val="24"/>
        </w:rPr>
      </w:r>
      <w:r>
        <w:rPr>
          <w:sz w:val="24"/>
          <w:szCs w:val="24"/>
        </w:rPr>
      </w:r>
    </w:p>
    <w:p>
      <w:pPr>
        <w:jc w:val="both"/>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 20.12.2024</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 xml:space="preserve"> № 2094 </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both"/>
        <w:widowControl w:val="off"/>
        <w:rPr>
          <w:b/>
          <w:sz w:val="24"/>
          <w:szCs w:val="24"/>
        </w:rPr>
      </w:pPr>
      <w:r>
        <w:rPr>
          <w:b/>
          <w:sz w:val="24"/>
          <w:szCs w:val="24"/>
        </w:rPr>
      </w:r>
      <w:r>
        <w:rPr>
          <w:b/>
          <w:sz w:val="24"/>
          <w:szCs w:val="24"/>
        </w:rPr>
      </w:r>
      <w:r>
        <w:rPr>
          <w:b/>
          <w:sz w:val="24"/>
          <w:szCs w:val="24"/>
        </w:rPr>
      </w:r>
    </w:p>
    <w:p>
      <w:pPr>
        <w:jc w:val="both"/>
        <w:widowControl w:val="off"/>
        <w:rPr>
          <w:b/>
          <w:sz w:val="24"/>
          <w:szCs w:val="24"/>
        </w:rPr>
      </w:pPr>
      <w:r>
        <w:rPr>
          <w:b/>
          <w:sz w:val="24"/>
          <w:szCs w:val="24"/>
        </w:rPr>
      </w:r>
      <w:r>
        <w:rPr>
          <w:b/>
          <w:sz w:val="24"/>
          <w:szCs w:val="24"/>
        </w:rPr>
      </w:r>
      <w:r>
        <w:rPr>
          <w:b/>
          <w:sz w:val="24"/>
          <w:szCs w:val="24"/>
        </w:rPr>
      </w:r>
    </w:p>
    <w:p>
      <w:pPr>
        <w:pStyle w:val="841"/>
        <w:jc w:val="center"/>
        <w:widowControl w:val="off"/>
        <w:rPr>
          <w:b/>
          <w:bCs/>
          <w:iCs/>
          <w:sz w:val="20"/>
        </w:rPr>
      </w:pPr>
      <w:r>
        <w:rPr>
          <w:b/>
          <w:bCs/>
          <w:iCs/>
          <w:sz w:val="20"/>
        </w:rPr>
        <w:t xml:space="preserve">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Печенгско</w:t>
      </w:r>
      <w:r>
        <w:rPr>
          <w:b/>
          <w:bCs/>
          <w:iCs/>
          <w:sz w:val="20"/>
        </w:rPr>
        <w:t xml:space="preserve">го муниципального округа на 2025</w:t>
      </w:r>
      <w:r>
        <w:rPr>
          <w:b/>
          <w:bCs/>
          <w:iCs/>
          <w:sz w:val="20"/>
        </w:rPr>
        <w:t xml:space="preserve"> год</w:t>
      </w:r>
      <w:r>
        <w:rPr>
          <w:b/>
          <w:bCs/>
          <w:iCs/>
          <w:sz w:val="20"/>
        </w:rPr>
      </w:r>
      <w:r>
        <w:rPr>
          <w:b/>
          <w:bCs/>
          <w:iCs/>
          <w:sz w:val="20"/>
        </w:rPr>
      </w:r>
    </w:p>
    <w:p>
      <w:r/>
      <w:r/>
    </w:p>
    <w:p>
      <w:pPr>
        <w:jc w:val="both"/>
        <w:widowControl w:val="off"/>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На основании Федеральн</w:t>
      </w:r>
      <w:r>
        <w:rPr>
          <w:sz w:val="24"/>
          <w:szCs w:val="24"/>
        </w:rPr>
        <w:t xml:space="preserve">ых</w:t>
      </w:r>
      <w:r>
        <w:rPr>
          <w:sz w:val="24"/>
          <w:szCs w:val="24"/>
        </w:rPr>
        <w:t xml:space="preserve"> закон</w:t>
      </w:r>
      <w:r>
        <w:rPr>
          <w:sz w:val="24"/>
          <w:szCs w:val="24"/>
        </w:rPr>
        <w:t xml:space="preserve">ов</w:t>
      </w:r>
      <w:r>
        <w:rPr>
          <w:sz w:val="24"/>
          <w:szCs w:val="24"/>
        </w:rPr>
        <w:t xml:space="preserve"> от 06.10.2003 № 131-ФЗ «Об общих принципах организации местного самоуправления в Российской Федерации», от 31.07.2020 № 248-ФЗ «О государственном контроле (надзоре) и муниципальном контроле в Российской Федерации», </w:t>
      </w:r>
      <w:r>
        <w:rPr>
          <w:sz w:val="24"/>
          <w:szCs w:val="24"/>
        </w:rPr>
        <w:t xml:space="preserve">п</w:t>
      </w:r>
      <w:r>
        <w:rPr>
          <w:sz w:val="24"/>
          <w:szCs w:val="24"/>
        </w:rPr>
        <w:t xml:space="preserve">остановлени</w:t>
      </w:r>
      <w:r>
        <w:rPr>
          <w:sz w:val="24"/>
          <w:szCs w:val="24"/>
        </w:rPr>
        <w:t xml:space="preserve">я</w:t>
      </w:r>
      <w:r>
        <w:rPr>
          <w:sz w:val="24"/>
          <w:szCs w:val="24"/>
        </w:rPr>
        <w:t xml:space="preserve"> Правительства Р</w:t>
      </w:r>
      <w:r>
        <w:rPr>
          <w:sz w:val="24"/>
          <w:szCs w:val="24"/>
        </w:rPr>
        <w:t xml:space="preserve">оссийской </w:t>
      </w:r>
      <w:r>
        <w:rPr>
          <w:sz w:val="24"/>
          <w:szCs w:val="24"/>
        </w:rPr>
        <w:t xml:space="preserve">Ф</w:t>
      </w:r>
      <w:r>
        <w:rPr>
          <w:sz w:val="24"/>
          <w:szCs w:val="24"/>
        </w:rPr>
        <w:t xml:space="preserve">едерации</w:t>
      </w:r>
      <w:r>
        <w:rPr>
          <w:sz w:val="24"/>
          <w:szCs w:val="24"/>
        </w:rPr>
        <w:t xml:space="preserve">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r>
        <w:rPr>
          <w:sz w:val="24"/>
          <w:szCs w:val="24"/>
        </w:rPr>
      </w:r>
      <w:r>
        <w:rPr>
          <w:sz w:val="24"/>
          <w:szCs w:val="24"/>
        </w:rPr>
      </w:r>
    </w:p>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w:rPr>
          <w:b/>
          <w:sz w:val="24"/>
          <w:szCs w:val="24"/>
        </w:rPr>
        <w:t xml:space="preserve">ПОСТАНОВЛЯЮ:</w:t>
      </w:r>
      <w:r>
        <w:rPr>
          <w:b/>
          <w:sz w:val="24"/>
          <w:szCs w:val="24"/>
        </w:rPr>
      </w:r>
      <w:r>
        <w:rPr>
          <w:b/>
          <w:sz w:val="24"/>
          <w:szCs w:val="24"/>
        </w:rPr>
      </w:r>
    </w:p>
    <w:p>
      <w:pPr>
        <w:jc w:val="both"/>
        <w:widowControl w:val="off"/>
        <w:rPr>
          <w:sz w:val="24"/>
          <w:szCs w:val="24"/>
        </w:rPr>
      </w:pPr>
      <w:r>
        <w:rPr>
          <w:sz w:val="24"/>
          <w:szCs w:val="24"/>
        </w:rPr>
      </w:r>
      <w:r>
        <w:rPr>
          <w:sz w:val="24"/>
          <w:szCs w:val="24"/>
        </w:rPr>
      </w:r>
      <w:r>
        <w:rPr>
          <w:sz w:val="24"/>
          <w:szCs w:val="24"/>
        </w:rPr>
      </w:r>
    </w:p>
    <w:p>
      <w:pPr>
        <w:pStyle w:val="848"/>
        <w:numPr>
          <w:ilvl w:val="0"/>
          <w:numId w:val="1"/>
        </w:numPr>
        <w:ind w:left="0" w:firstLine="709"/>
        <w:jc w:val="both"/>
        <w:tabs>
          <w:tab w:val="left" w:pos="993" w:leader="none"/>
        </w:tabs>
        <w:rPr>
          <w:bCs/>
          <w:iCs/>
          <w:sz w:val="24"/>
          <w:szCs w:val="24"/>
        </w:rPr>
      </w:pPr>
      <w:r>
        <w:rPr>
          <w:sz w:val="24"/>
          <w:szCs w:val="24"/>
        </w:rPr>
        <w:t xml:space="preserve"> </w:t>
      </w:r>
      <w:r>
        <w:rPr>
          <w:sz w:val="24"/>
          <w:szCs w:val="24"/>
        </w:rPr>
        <w:t xml:space="preserve">Утвердить прилагаемую П</w:t>
      </w:r>
      <w:r>
        <w:rPr>
          <w:sz w:val="24"/>
          <w:szCs w:val="24"/>
        </w:rPr>
        <w:t xml:space="preserve">рограмму профилактики </w:t>
      </w:r>
      <w:r>
        <w:rPr>
          <w:sz w:val="24"/>
          <w:szCs w:val="24"/>
        </w:rPr>
        <w:t xml:space="preserve">рисков причи</w:t>
      </w:r>
      <w:r>
        <w:rPr>
          <w:sz w:val="24"/>
          <w:szCs w:val="24"/>
        </w:rPr>
        <w:t xml:space="preserve">нения вреда (ущерба) охраняемым </w:t>
      </w:r>
      <w:r>
        <w:rPr>
          <w:bCs/>
          <w:iCs/>
          <w:sz w:val="24"/>
          <w:szCs w:val="24"/>
        </w:rPr>
        <w:t xml:space="preserve">законом ценностям при осуществлении муниципального контроля в сфере благоустройства на территории Печенгско</w:t>
      </w:r>
      <w:r>
        <w:rPr>
          <w:bCs/>
          <w:iCs/>
          <w:sz w:val="24"/>
          <w:szCs w:val="24"/>
        </w:rPr>
        <w:t xml:space="preserve">го муниципального округа на 2025</w:t>
      </w:r>
      <w:r>
        <w:rPr>
          <w:bCs/>
          <w:iCs/>
          <w:sz w:val="24"/>
          <w:szCs w:val="24"/>
        </w:rPr>
        <w:t xml:space="preserve"> год</w:t>
      </w:r>
      <w:r>
        <w:rPr>
          <w:bCs/>
          <w:iCs/>
          <w:sz w:val="24"/>
          <w:szCs w:val="24"/>
        </w:rPr>
      </w:r>
      <w:r>
        <w:rPr>
          <w:bCs/>
          <w:iCs/>
          <w:sz w:val="24"/>
          <w:szCs w:val="24"/>
        </w:rPr>
      </w:r>
    </w:p>
    <w:p>
      <w:pPr>
        <w:pStyle w:val="848"/>
        <w:numPr>
          <w:ilvl w:val="0"/>
          <w:numId w:val="1"/>
        </w:numPr>
        <w:ind w:left="0" w:firstLine="709"/>
        <w:jc w:val="both"/>
        <w:widowControl w:val="off"/>
        <w:tabs>
          <w:tab w:val="left" w:pos="993" w:leader="none"/>
        </w:tabs>
        <w:rPr>
          <w:color w:val="auto"/>
          <w:sz w:val="24"/>
          <w:szCs w:val="24"/>
        </w:rPr>
      </w:pPr>
      <w:r>
        <w:rPr>
          <w:color w:val="auto"/>
          <w:sz w:val="24"/>
          <w:szCs w:val="24"/>
        </w:rPr>
        <w:t xml:space="preserve"> </w:t>
      </w:r>
      <w:r>
        <w:rPr>
          <w:color w:val="auto"/>
          <w:sz w:val="24"/>
          <w:szCs w:val="24"/>
        </w:rPr>
        <w:t xml:space="preserve">Настоящее п</w:t>
      </w:r>
      <w:r>
        <w:rPr>
          <w:color w:val="auto"/>
          <w:sz w:val="24"/>
          <w:szCs w:val="24"/>
        </w:rPr>
        <w:t xml:space="preserve">остановление вступает в силу </w:t>
      </w:r>
      <w:r>
        <w:rPr>
          <w:color w:val="auto"/>
          <w:sz w:val="24"/>
          <w:szCs w:val="24"/>
        </w:rPr>
        <w:t xml:space="preserve">после его </w:t>
      </w:r>
      <w:r>
        <w:rPr>
          <w:color w:val="auto"/>
          <w:sz w:val="24"/>
          <w:szCs w:val="24"/>
        </w:rPr>
        <w:t xml:space="preserve"> подписания.</w:t>
      </w:r>
      <w:r>
        <w:rPr>
          <w:color w:val="auto"/>
          <w:sz w:val="24"/>
          <w:szCs w:val="24"/>
        </w:rPr>
      </w:r>
      <w:r>
        <w:rPr>
          <w:color w:val="auto"/>
          <w:sz w:val="24"/>
          <w:szCs w:val="24"/>
        </w:rPr>
      </w:r>
    </w:p>
    <w:p>
      <w:pPr>
        <w:pStyle w:val="848"/>
        <w:numPr>
          <w:ilvl w:val="0"/>
          <w:numId w:val="1"/>
        </w:numPr>
        <w:ind w:left="0" w:firstLine="709"/>
        <w:jc w:val="both"/>
        <w:widowControl w:val="off"/>
        <w:tabs>
          <w:tab w:val="left" w:pos="993" w:leader="none"/>
        </w:tabs>
        <w:rPr>
          <w:color w:val="auto"/>
          <w:sz w:val="24"/>
          <w:szCs w:val="24"/>
        </w:rPr>
      </w:pPr>
      <w:r>
        <w:rPr>
          <w:color w:val="auto"/>
          <w:sz w:val="24"/>
          <w:szCs w:val="24"/>
        </w:rPr>
        <w:t xml:space="preserve"> </w:t>
      </w:r>
      <w:r>
        <w:rPr>
          <w:color w:val="auto"/>
          <w:sz w:val="24"/>
          <w:szCs w:val="24"/>
        </w:rPr>
        <w:t xml:space="preserve">Н</w:t>
      </w:r>
      <w:r>
        <w:rPr>
          <w:color w:val="auto"/>
          <w:sz w:val="24"/>
          <w:szCs w:val="24"/>
        </w:rPr>
        <w:t xml:space="preserve">астоящее постановление</w:t>
      </w:r>
      <w:r>
        <w:rPr>
          <w:color w:val="auto"/>
          <w:sz w:val="24"/>
          <w:szCs w:val="24"/>
        </w:rPr>
        <w:t xml:space="preserve"> </w:t>
      </w:r>
      <w:r>
        <w:rPr>
          <w:color w:val="auto"/>
          <w:sz w:val="24"/>
          <w:szCs w:val="24"/>
        </w:rPr>
        <w:t xml:space="preserve">подлежит </w:t>
      </w:r>
      <w:r>
        <w:rPr>
          <w:color w:val="auto"/>
          <w:sz w:val="24"/>
          <w:szCs w:val="24"/>
        </w:rPr>
        <w:t xml:space="preserve">разме</w:t>
      </w:r>
      <w:r>
        <w:rPr>
          <w:color w:val="auto"/>
          <w:sz w:val="24"/>
          <w:szCs w:val="24"/>
        </w:rPr>
        <w:t xml:space="preserve">щению</w:t>
      </w:r>
      <w:r>
        <w:rPr>
          <w:color w:val="auto"/>
          <w:sz w:val="24"/>
          <w:szCs w:val="24"/>
        </w:rPr>
        <w:t xml:space="preserve"> на </w:t>
      </w:r>
      <w:r>
        <w:rPr>
          <w:color w:val="auto"/>
          <w:sz w:val="24"/>
          <w:szCs w:val="24"/>
        </w:rPr>
        <w:t xml:space="preserve">официальном </w:t>
      </w:r>
      <w:r>
        <w:rPr>
          <w:color w:val="auto"/>
          <w:sz w:val="24"/>
          <w:szCs w:val="24"/>
        </w:rPr>
        <w:t xml:space="preserve">сайте Печенгского муниципального округа </w:t>
      </w:r>
      <w:hyperlink r:id="rId11" w:tooltip="http://pechengamr.gov-murman.ru/" w:history="1">
        <w:r>
          <w:rPr>
            <w:rStyle w:val="849"/>
            <w:color w:val="auto"/>
            <w:sz w:val="24"/>
            <w:szCs w:val="24"/>
            <w:u w:val="none"/>
          </w:rPr>
          <w:t xml:space="preserve">http://pechengamr.gov-murman.ru/</w:t>
        </w:r>
      </w:hyperlink>
      <w:r>
        <w:rPr>
          <w:rStyle w:val="849"/>
          <w:color w:val="auto"/>
          <w:sz w:val="24"/>
          <w:szCs w:val="24"/>
          <w:u w:val="none"/>
        </w:rPr>
        <w:t xml:space="preserve">.</w:t>
      </w:r>
      <w:r>
        <w:rPr>
          <w:color w:val="auto"/>
          <w:sz w:val="24"/>
          <w:szCs w:val="24"/>
        </w:rPr>
      </w:r>
      <w:r>
        <w:rPr>
          <w:color w:val="auto"/>
          <w:sz w:val="24"/>
          <w:szCs w:val="24"/>
        </w:rPr>
      </w:r>
    </w:p>
    <w:p>
      <w:pPr>
        <w:jc w:val="both"/>
        <w:widowControl w:val="off"/>
        <w:rPr>
          <w:b/>
          <w:sz w:val="24"/>
          <w:szCs w:val="24"/>
        </w:rPr>
      </w:pPr>
      <w:r>
        <w:rPr>
          <w:b/>
          <w:sz w:val="24"/>
          <w:szCs w:val="24"/>
        </w:rPr>
      </w:r>
      <w:r>
        <w:rPr>
          <w:b/>
          <w:sz w:val="24"/>
          <w:szCs w:val="24"/>
        </w:rPr>
      </w:r>
      <w:r>
        <w:rPr>
          <w:b/>
          <w:sz w:val="24"/>
          <w:szCs w:val="24"/>
        </w:rPr>
      </w:r>
    </w:p>
    <w:p>
      <w:pPr>
        <w:jc w:val="both"/>
        <w:widowControl w:val="off"/>
        <w:rPr>
          <w:b/>
          <w:sz w:val="24"/>
          <w:szCs w:val="24"/>
        </w:rPr>
      </w:pPr>
      <w:r>
        <w:rPr>
          <w:b/>
          <w:sz w:val="24"/>
          <w:szCs w:val="24"/>
        </w:rPr>
      </w:r>
      <w:r>
        <w:rPr>
          <w:b/>
          <w:sz w:val="24"/>
          <w:szCs w:val="24"/>
        </w:rPr>
      </w:r>
      <w:r>
        <w:rPr>
          <w:b/>
          <w:sz w:val="24"/>
          <w:szCs w:val="24"/>
        </w:rPr>
      </w:r>
    </w:p>
    <w:p>
      <w:pPr>
        <w:jc w:val="both"/>
        <w:widowControl w:val="off"/>
        <w:rPr>
          <w:sz w:val="24"/>
          <w:szCs w:val="24"/>
        </w:rPr>
      </w:pPr>
      <w:r>
        <w:rPr>
          <w:sz w:val="24"/>
          <w:szCs w:val="24"/>
        </w:rPr>
        <w:t xml:space="preserve">Глава</w:t>
      </w:r>
      <w:r>
        <w:rPr>
          <w:sz w:val="24"/>
          <w:szCs w:val="24"/>
        </w:rPr>
        <w:t xml:space="preserve"> Печенгского муниципального округа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А.В. Кузнецов</w:t>
      </w:r>
      <w:r>
        <w:rPr>
          <w:sz w:val="24"/>
          <w:szCs w:val="24"/>
        </w:rPr>
      </w:r>
      <w:r>
        <w:rPr>
          <w:sz w:val="24"/>
          <w:szCs w:val="24"/>
        </w:rPr>
      </w:r>
    </w:p>
    <w:p>
      <w:pPr>
        <w:widowControl w:val="off"/>
        <w:rPr>
          <w:b/>
        </w:rPr>
      </w:pPr>
      <w:r>
        <w:rPr>
          <w:b/>
        </w:rPr>
      </w:r>
      <w:r>
        <w:rPr>
          <w:b/>
        </w:rPr>
      </w:r>
      <w:r>
        <w:rPr>
          <w:b/>
        </w:rP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Pr>
          <w:highlight w:val="none"/>
        </w:rPr>
      </w:r>
      <w:r>
        <w:rPr>
          <w:highlight w:val="none"/>
        </w:rPr>
      </w:r>
      <w:r/>
    </w:p>
    <w:p>
      <w:pPr>
        <w:widowControl w:val="off"/>
        <w:rPr>
          <w:highlight w:val="none"/>
        </w:rPr>
      </w:pPr>
      <w:r>
        <w:t xml:space="preserve">исп. Жулидова Н.Ю., 5-12-91</w:t>
      </w:r>
      <w:r>
        <w:rPr>
          <w:highlight w:val="none"/>
        </w:rPr>
      </w:r>
    </w:p>
    <w:p>
      <w:pPr>
        <w:ind w:left="5529"/>
        <w:jc w:val="both"/>
        <w:spacing w:line="100" w:lineRule="atLeast"/>
      </w:pPr>
      <w:r/>
      <w:r/>
    </w:p>
    <w:p>
      <w:pPr>
        <w:ind w:left="5529"/>
        <w:jc w:val="both"/>
        <w:spacing w:line="100" w:lineRule="atLeast"/>
        <w:rPr>
          <w:sz w:val="24"/>
          <w:szCs w:val="24"/>
        </w:rPr>
      </w:pPr>
      <w:r>
        <w:rPr>
          <w:sz w:val="24"/>
          <w:szCs w:val="24"/>
        </w:rPr>
        <w:t xml:space="preserve">Приложение</w:t>
      </w:r>
      <w:r>
        <w:rPr>
          <w:sz w:val="24"/>
          <w:szCs w:val="24"/>
        </w:rPr>
      </w:r>
      <w:r>
        <w:rPr>
          <w:sz w:val="24"/>
          <w:szCs w:val="24"/>
        </w:rPr>
      </w:r>
    </w:p>
    <w:p>
      <w:pPr>
        <w:ind w:left="5529"/>
        <w:jc w:val="both"/>
        <w:spacing w:line="100" w:lineRule="atLeast"/>
        <w:rPr>
          <w:sz w:val="24"/>
          <w:szCs w:val="24"/>
        </w:rPr>
      </w:pPr>
      <w:r>
        <w:rPr>
          <w:sz w:val="24"/>
          <w:szCs w:val="24"/>
        </w:rPr>
        <w:t xml:space="preserve">к </w:t>
      </w:r>
      <w:r>
        <w:rPr>
          <w:sz w:val="24"/>
          <w:szCs w:val="24"/>
        </w:rPr>
        <w:t xml:space="preserve">постановлени</w:t>
      </w:r>
      <w:r>
        <w:rPr>
          <w:sz w:val="24"/>
          <w:szCs w:val="24"/>
        </w:rPr>
        <w:t xml:space="preserve">ю</w:t>
      </w:r>
      <w:r>
        <w:rPr>
          <w:sz w:val="24"/>
          <w:szCs w:val="24"/>
        </w:rPr>
        <w:t xml:space="preserve"> администрации</w:t>
      </w:r>
      <w:r>
        <w:rPr>
          <w:sz w:val="24"/>
          <w:szCs w:val="24"/>
        </w:rPr>
        <w:t xml:space="preserve"> </w:t>
      </w:r>
      <w:r>
        <w:rPr>
          <w:sz w:val="24"/>
          <w:szCs w:val="24"/>
        </w:rPr>
        <w:t xml:space="preserve">Печенгского муниципального округа</w:t>
      </w:r>
      <w:r>
        <w:rPr>
          <w:sz w:val="24"/>
          <w:szCs w:val="24"/>
        </w:rPr>
      </w:r>
      <w:r>
        <w:rPr>
          <w:sz w:val="24"/>
          <w:szCs w:val="24"/>
        </w:rPr>
      </w:r>
    </w:p>
    <w:p>
      <w:pPr>
        <w:ind w:left="5529"/>
        <w:jc w:val="both"/>
        <w:spacing w:line="100" w:lineRule="atLeast"/>
        <w:rPr>
          <w:sz w:val="24"/>
          <w:szCs w:val="24"/>
        </w:rPr>
      </w:pPr>
      <w:r>
        <w:rPr>
          <w:sz w:val="24"/>
          <w:szCs w:val="24"/>
        </w:rPr>
        <w:t xml:space="preserve">от 20.12.2024 </w:t>
      </w:r>
      <w:r>
        <w:rPr>
          <w:sz w:val="24"/>
          <w:szCs w:val="24"/>
        </w:rPr>
        <w:t xml:space="preserve">№ 2094 </w:t>
      </w:r>
      <w:r>
        <w:rPr>
          <w:sz w:val="24"/>
          <w:szCs w:val="24"/>
        </w:rPr>
      </w:r>
      <w:r>
        <w:rPr>
          <w:sz w:val="24"/>
          <w:szCs w:val="24"/>
        </w:rPr>
      </w:r>
    </w:p>
    <w:p>
      <w:pPr>
        <w:jc w:val="both"/>
        <w:spacing w:line="100" w:lineRule="atLeast"/>
        <w:rPr>
          <w:sz w:val="24"/>
          <w:szCs w:val="24"/>
        </w:rPr>
      </w:pPr>
      <w:r>
        <w:rPr>
          <w:sz w:val="24"/>
          <w:szCs w:val="24"/>
        </w:rPr>
      </w:r>
      <w:r>
        <w:rPr>
          <w:sz w:val="24"/>
          <w:szCs w:val="24"/>
        </w:rPr>
      </w:r>
      <w:r>
        <w:rPr>
          <w:sz w:val="24"/>
          <w:szCs w:val="24"/>
        </w:rPr>
      </w:r>
    </w:p>
    <w:p>
      <w:pPr>
        <w:pStyle w:val="840"/>
        <w:ind w:left="432" w:hanging="432"/>
        <w:jc w:val="both"/>
        <w:keepLines w:val="0"/>
        <w:spacing w:before="0"/>
        <w:tabs>
          <w:tab w:val="num" w:pos="0" w:leader="none"/>
        </w:tabs>
        <w:rPr>
          <w:rFonts w:eastAsia="Calibri"/>
          <w:bCs w:val="0"/>
          <w:color w:val="auto"/>
          <w:sz w:val="24"/>
          <w:szCs w:val="24"/>
        </w:rPr>
      </w:pPr>
      <w:r>
        <w:rPr>
          <w:rFonts w:eastAsia="Calibri"/>
          <w:bCs w:val="0"/>
          <w:color w:val="auto"/>
          <w:sz w:val="24"/>
          <w:szCs w:val="24"/>
        </w:rPr>
      </w:r>
      <w:r>
        <w:rPr>
          <w:rFonts w:eastAsia="Calibri"/>
          <w:bCs w:val="0"/>
          <w:color w:val="auto"/>
          <w:sz w:val="24"/>
          <w:szCs w:val="24"/>
        </w:rPr>
      </w:r>
      <w:r>
        <w:rPr>
          <w:rFonts w:eastAsia="Calibri"/>
          <w:bCs w:val="0"/>
          <w:color w:val="auto"/>
          <w:sz w:val="24"/>
          <w:szCs w:val="24"/>
        </w:rPr>
      </w:r>
    </w:p>
    <w:p>
      <w:pPr>
        <w:jc w:val="center"/>
        <w:widowControl w:val="off"/>
        <w:rPr>
          <w:rFonts w:eastAsia="Calibri"/>
          <w:b/>
          <w:color w:val="auto"/>
          <w:sz w:val="24"/>
          <w:szCs w:val="24"/>
        </w:rPr>
      </w:pPr>
      <w:r>
        <w:rPr>
          <w:rFonts w:eastAsia="Calibri"/>
          <w:b/>
          <w:color w:val="auto"/>
          <w:sz w:val="24"/>
          <w:szCs w:val="24"/>
        </w:rPr>
        <w:t xml:space="preserve">П</w:t>
      </w:r>
      <w:r>
        <w:rPr>
          <w:rFonts w:eastAsia="Calibri"/>
          <w:b/>
          <w:color w:val="auto"/>
          <w:sz w:val="24"/>
          <w:szCs w:val="24"/>
        </w:rPr>
        <w:t xml:space="preserve">РОГРАММА</w:t>
      </w:r>
      <w:r>
        <w:rPr>
          <w:rFonts w:eastAsia="Calibri"/>
          <w:b/>
          <w:color w:val="auto"/>
          <w:sz w:val="24"/>
          <w:szCs w:val="24"/>
        </w:rPr>
      </w:r>
      <w:r>
        <w:rPr>
          <w:rFonts w:eastAsia="Calibri"/>
          <w:b/>
          <w:color w:val="auto"/>
          <w:sz w:val="24"/>
          <w:szCs w:val="24"/>
        </w:rPr>
      </w:r>
    </w:p>
    <w:p>
      <w:pPr>
        <w:jc w:val="center"/>
        <w:widowControl w:val="off"/>
        <w:rPr>
          <w:rFonts w:eastAsia="Calibri"/>
          <w:color w:val="auto"/>
          <w:sz w:val="24"/>
          <w:szCs w:val="24"/>
        </w:rPr>
      </w:pPr>
      <w:r>
        <w:rPr>
          <w:rFonts w:eastAsia="Calibri"/>
          <w:b/>
          <w:color w:val="auto"/>
          <w:sz w:val="24"/>
          <w:szCs w:val="24"/>
        </w:rPr>
        <w:t xml:space="preserve"> </w:t>
      </w:r>
      <w:r>
        <w:rPr>
          <w:rFonts w:eastAsia="Calibri"/>
          <w:color w:val="auto"/>
          <w:sz w:val="24"/>
          <w:szCs w:val="24"/>
        </w:rPr>
        <w:t xml:space="preserve">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Печенгско</w:t>
      </w:r>
      <w:r>
        <w:rPr>
          <w:rFonts w:eastAsia="Calibri"/>
          <w:color w:val="auto"/>
          <w:sz w:val="24"/>
          <w:szCs w:val="24"/>
        </w:rPr>
        <w:t xml:space="preserve">го муниципального округа на 2025</w:t>
      </w:r>
      <w:r>
        <w:rPr>
          <w:rFonts w:eastAsia="Calibri"/>
          <w:color w:val="auto"/>
          <w:sz w:val="24"/>
          <w:szCs w:val="24"/>
        </w:rPr>
        <w:t xml:space="preserve"> год</w:t>
      </w:r>
      <w:r>
        <w:rPr>
          <w:rFonts w:eastAsia="Calibri"/>
          <w:color w:val="auto"/>
          <w:sz w:val="24"/>
          <w:szCs w:val="24"/>
        </w:rPr>
      </w:r>
      <w:r>
        <w:rPr>
          <w:rFonts w:eastAsia="Calibri"/>
          <w:color w:val="auto"/>
          <w:sz w:val="24"/>
          <w:szCs w:val="24"/>
        </w:rPr>
      </w:r>
    </w:p>
    <w:p>
      <w:pPr>
        <w:jc w:val="center"/>
        <w:widowControl w:val="off"/>
        <w:rPr>
          <w:b/>
          <w:highlight w:val="yellow"/>
        </w:rPr>
      </w:pPr>
      <w:r>
        <w:rPr>
          <w:b/>
          <w:highlight w:val="yellow"/>
        </w:rPr>
      </w:r>
      <w:r>
        <w:rPr>
          <w:b/>
          <w:highlight w:val="yellow"/>
        </w:rPr>
      </w:r>
      <w:r>
        <w:rPr>
          <w:b/>
          <w:highlight w:val="yellow"/>
        </w:rPr>
      </w:r>
    </w:p>
    <w:p>
      <w:pPr>
        <w:pStyle w:val="848"/>
        <w:numPr>
          <w:ilvl w:val="0"/>
          <w:numId w:val="6"/>
        </w:numPr>
        <w:rPr>
          <w:b/>
          <w:color w:val="auto"/>
          <w:sz w:val="24"/>
          <w:szCs w:val="24"/>
        </w:rPr>
      </w:pPr>
      <w:r>
        <w:rPr>
          <w:b/>
          <w:color w:val="auto"/>
          <w:sz w:val="24"/>
          <w:szCs w:val="24"/>
        </w:rPr>
        <w:t xml:space="preserve">Общие положения</w:t>
      </w:r>
      <w:r>
        <w:rPr>
          <w:b/>
          <w:color w:val="auto"/>
          <w:sz w:val="24"/>
          <w:szCs w:val="24"/>
        </w:rPr>
      </w:r>
      <w:r>
        <w:rPr>
          <w:b/>
          <w:color w:val="auto"/>
          <w:sz w:val="24"/>
          <w:szCs w:val="24"/>
        </w:rPr>
      </w:r>
    </w:p>
    <w:p>
      <w:pPr>
        <w:pStyle w:val="848"/>
        <w:ind w:left="1429"/>
        <w:rPr>
          <w:b/>
          <w:color w:val="auto"/>
          <w:sz w:val="24"/>
          <w:szCs w:val="24"/>
        </w:rPr>
      </w:pPr>
      <w:r>
        <w:rPr>
          <w:b/>
          <w:color w:val="auto"/>
          <w:sz w:val="24"/>
          <w:szCs w:val="24"/>
        </w:rPr>
      </w:r>
      <w:r>
        <w:rPr>
          <w:b/>
          <w:color w:val="auto"/>
          <w:sz w:val="24"/>
          <w:szCs w:val="24"/>
        </w:rPr>
      </w:r>
      <w:r>
        <w:rPr>
          <w:b/>
          <w:color w:val="auto"/>
          <w:sz w:val="24"/>
          <w:szCs w:val="24"/>
        </w:rPr>
      </w:r>
    </w:p>
    <w:p>
      <w:pPr>
        <w:ind w:firstLine="709"/>
        <w:jc w:val="both"/>
        <w:rPr>
          <w:bCs/>
          <w:sz w:val="24"/>
          <w:szCs w:val="24"/>
        </w:rPr>
      </w:pPr>
      <w:r>
        <w:rPr>
          <w:sz w:val="24"/>
          <w:szCs w:val="24"/>
        </w:rPr>
        <w:t xml:space="preserve">Программа профилактики рисков причинения вреда (ущерба) охраняемым законом ценностям по муниципал</w:t>
      </w:r>
      <w:r>
        <w:rPr>
          <w:sz w:val="24"/>
          <w:szCs w:val="24"/>
        </w:rPr>
        <w:t xml:space="preserve">ьному контролю </w:t>
      </w:r>
      <w:r>
        <w:rPr>
          <w:sz w:val="24"/>
          <w:szCs w:val="24"/>
        </w:rPr>
        <w:t xml:space="preserve">в сфере благоустройства </w:t>
      </w:r>
      <w:r>
        <w:rPr>
          <w:sz w:val="24"/>
          <w:szCs w:val="24"/>
        </w:rPr>
        <w:t xml:space="preserve">на 2025</w:t>
      </w:r>
      <w:r>
        <w:rPr>
          <w:sz w:val="24"/>
          <w:szCs w:val="24"/>
        </w:rPr>
        <w:t xml:space="preserve"> год (далее – Программа профилактики рисков причинения вреда), разработана на основании Федерального за</w:t>
      </w:r>
      <w:r>
        <w:rPr>
          <w:sz w:val="24"/>
          <w:szCs w:val="24"/>
        </w:rPr>
        <w:t xml:space="preserve">кона от 06.10.2003 № 131-ФЗ «Об общих принципах организации местного самоуправления в Российской Федерации», в соответствии со статьей 44 Федерального закона от 31.07.2020 № 248-ФЗ «О государственном контроле (надзоре) и муниципальном контроле в Российской</w:t>
      </w:r>
      <w:r>
        <w:rPr>
          <w:sz w:val="24"/>
          <w:szCs w:val="24"/>
        </w:rPr>
        <w:t xml:space="preserve"> </w:t>
      </w:r>
      <w:r>
        <w:rPr>
          <w:sz w:val="24"/>
          <w:szCs w:val="24"/>
        </w:rPr>
        <w:t xml:space="preserve">Федерации», Постановлением Правительства Р</w:t>
      </w:r>
      <w:r>
        <w:rPr>
          <w:sz w:val="24"/>
          <w:szCs w:val="24"/>
        </w:rPr>
        <w:t xml:space="preserve">оссийской</w:t>
      </w:r>
      <w:r>
        <w:rPr>
          <w:sz w:val="24"/>
          <w:szCs w:val="24"/>
        </w:rPr>
        <w:t xml:space="preserve"> </w:t>
      </w:r>
      <w:r>
        <w:rPr>
          <w:sz w:val="24"/>
          <w:szCs w:val="24"/>
        </w:rPr>
        <w:t xml:space="preserve">Ф</w:t>
      </w:r>
      <w:r>
        <w:rPr>
          <w:sz w:val="24"/>
          <w:szCs w:val="24"/>
        </w:rPr>
        <w:t xml:space="preserve">едерации</w:t>
      </w:r>
      <w:r>
        <w:rPr>
          <w:sz w:val="24"/>
          <w:szCs w:val="24"/>
        </w:rPr>
        <w:t xml:space="preserve">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Уставом Печенгского муниципального округа</w:t>
      </w:r>
      <w:r>
        <w:rPr>
          <w:sz w:val="24"/>
          <w:szCs w:val="24"/>
        </w:rPr>
        <w:t xml:space="preserve">, </w:t>
      </w:r>
      <w:r>
        <w:rPr>
          <w:sz w:val="24"/>
          <w:szCs w:val="24"/>
        </w:rPr>
        <w:t xml:space="preserve">Решением Совета депутатов Печенгского муниципального округа Мурманской области № 387 от 12.05.2023 «</w:t>
      </w:r>
      <w:r>
        <w:rPr>
          <w:bCs/>
          <w:sz w:val="24"/>
          <w:szCs w:val="24"/>
        </w:rPr>
        <w:t xml:space="preserve">Об утверждении Правил благоустройства территории Печенгского муниципал</w:t>
      </w:r>
      <w:r>
        <w:rPr>
          <w:bCs/>
          <w:sz w:val="24"/>
          <w:szCs w:val="24"/>
        </w:rPr>
        <w:t xml:space="preserve">ьного округа Мурманской области</w:t>
      </w:r>
      <w:r>
        <w:rPr>
          <w:sz w:val="24"/>
          <w:szCs w:val="24"/>
        </w:rPr>
        <w:t xml:space="preserve">»</w:t>
      </w:r>
      <w:r>
        <w:rPr>
          <w:bCs/>
          <w:sz w:val="24"/>
          <w:szCs w:val="24"/>
        </w:rPr>
        <w:t xml:space="preserve">, </w:t>
      </w:r>
      <w:r>
        <w:rPr>
          <w:bCs/>
          <w:sz w:val="24"/>
          <w:szCs w:val="24"/>
        </w:rPr>
        <w:t xml:space="preserve">Решением Совета депутатов Печенгского муниципального округа Мурманской области № 448</w:t>
      </w:r>
      <w:r>
        <w:rPr>
          <w:bCs/>
          <w:sz w:val="24"/>
          <w:szCs w:val="24"/>
        </w:rPr>
        <w:t xml:space="preserve"> от 16.02.2024 </w:t>
      </w:r>
      <w:r>
        <w:rPr>
          <w:b/>
          <w:bCs/>
          <w:sz w:val="24"/>
          <w:szCs w:val="24"/>
        </w:rPr>
        <w:t xml:space="preserve"> «</w:t>
      </w:r>
      <w:r>
        <w:rPr>
          <w:bCs/>
          <w:sz w:val="24"/>
          <w:szCs w:val="24"/>
        </w:rPr>
        <w:t xml:space="preserve">Об утверждении Положения о муниципальном контроле в сфере благоустройства, осуществляемом на территории Печенгского муниципального округа».</w:t>
      </w:r>
      <w:r>
        <w:rPr>
          <w:bCs/>
          <w:sz w:val="24"/>
          <w:szCs w:val="24"/>
        </w:rPr>
      </w:r>
      <w:r>
        <w:rPr>
          <w:bCs/>
          <w:sz w:val="24"/>
          <w:szCs w:val="24"/>
        </w:rPr>
      </w:r>
    </w:p>
    <w:p>
      <w:pPr>
        <w:ind w:firstLine="709"/>
        <w:jc w:val="both"/>
        <w:rPr>
          <w:sz w:val="24"/>
          <w:szCs w:val="24"/>
        </w:rPr>
      </w:pPr>
      <w:r>
        <w:rPr>
          <w:sz w:val="24"/>
          <w:szCs w:val="24"/>
        </w:rPr>
        <w:t xml:space="preserve">Программа профилактики рисков причинения вреда утверждается ежегодно и состоит из следующих разделов: </w:t>
      </w:r>
      <w:r>
        <w:rPr>
          <w:sz w:val="24"/>
          <w:szCs w:val="24"/>
        </w:rPr>
      </w:r>
      <w:r>
        <w:rPr>
          <w:sz w:val="24"/>
          <w:szCs w:val="24"/>
        </w:rPr>
      </w:r>
    </w:p>
    <w:p>
      <w:pPr>
        <w:ind w:firstLine="709"/>
        <w:jc w:val="both"/>
        <w:rPr>
          <w:sz w:val="24"/>
          <w:szCs w:val="24"/>
        </w:rPr>
      </w:pPr>
      <w:r>
        <w:rPr>
          <w:sz w:val="24"/>
          <w:szCs w:val="24"/>
        </w:rPr>
        <w:t xml:space="preserve">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w:t>
      </w:r>
      <w:r>
        <w:rPr>
          <w:sz w:val="24"/>
          <w:szCs w:val="24"/>
        </w:rPr>
      </w:r>
      <w:r>
        <w:rPr>
          <w:sz w:val="24"/>
          <w:szCs w:val="24"/>
        </w:rPr>
      </w:r>
    </w:p>
    <w:p>
      <w:pPr>
        <w:ind w:firstLine="709"/>
        <w:jc w:val="both"/>
        <w:rPr>
          <w:sz w:val="24"/>
          <w:szCs w:val="24"/>
        </w:rPr>
      </w:pPr>
      <w:r>
        <w:rPr>
          <w:sz w:val="24"/>
          <w:szCs w:val="24"/>
        </w:rPr>
        <w:t xml:space="preserve">2) цели и задачи реализации программы профилактики; </w:t>
      </w:r>
      <w:r>
        <w:rPr>
          <w:sz w:val="24"/>
          <w:szCs w:val="24"/>
        </w:rPr>
      </w:r>
      <w:r>
        <w:rPr>
          <w:sz w:val="24"/>
          <w:szCs w:val="24"/>
        </w:rPr>
      </w:r>
    </w:p>
    <w:p>
      <w:pPr>
        <w:ind w:firstLine="709"/>
        <w:jc w:val="both"/>
        <w:rPr>
          <w:sz w:val="24"/>
          <w:szCs w:val="24"/>
        </w:rPr>
      </w:pPr>
      <w:r>
        <w:rPr>
          <w:sz w:val="24"/>
          <w:szCs w:val="24"/>
        </w:rPr>
        <w:t xml:space="preserve">3) перечень профилактических мероприятий, сроки (периодичность) их проведения; </w:t>
      </w:r>
      <w:r>
        <w:rPr>
          <w:sz w:val="24"/>
          <w:szCs w:val="24"/>
        </w:rPr>
      </w:r>
      <w:r>
        <w:rPr>
          <w:sz w:val="24"/>
          <w:szCs w:val="24"/>
        </w:rPr>
      </w:r>
    </w:p>
    <w:p>
      <w:pPr>
        <w:ind w:firstLine="709"/>
        <w:jc w:val="both"/>
        <w:rPr>
          <w:sz w:val="24"/>
          <w:szCs w:val="24"/>
        </w:rPr>
      </w:pPr>
      <w:r>
        <w:rPr>
          <w:sz w:val="24"/>
          <w:szCs w:val="24"/>
        </w:rPr>
        <w:t xml:space="preserve">4) показатели результативности и эффективности </w:t>
      </w:r>
      <w:r>
        <w:rPr>
          <w:sz w:val="24"/>
          <w:szCs w:val="24"/>
        </w:rPr>
        <w:t xml:space="preserve">программы профилактики рисков причинения вреда</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Программа профилактики рисков причинения вреда предусматривает ее общественное обсуждение. </w:t>
      </w:r>
      <w:r>
        <w:rPr>
          <w:sz w:val="24"/>
          <w:szCs w:val="24"/>
        </w:rPr>
      </w:r>
      <w:r>
        <w:rPr>
          <w:sz w:val="24"/>
          <w:szCs w:val="24"/>
        </w:rPr>
      </w:r>
    </w:p>
    <w:p>
      <w:pPr>
        <w:ind w:firstLine="709"/>
        <w:jc w:val="both"/>
        <w:rPr>
          <w:rStyle w:val="849"/>
          <w:rFonts w:eastAsia="Calibri"/>
          <w:color w:val="auto"/>
          <w:sz w:val="24"/>
          <w:szCs w:val="24"/>
        </w:rPr>
      </w:pPr>
      <w:r>
        <w:rPr>
          <w:sz w:val="24"/>
          <w:szCs w:val="24"/>
        </w:rPr>
        <w:t xml:space="preserve">Утвержденная программа профилактики рисков причинения вреда размещается на сайте </w:t>
      </w:r>
      <w:r>
        <w:rPr>
          <w:color w:val="auto"/>
          <w:sz w:val="24"/>
          <w:szCs w:val="24"/>
        </w:rPr>
        <w:t xml:space="preserve">Печенгского муниципального округа </w:t>
      </w:r>
      <w:hyperlink r:id="rId12" w:tooltip="http://pechengamr.gov-murman.ru/" w:history="1">
        <w:r>
          <w:rPr>
            <w:rStyle w:val="849"/>
            <w:rFonts w:eastAsia="Calibri"/>
            <w:color w:val="auto"/>
            <w:sz w:val="24"/>
            <w:szCs w:val="24"/>
          </w:rPr>
          <w:t xml:space="preserve">http://pechengamr.gov-murman.ru/</w:t>
        </w:r>
      </w:hyperlink>
      <w:r>
        <w:rPr>
          <w:rStyle w:val="849"/>
          <w:rFonts w:eastAsia="Calibri"/>
          <w:color w:val="auto"/>
          <w:sz w:val="24"/>
          <w:szCs w:val="24"/>
        </w:rPr>
        <w:t xml:space="preserve">.</w:t>
      </w:r>
      <w:r>
        <w:rPr>
          <w:rStyle w:val="849"/>
          <w:rFonts w:eastAsia="Calibri"/>
          <w:color w:val="auto"/>
          <w:sz w:val="24"/>
          <w:szCs w:val="24"/>
        </w:rPr>
      </w:r>
      <w:r>
        <w:rPr>
          <w:rStyle w:val="849"/>
          <w:rFonts w:eastAsia="Calibri"/>
          <w:color w:val="auto"/>
          <w:sz w:val="24"/>
          <w:szCs w:val="24"/>
        </w:rPr>
      </w:r>
    </w:p>
    <w:p>
      <w:pPr>
        <w:ind w:firstLine="709"/>
        <w:jc w:val="both"/>
        <w:rPr>
          <w:sz w:val="24"/>
          <w:szCs w:val="24"/>
        </w:rPr>
      </w:pPr>
      <w:r>
        <w:rPr>
          <w:sz w:val="24"/>
          <w:szCs w:val="24"/>
        </w:rPr>
        <w:t xml:space="preserve">Профилактические мероприятия, предусмотренные программой профилактики рисков причинения вреда, обязательны для проведения контрольным органом. </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pStyle w:val="848"/>
        <w:numPr>
          <w:ilvl w:val="0"/>
          <w:numId w:val="6"/>
        </w:numPr>
        <w:ind w:left="0" w:firstLine="709"/>
        <w:jc w:val="both"/>
        <w:rPr>
          <w:b/>
          <w:sz w:val="24"/>
          <w:szCs w:val="24"/>
        </w:rPr>
      </w:pPr>
      <w:r>
        <w:rPr>
          <w:b/>
          <w:sz w:val="24"/>
          <w:szCs w:val="24"/>
        </w:rPr>
        <w:t xml:space="preserve">Анализ текущего состояния осуществления вида контроля, описание текущего уровня развития профилактической деятельности контрольного органа, характеристика проблем, на решение которых направлена программа профилактики рисков причинения вреда</w:t>
      </w:r>
      <w:r>
        <w:rPr>
          <w:b/>
          <w:sz w:val="24"/>
          <w:szCs w:val="24"/>
        </w:rPr>
      </w:r>
      <w:r>
        <w:rPr>
          <w:b/>
          <w:sz w:val="24"/>
          <w:szCs w:val="24"/>
        </w:rPr>
      </w:r>
    </w:p>
    <w:p>
      <w:pPr>
        <w:ind w:left="709"/>
        <w:rPr>
          <w:b/>
          <w:sz w:val="24"/>
          <w:szCs w:val="24"/>
        </w:rPr>
      </w:pPr>
      <w:r>
        <w:rPr>
          <w:b/>
          <w:sz w:val="24"/>
          <w:szCs w:val="24"/>
        </w:rPr>
      </w:r>
      <w:r>
        <w:rPr>
          <w:b/>
          <w:sz w:val="24"/>
          <w:szCs w:val="24"/>
        </w:rPr>
      </w:r>
      <w:r>
        <w:rPr>
          <w:b/>
          <w:sz w:val="24"/>
          <w:szCs w:val="24"/>
        </w:rPr>
      </w:r>
    </w:p>
    <w:p>
      <w:pPr>
        <w:ind w:firstLine="709"/>
        <w:jc w:val="both"/>
        <w:rPr>
          <w:color w:val="auto"/>
          <w:sz w:val="24"/>
          <w:szCs w:val="24"/>
        </w:rPr>
      </w:pPr>
      <w:r>
        <w:rPr>
          <w:sz w:val="24"/>
          <w:szCs w:val="24"/>
        </w:rPr>
        <w:t xml:space="preserve">Муниципальный контроль </w:t>
      </w:r>
      <w:r>
        <w:rPr>
          <w:sz w:val="24"/>
          <w:szCs w:val="24"/>
        </w:rPr>
        <w:t xml:space="preserve">в сфере благоустройства </w:t>
      </w:r>
      <w:r>
        <w:rPr>
          <w:sz w:val="24"/>
          <w:szCs w:val="24"/>
        </w:rPr>
        <w:t xml:space="preserve">осуществляется уполномоченными должностными лицами контрольного органа на основании</w:t>
      </w:r>
      <w:r>
        <w:rPr>
          <w:sz w:val="24"/>
          <w:szCs w:val="24"/>
        </w:rPr>
        <w:t xml:space="preserve"> Федерального закона от 06.10.2003 № 131-ФЗ «Об общих принципах организации местного самоуправления в Российской Федерации», Федерального закона от 31.07.2020 № 248-ФЗ «О государственном контроле (надзоре) и муниципальном контроле в Российской Федерации», </w:t>
      </w:r>
      <w:r>
        <w:rPr>
          <w:sz w:val="24"/>
          <w:szCs w:val="24"/>
        </w:rPr>
        <w:t xml:space="preserve">з</w:t>
      </w:r>
      <w:r>
        <w:rPr>
          <w:sz w:val="24"/>
          <w:szCs w:val="24"/>
        </w:rPr>
        <w:t xml:space="preserve">аконом Мурманской области от 24.04.2020 №</w:t>
      </w:r>
      <w:r>
        <w:rPr>
          <w:sz w:val="24"/>
          <w:szCs w:val="24"/>
        </w:rPr>
        <w:t xml:space="preserve"> </w:t>
      </w:r>
      <w:r>
        <w:rPr>
          <w:sz w:val="24"/>
          <w:szCs w:val="24"/>
        </w:rPr>
        <w:t xml:space="preserve">2482-01-ЗМО «Об образовании муниципального </w:t>
      </w:r>
      <w:r>
        <w:rPr>
          <w:color w:val="auto"/>
          <w:sz w:val="24"/>
          <w:szCs w:val="24"/>
        </w:rPr>
        <w:t xml:space="preserve">образования </w:t>
      </w:r>
      <w:r>
        <w:rPr>
          <w:color w:val="auto"/>
          <w:sz w:val="24"/>
          <w:szCs w:val="24"/>
        </w:rPr>
        <w:t xml:space="preserve">Печенгский</w:t>
      </w:r>
      <w:r>
        <w:rPr>
          <w:color w:val="auto"/>
          <w:sz w:val="24"/>
          <w:szCs w:val="24"/>
        </w:rPr>
        <w:t xml:space="preserve"> муниципальный округ Мурманской области»</w:t>
      </w:r>
      <w:r>
        <w:rPr>
          <w:color w:val="auto"/>
          <w:sz w:val="24"/>
          <w:szCs w:val="24"/>
        </w:rPr>
        <w:t xml:space="preserve">,</w:t>
      </w:r>
      <w:r>
        <w:rPr>
          <w:sz w:val="24"/>
          <w:szCs w:val="24"/>
        </w:rPr>
        <w:t xml:space="preserve"> </w:t>
      </w:r>
      <w:r>
        <w:rPr>
          <w:color w:val="auto"/>
          <w:sz w:val="24"/>
          <w:szCs w:val="24"/>
        </w:rPr>
        <w:t xml:space="preserve">Устава  Печенгского муниципального</w:t>
      </w:r>
      <w:r>
        <w:rPr>
          <w:color w:val="auto"/>
          <w:sz w:val="24"/>
          <w:szCs w:val="24"/>
        </w:rPr>
        <w:t xml:space="preserve"> округа.</w:t>
      </w:r>
      <w:r>
        <w:rPr>
          <w:color w:val="auto"/>
          <w:sz w:val="24"/>
          <w:szCs w:val="24"/>
        </w:rPr>
        <w:t xml:space="preserve"> </w:t>
      </w:r>
      <w:r>
        <w:rPr>
          <w:color w:val="auto"/>
          <w:sz w:val="24"/>
          <w:szCs w:val="24"/>
        </w:rPr>
      </w:r>
      <w:r>
        <w:rPr>
          <w:color w:val="auto"/>
          <w:sz w:val="24"/>
          <w:szCs w:val="24"/>
        </w:rPr>
      </w:r>
    </w:p>
    <w:p>
      <w:pPr>
        <w:ind w:firstLine="709"/>
        <w:jc w:val="both"/>
        <w:rPr>
          <w:sz w:val="24"/>
          <w:szCs w:val="24"/>
        </w:rPr>
      </w:pPr>
      <w:r>
        <w:rPr>
          <w:sz w:val="24"/>
          <w:szCs w:val="24"/>
        </w:rPr>
        <w:t xml:space="preserve">Программа профилактики рисков причинения вреда направлена на обеспечение состояния безопасности охраняемых законом ценностей, рост числа контролируемых лиц, самостоятел</w:t>
      </w:r>
      <w:r>
        <w:rPr>
          <w:sz w:val="24"/>
          <w:szCs w:val="24"/>
        </w:rPr>
        <w:t xml:space="preserve">ьно и своевременно обеспечивающих исполнение обязательных требований. Как показывает практика, применение к контролируемым лицам мер ответственности в целях пресечения нарушения обязательных требований не приводит к снижению количества выявленных нарушений</w:t>
      </w:r>
      <w:r>
        <w:rPr>
          <w:sz w:val="24"/>
          <w:szCs w:val="24"/>
        </w:rPr>
        <w:t xml:space="preserve"> или увеличению в совокупности количества объектов контроля, обеспечивающих соблюдение обязательных требований и предпринимающих меры по недопущению нарушений обязательных требований, недопущению рисков причинения вреда охраняемым законом ценностям. Основн</w:t>
      </w:r>
      <w:r>
        <w:rPr>
          <w:sz w:val="24"/>
          <w:szCs w:val="24"/>
        </w:rPr>
        <w:t xml:space="preserve">ой направленностью профилактической деятельности контрольного органа являются контролируемые лица, поведение которых свидетельствует об их стремлении к исполнению предъявляемым к ним обязательным требованиям, даже если они допускают их нарушение по причина</w:t>
      </w:r>
      <w:r>
        <w:rPr>
          <w:sz w:val="24"/>
          <w:szCs w:val="24"/>
        </w:rPr>
        <w:t xml:space="preserve">м недостаточной информированности об обязательных требованиях, предъявляемых к объекту контроля. Целенаправленное содействие соблюдению обязательных требований данной категории лиц способствует снижению рисков причинения вреда охраняемым законом ценностям.</w:t>
      </w:r>
      <w:r>
        <w:rPr>
          <w:sz w:val="24"/>
          <w:szCs w:val="24"/>
        </w:rPr>
      </w:r>
      <w:r>
        <w:rPr>
          <w:sz w:val="24"/>
          <w:szCs w:val="24"/>
        </w:rPr>
      </w:r>
    </w:p>
    <w:p>
      <w:pPr>
        <w:pStyle w:val="848"/>
        <w:ind w:left="2138"/>
        <w:rPr>
          <w:b/>
          <w:sz w:val="24"/>
          <w:szCs w:val="24"/>
        </w:rPr>
      </w:pPr>
      <w:r>
        <w:rPr>
          <w:b/>
          <w:sz w:val="24"/>
          <w:szCs w:val="24"/>
        </w:rPr>
      </w:r>
      <w:r>
        <w:rPr>
          <w:b/>
          <w:sz w:val="24"/>
          <w:szCs w:val="24"/>
        </w:rPr>
      </w:r>
      <w:r>
        <w:rPr>
          <w:b/>
          <w:sz w:val="24"/>
          <w:szCs w:val="24"/>
        </w:rPr>
      </w:r>
    </w:p>
    <w:p>
      <w:pPr>
        <w:pStyle w:val="848"/>
        <w:ind w:left="2138"/>
        <w:rPr>
          <w:b/>
          <w:sz w:val="24"/>
          <w:szCs w:val="24"/>
        </w:rPr>
      </w:pPr>
      <w:r>
        <w:rPr>
          <w:b/>
          <w:sz w:val="24"/>
          <w:szCs w:val="24"/>
          <w:lang w:val="en-US"/>
        </w:rPr>
        <w:t xml:space="preserve">III</w:t>
      </w:r>
      <w:r>
        <w:rPr>
          <w:b/>
          <w:sz w:val="24"/>
          <w:szCs w:val="24"/>
        </w:rPr>
        <w:t xml:space="preserve">.</w:t>
      </w:r>
      <w:r>
        <w:rPr>
          <w:b/>
          <w:sz w:val="24"/>
          <w:szCs w:val="24"/>
        </w:rPr>
        <w:t xml:space="preserve"> </w:t>
      </w:r>
      <w:r>
        <w:rPr>
          <w:b/>
          <w:sz w:val="24"/>
          <w:szCs w:val="24"/>
        </w:rPr>
        <w:t xml:space="preserve">Цели и задачи реализации программы профилактики</w:t>
      </w:r>
      <w:r>
        <w:rPr>
          <w:b/>
          <w:sz w:val="24"/>
          <w:szCs w:val="24"/>
        </w:rPr>
      </w:r>
      <w:r>
        <w:rPr>
          <w:b/>
          <w:sz w:val="24"/>
          <w:szCs w:val="24"/>
        </w:rPr>
      </w:r>
    </w:p>
    <w:p>
      <w:pPr>
        <w:pStyle w:val="848"/>
        <w:ind w:left="2138"/>
        <w:rPr>
          <w:b/>
          <w:sz w:val="24"/>
          <w:szCs w:val="24"/>
        </w:rPr>
      </w:pPr>
      <w:r>
        <w:rPr>
          <w:b/>
          <w:sz w:val="24"/>
          <w:szCs w:val="24"/>
        </w:rPr>
      </w:r>
      <w:r>
        <w:rPr>
          <w:b/>
          <w:sz w:val="24"/>
          <w:szCs w:val="24"/>
        </w:rPr>
      </w:r>
      <w:r>
        <w:rPr>
          <w:b/>
          <w:sz w:val="24"/>
          <w:szCs w:val="24"/>
        </w:rPr>
      </w:r>
    </w:p>
    <w:p>
      <w:pPr>
        <w:ind w:firstLine="709"/>
        <w:jc w:val="both"/>
        <w:rPr>
          <w:sz w:val="24"/>
          <w:szCs w:val="24"/>
        </w:rPr>
      </w:pPr>
      <w:r>
        <w:rPr>
          <w:sz w:val="24"/>
          <w:szCs w:val="24"/>
        </w:rPr>
        <w:t xml:space="preserve">Программа профилактики рисков причинения вреда направлена на достижение следующих основных целей: </w:t>
      </w:r>
      <w:r>
        <w:rPr>
          <w:sz w:val="24"/>
          <w:szCs w:val="24"/>
        </w:rPr>
      </w:r>
      <w:r>
        <w:rPr>
          <w:sz w:val="24"/>
          <w:szCs w:val="24"/>
        </w:rPr>
      </w:r>
    </w:p>
    <w:p>
      <w:pPr>
        <w:ind w:firstLine="709"/>
        <w:jc w:val="both"/>
        <w:rPr>
          <w:sz w:val="24"/>
          <w:szCs w:val="24"/>
        </w:rPr>
      </w:pPr>
      <w:r>
        <w:rPr>
          <w:sz w:val="24"/>
          <w:szCs w:val="24"/>
        </w:rPr>
        <w:t xml:space="preserve">1) стимулирование добросовестного соблюдения обязательных требований всеми контролируемыми лицами; </w:t>
      </w:r>
      <w:r>
        <w:rPr>
          <w:sz w:val="24"/>
          <w:szCs w:val="24"/>
        </w:rPr>
      </w:r>
      <w:r>
        <w:rPr>
          <w:sz w:val="24"/>
          <w:szCs w:val="24"/>
        </w:rPr>
      </w:r>
    </w:p>
    <w:p>
      <w:pPr>
        <w:ind w:firstLine="709"/>
        <w:jc w:val="both"/>
        <w:rPr>
          <w:sz w:val="24"/>
          <w:szCs w:val="24"/>
        </w:rPr>
      </w:pPr>
      <w:r>
        <w:rPr>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r>
        <w:rPr>
          <w:sz w:val="24"/>
          <w:szCs w:val="24"/>
        </w:rPr>
      </w:r>
      <w:r>
        <w:rPr>
          <w:sz w:val="24"/>
          <w:szCs w:val="24"/>
        </w:rPr>
      </w:r>
    </w:p>
    <w:p>
      <w:pPr>
        <w:ind w:firstLine="709"/>
        <w:jc w:val="both"/>
        <w:rPr>
          <w:sz w:val="24"/>
          <w:szCs w:val="24"/>
        </w:rPr>
      </w:pPr>
      <w:r>
        <w:rPr>
          <w:sz w:val="24"/>
          <w:szCs w:val="24"/>
        </w:rPr>
        <w:t xml:space="preserve">3) создание условий для доведения обязательных требований до контролируемых лиц, повышение информированности о способах их соблюдения.</w:t>
      </w:r>
      <w:r>
        <w:rPr>
          <w:sz w:val="24"/>
          <w:szCs w:val="24"/>
        </w:rPr>
      </w:r>
      <w:r>
        <w:rPr>
          <w:sz w:val="24"/>
          <w:szCs w:val="24"/>
        </w:rPr>
      </w:r>
    </w:p>
    <w:p>
      <w:pPr>
        <w:ind w:firstLine="709"/>
        <w:jc w:val="both"/>
        <w:rPr>
          <w:sz w:val="24"/>
          <w:szCs w:val="24"/>
        </w:rPr>
      </w:pPr>
      <w:r>
        <w:rPr>
          <w:sz w:val="24"/>
          <w:szCs w:val="24"/>
        </w:rPr>
        <w:t xml:space="preserve">Задачами </w:t>
      </w:r>
      <w:r>
        <w:rPr>
          <w:sz w:val="24"/>
          <w:szCs w:val="24"/>
        </w:rPr>
        <w:t xml:space="preserve">программы профилактики рисков причинения вреда</w:t>
      </w:r>
      <w:r>
        <w:rPr>
          <w:sz w:val="24"/>
          <w:szCs w:val="24"/>
        </w:rPr>
        <w:t xml:space="preserve"> являются: </w:t>
      </w:r>
      <w:r>
        <w:rPr>
          <w:sz w:val="24"/>
          <w:szCs w:val="24"/>
        </w:rPr>
      </w:r>
      <w:r>
        <w:rPr>
          <w:sz w:val="24"/>
          <w:szCs w:val="24"/>
        </w:rPr>
      </w:r>
    </w:p>
    <w:p>
      <w:pPr>
        <w:ind w:firstLine="709"/>
        <w:jc w:val="both"/>
        <w:rPr>
          <w:sz w:val="24"/>
          <w:szCs w:val="24"/>
        </w:rPr>
      </w:pPr>
      <w:r>
        <w:rPr>
          <w:sz w:val="24"/>
          <w:szCs w:val="24"/>
        </w:rPr>
        <w:t xml:space="preserve">1) укрепление </w:t>
      </w:r>
      <w:r>
        <w:rPr>
          <w:sz w:val="24"/>
          <w:szCs w:val="24"/>
        </w:rPr>
        <w:t xml:space="preserve">системы профилактики нарушений рисков причинения</w:t>
      </w:r>
      <w:r>
        <w:rPr>
          <w:sz w:val="24"/>
          <w:szCs w:val="24"/>
        </w:rPr>
        <w:t xml:space="preserve"> вреда (ущерба) охраняемым законом ценностям; </w:t>
      </w:r>
      <w:r>
        <w:rPr>
          <w:sz w:val="24"/>
          <w:szCs w:val="24"/>
        </w:rPr>
      </w:r>
      <w:r>
        <w:rPr>
          <w:sz w:val="24"/>
          <w:szCs w:val="24"/>
        </w:rPr>
      </w:r>
    </w:p>
    <w:p>
      <w:pPr>
        <w:ind w:firstLine="709"/>
        <w:jc w:val="both"/>
        <w:rPr>
          <w:sz w:val="24"/>
          <w:szCs w:val="24"/>
        </w:rPr>
      </w:pPr>
      <w:r>
        <w:rPr>
          <w:sz w:val="24"/>
          <w:szCs w:val="24"/>
        </w:rPr>
        <w:t xml:space="preserve">2) повышение правосознания и правовой культуры руководителей  юридических лиц, индивидуальных предпринимателей и граждан; </w:t>
      </w:r>
      <w:r>
        <w:rPr>
          <w:sz w:val="24"/>
          <w:szCs w:val="24"/>
        </w:rPr>
      </w:r>
      <w:r>
        <w:rPr>
          <w:sz w:val="24"/>
          <w:szCs w:val="24"/>
        </w:rPr>
      </w:r>
    </w:p>
    <w:p>
      <w:pPr>
        <w:ind w:firstLine="709"/>
        <w:jc w:val="both"/>
        <w:rPr>
          <w:sz w:val="24"/>
          <w:szCs w:val="24"/>
        </w:rPr>
      </w:pPr>
      <w:r>
        <w:rPr>
          <w:sz w:val="24"/>
          <w:szCs w:val="24"/>
        </w:rPr>
        <w:t xml:space="preserve">3) оценка возможной угрозы причинения, либо причинения вреда жизни, здоровью граждан, выработка и реализация профилактических мер, способствующих ее снижению;</w:t>
      </w:r>
      <w:r>
        <w:rPr>
          <w:sz w:val="24"/>
          <w:szCs w:val="24"/>
        </w:rPr>
      </w:r>
      <w:r>
        <w:rPr>
          <w:sz w:val="24"/>
          <w:szCs w:val="24"/>
        </w:rPr>
      </w:r>
    </w:p>
    <w:p>
      <w:pPr>
        <w:ind w:firstLine="709"/>
        <w:jc w:val="both"/>
        <w:rPr>
          <w:sz w:val="24"/>
          <w:szCs w:val="24"/>
        </w:rPr>
      </w:pPr>
      <w:r>
        <w:rPr>
          <w:sz w:val="24"/>
          <w:szCs w:val="24"/>
        </w:rPr>
        <w:t xml:space="preserve"> 4) выявление факторов угрозы причинения, либо причинения вреда жизни, здоровью граждан, причин и условий, способствующих нарушению обязательных требований, определение способов устранения или снижения угрозы; </w:t>
      </w:r>
      <w:r>
        <w:rPr>
          <w:sz w:val="24"/>
          <w:szCs w:val="24"/>
        </w:rPr>
      </w:r>
      <w:r>
        <w:rPr>
          <w:sz w:val="24"/>
          <w:szCs w:val="24"/>
        </w:rPr>
      </w:r>
    </w:p>
    <w:p>
      <w:pPr>
        <w:ind w:firstLine="709"/>
        <w:jc w:val="both"/>
        <w:rPr>
          <w:sz w:val="24"/>
          <w:szCs w:val="24"/>
        </w:rPr>
      </w:pPr>
      <w:r>
        <w:rPr>
          <w:sz w:val="24"/>
          <w:szCs w:val="24"/>
        </w:rPr>
        <w:t xml:space="preserve">5) обеспечение информационной открытости контрольного органа, в том числе обеспечение размещения в установленном законодательством по</w:t>
      </w:r>
      <w:r>
        <w:rPr>
          <w:sz w:val="24"/>
          <w:szCs w:val="24"/>
        </w:rPr>
        <w:t xml:space="preserve">рядке достаточной, достоверной и полной информации об обязательных требованиях, информации о процедурах досудебного (внесудебного) обжалования решений, действий (бездействия) должностных лиц контрольного органа, о проводимых профилактических мероприятиях; </w:t>
      </w:r>
      <w:r>
        <w:rPr>
          <w:sz w:val="24"/>
          <w:szCs w:val="24"/>
        </w:rPr>
      </w:r>
      <w:r>
        <w:rPr>
          <w:sz w:val="24"/>
          <w:szCs w:val="24"/>
        </w:rPr>
      </w:r>
    </w:p>
    <w:p>
      <w:pPr>
        <w:ind w:firstLine="709"/>
        <w:jc w:val="both"/>
        <w:rPr>
          <w:sz w:val="24"/>
          <w:szCs w:val="24"/>
        </w:rPr>
      </w:pPr>
      <w:r>
        <w:rPr>
          <w:sz w:val="24"/>
          <w:szCs w:val="24"/>
        </w:rPr>
        <w:t xml:space="preserve">6) развитие межведомственного взаимодействия по вопросам профилактики рисков причинения вреда охраняемым законом ценностям.</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pStyle w:val="848"/>
        <w:numPr>
          <w:ilvl w:val="0"/>
          <w:numId w:val="7"/>
        </w:numPr>
        <w:jc w:val="both"/>
        <w:rPr>
          <w:b/>
          <w:sz w:val="24"/>
          <w:szCs w:val="24"/>
        </w:rPr>
      </w:pPr>
      <w:r>
        <w:rPr>
          <w:b/>
          <w:sz w:val="24"/>
          <w:szCs w:val="24"/>
        </w:rPr>
        <w:t xml:space="preserve">Перечень профилактических мероприятий, сроки (периодичность) их проведения</w:t>
      </w:r>
      <w:r>
        <w:rPr>
          <w:b/>
          <w:sz w:val="24"/>
          <w:szCs w:val="24"/>
        </w:rPr>
      </w:r>
      <w:r>
        <w:rPr>
          <w:b/>
          <w:sz w:val="24"/>
          <w:szCs w:val="24"/>
        </w:rPr>
      </w:r>
    </w:p>
    <w:p>
      <w:pPr>
        <w:pStyle w:val="848"/>
        <w:ind w:left="1429"/>
        <w:rPr>
          <w:b/>
          <w:sz w:val="24"/>
          <w:szCs w:val="24"/>
        </w:rPr>
      </w:pPr>
      <w:r>
        <w:rPr>
          <w:b/>
          <w:sz w:val="24"/>
          <w:szCs w:val="24"/>
        </w:rPr>
      </w:r>
      <w:r>
        <w:rPr>
          <w:b/>
          <w:sz w:val="24"/>
          <w:szCs w:val="24"/>
        </w:rPr>
      </w:r>
      <w:r>
        <w:rPr>
          <w:b/>
          <w:sz w:val="24"/>
          <w:szCs w:val="24"/>
        </w:rPr>
      </w:r>
    </w:p>
    <w:tbl>
      <w:tblPr>
        <w:tblStyle w:val="861"/>
        <w:tblW w:w="0" w:type="auto"/>
        <w:tblLook w:val="04A0" w:firstRow="1" w:lastRow="0" w:firstColumn="1" w:lastColumn="0" w:noHBand="0" w:noVBand="1"/>
      </w:tblPr>
      <w:tblGrid>
        <w:gridCol w:w="567"/>
        <w:gridCol w:w="2654"/>
        <w:gridCol w:w="2685"/>
        <w:gridCol w:w="3665"/>
      </w:tblGrid>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b/>
                <w:sz w:val="24"/>
                <w:szCs w:val="24"/>
                <w:lang w:eastAsia="en-US"/>
              </w:rPr>
            </w:pPr>
            <w:r>
              <w:rPr>
                <w:sz w:val="24"/>
                <w:szCs w:val="24"/>
                <w:lang w:eastAsia="en-US"/>
              </w:rPr>
              <w:t xml:space="preserve">№ </w:t>
            </w:r>
            <w:r>
              <w:rPr>
                <w:sz w:val="24"/>
                <w:szCs w:val="24"/>
                <w:lang w:eastAsia="en-US"/>
              </w:rPr>
              <w:t xml:space="preserve">п</w:t>
            </w:r>
            <w:r>
              <w:rPr>
                <w:sz w:val="24"/>
                <w:szCs w:val="24"/>
                <w:lang w:eastAsia="en-US"/>
              </w:rPr>
              <w:t xml:space="preserve">/п</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sz w:val="24"/>
                <w:szCs w:val="24"/>
                <w:lang w:eastAsia="en-US"/>
              </w:rPr>
            </w:pPr>
            <w:r>
              <w:rPr>
                <w:sz w:val="24"/>
                <w:szCs w:val="24"/>
                <w:lang w:eastAsia="en-US"/>
              </w:rPr>
              <w:t xml:space="preserve">Наименование</w:t>
            </w:r>
            <w:r>
              <w:rPr>
                <w:sz w:val="24"/>
                <w:szCs w:val="24"/>
                <w:lang w:eastAsia="en-US"/>
              </w:rPr>
            </w:r>
            <w:r>
              <w:rPr>
                <w:sz w:val="24"/>
                <w:szCs w:val="24"/>
                <w:lang w:eastAsia="en-US"/>
              </w:rPr>
            </w:r>
          </w:p>
          <w:p>
            <w:pPr>
              <w:jc w:val="center"/>
              <w:rPr>
                <w:b/>
                <w:sz w:val="24"/>
                <w:szCs w:val="24"/>
                <w:lang w:eastAsia="en-US"/>
              </w:rPr>
            </w:pPr>
            <w:r>
              <w:rPr>
                <w:sz w:val="24"/>
                <w:szCs w:val="24"/>
                <w:lang w:eastAsia="en-US"/>
              </w:rPr>
              <w:t xml:space="preserve">мероприятия</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b/>
                <w:sz w:val="24"/>
                <w:szCs w:val="24"/>
                <w:lang w:eastAsia="en-US"/>
              </w:rPr>
            </w:pPr>
            <w:r>
              <w:rPr>
                <w:sz w:val="24"/>
                <w:szCs w:val="24"/>
                <w:lang w:eastAsia="en-US"/>
              </w:rPr>
              <w:t xml:space="preserve">Срок исполнения</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4"/>
                <w:szCs w:val="24"/>
                <w:lang w:eastAsia="en-US"/>
              </w:rPr>
            </w:pPr>
            <w:r>
              <w:rPr>
                <w:sz w:val="24"/>
                <w:szCs w:val="24"/>
                <w:lang w:eastAsia="en-US"/>
              </w:rPr>
              <w:t xml:space="preserve">Структурное подразделение, ответственное за реализацию</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b/>
                <w:sz w:val="24"/>
                <w:szCs w:val="24"/>
                <w:lang w:eastAsia="en-US"/>
              </w:rPr>
            </w:pPr>
            <w:r>
              <w:rPr>
                <w:sz w:val="24"/>
                <w:szCs w:val="24"/>
                <w:lang w:eastAsia="en-US"/>
              </w:rPr>
              <w:t xml:space="preserve">1.</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b/>
                <w:sz w:val="24"/>
                <w:szCs w:val="24"/>
                <w:lang w:eastAsia="en-US"/>
              </w:rPr>
            </w:pPr>
            <w:r>
              <w:rPr>
                <w:sz w:val="24"/>
                <w:szCs w:val="24"/>
                <w:lang w:eastAsia="en-US"/>
              </w:rPr>
              <w:t xml:space="preserve">Информирование</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b/>
                <w:sz w:val="24"/>
                <w:szCs w:val="24"/>
                <w:lang w:eastAsia="en-US"/>
              </w:rPr>
            </w:pPr>
            <w:r>
              <w:rPr>
                <w:sz w:val="24"/>
                <w:szCs w:val="24"/>
                <w:lang w:eastAsia="en-US"/>
              </w:rPr>
              <w:t xml:space="preserve">Постоянно</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4"/>
                <w:szCs w:val="24"/>
                <w:lang w:eastAsia="en-US"/>
              </w:rPr>
            </w:pPr>
            <w:r>
              <w:rPr>
                <w:sz w:val="24"/>
                <w:szCs w:val="24"/>
                <w:lang w:eastAsia="en-US"/>
              </w:rPr>
              <w:t xml:space="preserve">Отдел строительства и ЖКХ администрации Печенгского муниципального округа</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firstLine="709"/>
              <w:jc w:val="center"/>
              <w:rPr>
                <w:sz w:val="24"/>
                <w:szCs w:val="24"/>
                <w:lang w:eastAsia="en-US"/>
              </w:rPr>
            </w:pPr>
            <w:r>
              <w:rPr>
                <w:sz w:val="24"/>
                <w:szCs w:val="24"/>
                <w:lang w:eastAsia="en-US"/>
              </w:rPr>
              <w:t xml:space="preserve">22.</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sz w:val="24"/>
                <w:szCs w:val="24"/>
                <w:lang w:eastAsia="en-US"/>
              </w:rPr>
            </w:pPr>
            <w:r>
              <w:rPr>
                <w:sz w:val="24"/>
                <w:szCs w:val="24"/>
                <w:lang w:eastAsia="en-US"/>
              </w:rPr>
              <w:t xml:space="preserve">Объявление предостережений</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sz w:val="24"/>
                <w:szCs w:val="24"/>
                <w:lang w:eastAsia="en-US"/>
              </w:rPr>
            </w:pPr>
            <w:r>
              <w:rPr>
                <w:sz w:val="24"/>
                <w:szCs w:val="24"/>
                <w:lang w:eastAsia="en-US"/>
              </w:rPr>
              <w:t xml:space="preserve">Постоянно при наличии оснований, предусмотренных статьей 49 Федерального закона от 31.07.2020 № 248</w:t>
            </w:r>
            <w:r>
              <w:rPr>
                <w:sz w:val="24"/>
                <w:szCs w:val="24"/>
                <w:lang w:eastAsia="en-US"/>
              </w:rPr>
              <w:t xml:space="preserve"> </w:t>
            </w:r>
            <w:r>
              <w:rPr>
                <w:sz w:val="24"/>
                <w:szCs w:val="24"/>
                <w:lang w:eastAsia="en-US"/>
              </w:rPr>
              <w:t xml:space="preserve">ФЗ «О государственном контроле (надзоре) и муниципальном контроле в Российской Федерации»</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4"/>
                <w:szCs w:val="24"/>
                <w:lang w:eastAsia="en-US"/>
              </w:rPr>
            </w:pPr>
            <w:r>
              <w:rPr>
                <w:sz w:val="24"/>
                <w:szCs w:val="24"/>
                <w:lang w:eastAsia="en-US"/>
              </w:rPr>
              <w:t xml:space="preserve">Отдел строительства и ЖКХ администрации Печенгского муниципального округа</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sz w:val="24"/>
                <w:szCs w:val="24"/>
                <w:lang w:eastAsia="en-US"/>
              </w:rPr>
            </w:pPr>
            <w:r>
              <w:rPr>
                <w:sz w:val="24"/>
                <w:szCs w:val="24"/>
                <w:lang w:eastAsia="en-US"/>
              </w:rPr>
              <w:t xml:space="preserve">3.</w:t>
            </w:r>
            <w:r>
              <w:rPr>
                <w:sz w:val="24"/>
                <w:szCs w:val="24"/>
                <w:lang w:eastAsia="en-US"/>
              </w:rPr>
            </w:r>
            <w:r>
              <w:rPr>
                <w:sz w:val="24"/>
                <w:szCs w:val="24"/>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b/>
                <w:sz w:val="24"/>
                <w:szCs w:val="24"/>
                <w:lang w:eastAsia="en-US"/>
              </w:rPr>
            </w:pPr>
            <w:r>
              <w:rPr>
                <w:sz w:val="24"/>
                <w:szCs w:val="24"/>
                <w:lang w:eastAsia="en-US"/>
              </w:rPr>
              <w:t xml:space="preserve">Консультирование</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sz w:val="24"/>
                <w:szCs w:val="24"/>
                <w:lang w:eastAsia="en-US"/>
              </w:rPr>
            </w:pPr>
            <w:r>
              <w:rPr>
                <w:sz w:val="24"/>
                <w:szCs w:val="24"/>
                <w:lang w:eastAsia="en-US"/>
              </w:rPr>
              <w:t xml:space="preserve">По мере обращения подконтрольных субъектов</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4"/>
                <w:szCs w:val="24"/>
                <w:lang w:eastAsia="en-US"/>
              </w:rPr>
            </w:pPr>
            <w:r>
              <w:rPr>
                <w:sz w:val="24"/>
                <w:szCs w:val="24"/>
                <w:lang w:eastAsia="en-US"/>
              </w:rPr>
              <w:t xml:space="preserve">Отдел строительства и ЖКХ администрации Печенгского муниципального округа</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sz w:val="24"/>
                <w:szCs w:val="24"/>
                <w:lang w:eastAsia="en-US"/>
              </w:rPr>
            </w:pPr>
            <w:r>
              <w:rPr>
                <w:sz w:val="24"/>
                <w:szCs w:val="24"/>
                <w:lang w:eastAsia="en-US"/>
              </w:rPr>
              <w:t xml:space="preserve">4.</w:t>
            </w:r>
            <w:r>
              <w:rPr>
                <w:sz w:val="24"/>
                <w:szCs w:val="24"/>
                <w:lang w:eastAsia="en-US"/>
              </w:rPr>
            </w:r>
            <w:r>
              <w:rPr>
                <w:sz w:val="24"/>
                <w:szCs w:val="24"/>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sz w:val="24"/>
                <w:szCs w:val="24"/>
                <w:lang w:eastAsia="en-US"/>
              </w:rPr>
            </w:pPr>
            <w:r>
              <w:rPr>
                <w:sz w:val="24"/>
                <w:szCs w:val="24"/>
                <w:lang w:eastAsia="en-US"/>
              </w:rPr>
              <w:t xml:space="preserve">Профилактический визит</w:t>
            </w:r>
            <w:r>
              <w:rPr>
                <w:sz w:val="24"/>
                <w:szCs w:val="24"/>
                <w:lang w:eastAsia="en-US"/>
              </w:rPr>
            </w:r>
            <w:r>
              <w:rPr>
                <w:sz w:val="24"/>
                <w:szCs w:val="24"/>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sz w:val="24"/>
                <w:szCs w:val="24"/>
                <w:lang w:eastAsia="en-US"/>
              </w:rPr>
            </w:pPr>
            <w:r>
              <w:rPr>
                <w:sz w:val="24"/>
                <w:szCs w:val="24"/>
                <w:lang w:eastAsia="en-US"/>
              </w:rPr>
              <w:t xml:space="preserve">По мере необходимости в соответствии со ст</w:t>
            </w:r>
            <w:r>
              <w:rPr>
                <w:sz w:val="24"/>
                <w:szCs w:val="24"/>
                <w:lang w:eastAsia="en-US"/>
              </w:rPr>
              <w:t xml:space="preserve">атьей</w:t>
            </w:r>
            <w:r>
              <w:rPr>
                <w:sz w:val="24"/>
                <w:szCs w:val="24"/>
                <w:lang w:eastAsia="en-US"/>
              </w:rPr>
              <w:t xml:space="preserve"> 52</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Федерального закона от 31.07.2020 № 248</w:t>
            </w:r>
            <w:r>
              <w:rPr>
                <w:sz w:val="24"/>
                <w:szCs w:val="24"/>
                <w:lang w:eastAsia="en-US"/>
              </w:rPr>
              <w:t xml:space="preserve"> </w:t>
            </w:r>
            <w:r>
              <w:rPr>
                <w:sz w:val="24"/>
                <w:szCs w:val="24"/>
                <w:lang w:eastAsia="en-US"/>
              </w:rPr>
              <w:t xml:space="preserve">ФЗ «О государственном контроле (надзоре) и муниципальном контроле в Российской Федерации»</w:t>
            </w:r>
            <w:r>
              <w:rPr>
                <w:sz w:val="24"/>
                <w:szCs w:val="24"/>
                <w:lang w:eastAsia="en-US"/>
              </w:rPr>
            </w:r>
            <w:r>
              <w:rPr>
                <w:sz w:val="24"/>
                <w:szCs w:val="24"/>
                <w:lang w:eastAsia="en-US"/>
              </w:rPr>
            </w:r>
          </w:p>
          <w:p>
            <w:pPr>
              <w:jc w:val="center"/>
              <w:rPr>
                <w:sz w:val="24"/>
                <w:szCs w:val="24"/>
                <w:lang w:eastAsia="en-US"/>
              </w:rPr>
            </w:pPr>
            <w:r>
              <w:rPr>
                <w:sz w:val="24"/>
                <w:szCs w:val="24"/>
                <w:lang w:eastAsia="en-US"/>
              </w:rPr>
            </w:r>
            <w:r>
              <w:rPr>
                <w:sz w:val="24"/>
                <w:szCs w:val="24"/>
                <w:lang w:eastAsia="en-US"/>
              </w:rPr>
            </w:r>
            <w:r>
              <w:rPr>
                <w:sz w:val="24"/>
                <w:szCs w:val="24"/>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4"/>
                <w:szCs w:val="24"/>
                <w:lang w:eastAsia="en-US"/>
              </w:rPr>
            </w:pPr>
            <w:r>
              <w:rPr>
                <w:sz w:val="24"/>
                <w:szCs w:val="24"/>
                <w:lang w:eastAsia="en-US"/>
              </w:rPr>
              <w:t xml:space="preserve">Отдел строительства и ЖКХ администрации Печенгского муниципального округа</w:t>
            </w:r>
            <w:r>
              <w:rPr>
                <w:sz w:val="24"/>
                <w:szCs w:val="24"/>
                <w:lang w:eastAsia="en-US"/>
              </w:rPr>
            </w:r>
            <w:r>
              <w:rPr>
                <w:sz w:val="24"/>
                <w:szCs w:val="24"/>
                <w:lang w:eastAsia="en-US"/>
              </w:rPr>
            </w:r>
          </w:p>
          <w:p>
            <w:pPr>
              <w:jc w:val="center"/>
              <w:rPr>
                <w:sz w:val="24"/>
                <w:szCs w:val="24"/>
                <w:lang w:eastAsia="en-US"/>
              </w:rPr>
            </w:pPr>
            <w:r>
              <w:rPr>
                <w:sz w:val="24"/>
                <w:szCs w:val="24"/>
                <w:lang w:eastAsia="en-US"/>
              </w:rPr>
            </w:r>
            <w:r>
              <w:rPr>
                <w:sz w:val="24"/>
                <w:szCs w:val="24"/>
                <w:lang w:eastAsia="en-US"/>
              </w:rPr>
            </w:r>
            <w:r>
              <w:rPr>
                <w:sz w:val="24"/>
                <w:szCs w:val="24"/>
                <w:lang w:eastAsia="en-US"/>
              </w:rPr>
            </w:r>
          </w:p>
        </w:tc>
      </w:tr>
    </w:tbl>
    <w:p>
      <w:pPr>
        <w:ind w:firstLine="709"/>
        <w:jc w:val="both"/>
        <w:rPr>
          <w:b/>
          <w:sz w:val="24"/>
          <w:szCs w:val="24"/>
        </w:rPr>
      </w:pPr>
      <w:r>
        <w:rPr>
          <w:b/>
          <w:sz w:val="24"/>
          <w:szCs w:val="24"/>
        </w:rPr>
      </w:r>
      <w:r>
        <w:rPr>
          <w:b/>
          <w:sz w:val="24"/>
          <w:szCs w:val="24"/>
        </w:rPr>
      </w:r>
      <w:r>
        <w:rPr>
          <w:b/>
          <w:sz w:val="24"/>
          <w:szCs w:val="24"/>
        </w:rPr>
      </w:r>
    </w:p>
    <w:p>
      <w:pPr>
        <w:ind w:firstLine="709"/>
        <w:jc w:val="both"/>
        <w:rPr>
          <w:b/>
          <w:sz w:val="24"/>
          <w:szCs w:val="24"/>
        </w:rPr>
      </w:pPr>
      <w:r>
        <w:rPr>
          <w:b/>
          <w:sz w:val="24"/>
          <w:szCs w:val="24"/>
        </w:rPr>
      </w:r>
      <w:r>
        <w:rPr>
          <w:b/>
          <w:sz w:val="24"/>
          <w:szCs w:val="24"/>
        </w:rPr>
      </w:r>
      <w:r>
        <w:rPr>
          <w:b/>
          <w:sz w:val="24"/>
          <w:szCs w:val="24"/>
        </w:rPr>
      </w:r>
    </w:p>
    <w:p>
      <w:pPr>
        <w:ind w:firstLine="708"/>
        <w:jc w:val="both"/>
        <w:rPr>
          <w:sz w:val="24"/>
          <w:szCs w:val="24"/>
        </w:rPr>
      </w:pPr>
      <w:r>
        <w:rPr>
          <w:sz w:val="24"/>
          <w:szCs w:val="24"/>
        </w:rPr>
        <w:t xml:space="preserve">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r>
        <w:rPr>
          <w:rFonts w:eastAsia="Calibri"/>
          <w:color w:val="auto"/>
          <w:sz w:val="24"/>
          <w:szCs w:val="24"/>
        </w:rPr>
        <w:t xml:space="preserve"> </w:t>
      </w:r>
      <w:r>
        <w:rPr>
          <w:sz w:val="24"/>
          <w:szCs w:val="24"/>
        </w:rPr>
        <w:t xml:space="preserve">в сфере благоустройства</w:t>
      </w:r>
      <w:r>
        <w:rPr>
          <w:sz w:val="24"/>
          <w:szCs w:val="24"/>
        </w:rPr>
        <w:t xml:space="preserve">: </w:t>
      </w:r>
      <w:r>
        <w:rPr>
          <w:sz w:val="24"/>
          <w:szCs w:val="24"/>
        </w:rPr>
      </w:r>
      <w:r>
        <w:rPr>
          <w:sz w:val="24"/>
          <w:szCs w:val="24"/>
        </w:rPr>
      </w:r>
    </w:p>
    <w:p>
      <w:pPr>
        <w:ind w:firstLine="708"/>
        <w:jc w:val="both"/>
        <w:rPr>
          <w:sz w:val="24"/>
          <w:szCs w:val="24"/>
        </w:rPr>
      </w:pPr>
      <w:r>
        <w:rPr>
          <w:sz w:val="24"/>
          <w:szCs w:val="24"/>
        </w:rPr>
        <w:t xml:space="preserve">1) порядка проведения контрольных мероприятий; </w:t>
      </w:r>
      <w:r>
        <w:rPr>
          <w:sz w:val="24"/>
          <w:szCs w:val="24"/>
        </w:rPr>
      </w:r>
      <w:r>
        <w:rPr>
          <w:sz w:val="24"/>
          <w:szCs w:val="24"/>
        </w:rPr>
      </w:r>
    </w:p>
    <w:p>
      <w:pPr>
        <w:ind w:firstLine="708"/>
        <w:jc w:val="both"/>
        <w:rPr>
          <w:sz w:val="24"/>
          <w:szCs w:val="24"/>
        </w:rPr>
      </w:pPr>
      <w:r>
        <w:rPr>
          <w:sz w:val="24"/>
          <w:szCs w:val="24"/>
        </w:rPr>
        <w:t xml:space="preserve">2) периодичности проведения контрольных мероприятий; </w:t>
      </w:r>
      <w:r>
        <w:rPr>
          <w:sz w:val="24"/>
          <w:szCs w:val="24"/>
        </w:rPr>
      </w:r>
      <w:r>
        <w:rPr>
          <w:sz w:val="24"/>
          <w:szCs w:val="24"/>
        </w:rPr>
      </w:r>
    </w:p>
    <w:p>
      <w:pPr>
        <w:ind w:firstLine="708"/>
        <w:jc w:val="both"/>
        <w:rPr>
          <w:sz w:val="24"/>
          <w:szCs w:val="24"/>
        </w:rPr>
      </w:pPr>
      <w:r>
        <w:rPr>
          <w:sz w:val="24"/>
          <w:szCs w:val="24"/>
        </w:rPr>
        <w:t xml:space="preserve">3) порядка принятия решений по итогам контрольных мероприятий; </w:t>
      </w:r>
      <w:r>
        <w:rPr>
          <w:sz w:val="24"/>
          <w:szCs w:val="24"/>
        </w:rPr>
      </w:r>
      <w:r>
        <w:rPr>
          <w:sz w:val="24"/>
          <w:szCs w:val="24"/>
        </w:rPr>
      </w:r>
    </w:p>
    <w:p>
      <w:pPr>
        <w:ind w:firstLine="708"/>
        <w:jc w:val="both"/>
        <w:rPr>
          <w:sz w:val="24"/>
          <w:szCs w:val="24"/>
        </w:rPr>
      </w:pPr>
      <w:r>
        <w:rPr>
          <w:sz w:val="24"/>
          <w:szCs w:val="24"/>
        </w:rPr>
        <w:t xml:space="preserve">4) порядка обжалования решений контрольного органа; </w:t>
      </w:r>
      <w:r>
        <w:rPr>
          <w:sz w:val="24"/>
          <w:szCs w:val="24"/>
        </w:rPr>
      </w:r>
      <w:r>
        <w:rPr>
          <w:sz w:val="24"/>
          <w:szCs w:val="24"/>
        </w:rPr>
      </w:r>
    </w:p>
    <w:p>
      <w:pPr>
        <w:ind w:firstLine="708"/>
        <w:jc w:val="both"/>
        <w:rPr>
          <w:sz w:val="24"/>
          <w:szCs w:val="24"/>
        </w:rPr>
      </w:pPr>
      <w:r>
        <w:rPr>
          <w:sz w:val="24"/>
          <w:szCs w:val="24"/>
        </w:rPr>
        <w:t xml:space="preserve">5) соблюдения обязательных требований.  </w:t>
      </w:r>
      <w:r>
        <w:rPr>
          <w:sz w:val="24"/>
          <w:szCs w:val="24"/>
        </w:rPr>
      </w:r>
      <w:r>
        <w:rPr>
          <w:sz w:val="24"/>
          <w:szCs w:val="24"/>
        </w:rPr>
      </w:r>
    </w:p>
    <w:p>
      <w:pPr>
        <w:ind w:firstLine="708"/>
        <w:jc w:val="both"/>
        <w:rPr>
          <w:sz w:val="24"/>
          <w:szCs w:val="24"/>
        </w:rPr>
      </w:pPr>
      <w:r>
        <w:rPr>
          <w:sz w:val="24"/>
          <w:szCs w:val="24"/>
        </w:rPr>
        <w:t xml:space="preserve">Консультирование контролируемых лиц и их представителей осуществляют должностные лица, уполномоченные осуществлять муниципальный контроль</w:t>
      </w:r>
      <w:r>
        <w:rPr>
          <w:rFonts w:eastAsia="Calibri"/>
          <w:color w:val="auto"/>
          <w:sz w:val="24"/>
          <w:szCs w:val="24"/>
        </w:rPr>
        <w:t xml:space="preserve"> </w:t>
      </w:r>
      <w:r>
        <w:rPr>
          <w:sz w:val="24"/>
          <w:szCs w:val="24"/>
        </w:rPr>
        <w:t xml:space="preserve">в сфере благоустройства</w:t>
      </w:r>
      <w:r>
        <w:rPr>
          <w:sz w:val="24"/>
          <w:szCs w:val="24"/>
        </w:rPr>
        <w:t xml:space="preserve">: </w:t>
      </w:r>
      <w:r>
        <w:rPr>
          <w:sz w:val="24"/>
          <w:szCs w:val="24"/>
        </w:rPr>
      </w:r>
      <w:r>
        <w:rPr>
          <w:sz w:val="24"/>
          <w:szCs w:val="24"/>
        </w:rPr>
      </w:r>
    </w:p>
    <w:p>
      <w:pPr>
        <w:ind w:firstLine="708"/>
        <w:jc w:val="both"/>
        <w:rPr>
          <w:sz w:val="24"/>
          <w:szCs w:val="24"/>
        </w:rPr>
      </w:pPr>
      <w:r>
        <w:rPr>
          <w:sz w:val="24"/>
          <w:szCs w:val="24"/>
        </w:rPr>
        <w:t xml:space="preserve">1) в виде устных разъяснений по телефону, посредством </w:t>
      </w:r>
      <w:r>
        <w:rPr>
          <w:sz w:val="24"/>
          <w:szCs w:val="24"/>
        </w:rPr>
        <w:t xml:space="preserve">видеоконференц</w:t>
      </w:r>
      <w:r>
        <w:rPr>
          <w:sz w:val="24"/>
          <w:szCs w:val="24"/>
        </w:rPr>
        <w:t xml:space="preserve">-связи, на личном приеме либо в ходе проведения профилактического мероприятия, контрольного мероприятия; </w:t>
      </w:r>
      <w:r>
        <w:rPr>
          <w:sz w:val="24"/>
          <w:szCs w:val="24"/>
        </w:rPr>
      </w:r>
      <w:r>
        <w:rPr>
          <w:sz w:val="24"/>
          <w:szCs w:val="24"/>
        </w:rPr>
      </w:r>
    </w:p>
    <w:p>
      <w:pPr>
        <w:ind w:firstLine="708"/>
        <w:jc w:val="both"/>
        <w:rPr>
          <w:sz w:val="24"/>
          <w:szCs w:val="24"/>
        </w:rPr>
      </w:pPr>
      <w:r>
        <w:rPr>
          <w:sz w:val="24"/>
          <w:szCs w:val="24"/>
        </w:rPr>
        <w:t xml:space="preserve">2) посредством размещения на официальном сайте письменного разъяснения по однотипным обращениям (более пяти однотипных обращений) контролируемых лиц и их представителей, подписанного уполномоченным должностным лицом контрольного органа. </w:t>
      </w:r>
      <w:r>
        <w:rPr>
          <w:sz w:val="24"/>
          <w:szCs w:val="24"/>
        </w:rPr>
      </w:r>
      <w:r>
        <w:rPr>
          <w:sz w:val="24"/>
          <w:szCs w:val="24"/>
        </w:rPr>
      </w:r>
    </w:p>
    <w:p>
      <w:pPr>
        <w:ind w:firstLine="708"/>
        <w:jc w:val="both"/>
        <w:rPr>
          <w:sz w:val="24"/>
          <w:szCs w:val="24"/>
        </w:rPr>
      </w:pPr>
      <w:r>
        <w:rPr>
          <w:sz w:val="24"/>
          <w:szCs w:val="24"/>
        </w:rPr>
        <w:t xml:space="preserve">Инди</w:t>
      </w:r>
      <w:r>
        <w:rPr>
          <w:sz w:val="24"/>
          <w:szCs w:val="24"/>
        </w:rPr>
        <w:t xml:space="preserve">видуальное консультирование на личном приеме каждого заявителя должностным лицом контрольного органа не может превышать 10 минут. Время разговора по телефону не должно превышать 10 минут. При проведении консультирования может вестись аудио,  видеозапись.  </w:t>
      </w:r>
      <w:r>
        <w:rPr>
          <w:sz w:val="24"/>
          <w:szCs w:val="24"/>
        </w:rPr>
      </w:r>
      <w:r>
        <w:rPr>
          <w:sz w:val="24"/>
          <w:szCs w:val="24"/>
        </w:rPr>
      </w:r>
    </w:p>
    <w:p>
      <w:pPr>
        <w:ind w:firstLine="708"/>
        <w:jc w:val="both"/>
        <w:rPr>
          <w:sz w:val="24"/>
          <w:szCs w:val="24"/>
        </w:rPr>
      </w:pPr>
      <w:r>
        <w:rPr>
          <w:sz w:val="24"/>
          <w:szCs w:val="24"/>
        </w:rPr>
        <w:t xml:space="preserve">Контрольный орган не предоставляет контролируемым лицам и их представителям в письменной форме информацию по вопросам устного консультирования. </w:t>
      </w:r>
      <w:r>
        <w:rPr>
          <w:sz w:val="24"/>
          <w:szCs w:val="24"/>
        </w:rPr>
      </w:r>
      <w:r>
        <w:rPr>
          <w:sz w:val="24"/>
          <w:szCs w:val="24"/>
        </w:rPr>
      </w:r>
    </w:p>
    <w:p>
      <w:pPr>
        <w:ind w:firstLine="708"/>
        <w:jc w:val="both"/>
        <w:rPr>
          <w:sz w:val="24"/>
          <w:szCs w:val="24"/>
        </w:rPr>
      </w:pPr>
      <w:r>
        <w:rPr>
          <w:sz w:val="24"/>
          <w:szCs w:val="24"/>
        </w:rPr>
        <w:t xml:space="preserve">Письменное консультирование контролируемых лиц и их представителей осуществляется по вопросу порядка обжалования решений контрольного </w:t>
      </w:r>
      <w:r>
        <w:rPr>
          <w:sz w:val="24"/>
          <w:szCs w:val="24"/>
        </w:rPr>
        <w:t xml:space="preserve">органа</w:t>
      </w:r>
      <w:r>
        <w:rPr>
          <w:sz w:val="24"/>
          <w:szCs w:val="24"/>
        </w:rPr>
        <w:t xml:space="preserve"> на основании письменного запроса контролируемого лица в сроки, установленные Федеральным законом от 02.05.2006 № 59-ФЗ «О порядке рассмотрения обращений граждан Российской Федерации».</w:t>
      </w:r>
      <w:r>
        <w:rPr>
          <w:sz w:val="24"/>
          <w:szCs w:val="24"/>
        </w:rPr>
      </w:r>
      <w:r>
        <w:rPr>
          <w:sz w:val="24"/>
          <w:szCs w:val="24"/>
        </w:rPr>
      </w:r>
    </w:p>
    <w:p>
      <w:pPr>
        <w:ind w:firstLine="708"/>
        <w:jc w:val="both"/>
        <w:rPr>
          <w:b/>
          <w:sz w:val="24"/>
          <w:szCs w:val="24"/>
        </w:rPr>
      </w:pPr>
      <w:r>
        <w:rPr>
          <w:b/>
          <w:sz w:val="24"/>
          <w:szCs w:val="24"/>
        </w:rPr>
      </w:r>
      <w:r>
        <w:rPr>
          <w:b/>
          <w:sz w:val="24"/>
          <w:szCs w:val="24"/>
        </w:rPr>
      </w:r>
      <w:r>
        <w:rPr>
          <w:b/>
          <w:sz w:val="24"/>
          <w:szCs w:val="24"/>
        </w:rPr>
      </w:r>
    </w:p>
    <w:p>
      <w:pPr>
        <w:pStyle w:val="848"/>
        <w:numPr>
          <w:ilvl w:val="0"/>
          <w:numId w:val="7"/>
        </w:numPr>
        <w:jc w:val="both"/>
        <w:rPr>
          <w:b/>
          <w:sz w:val="24"/>
          <w:szCs w:val="24"/>
        </w:rPr>
      </w:pPr>
      <w:r>
        <w:rPr>
          <w:b/>
          <w:sz w:val="24"/>
          <w:szCs w:val="24"/>
        </w:rPr>
        <w:t xml:space="preserve">Показатели результативности и эффективности программы профилактики </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bl>
      <w:tblPr>
        <w:tblW w:w="9494" w:type="dxa"/>
        <w:tblInd w:w="-108" w:type="dxa"/>
        <w:tblCellMar>
          <w:left w:w="106" w:type="dxa"/>
          <w:top w:w="9" w:type="dxa"/>
          <w:right w:w="39" w:type="dxa"/>
        </w:tblCellMar>
        <w:tblLook w:val="04A0" w:firstRow="1" w:lastRow="0" w:firstColumn="1" w:lastColumn="0" w:noHBand="0" w:noVBand="1"/>
      </w:tblPr>
      <w:tblGrid>
        <w:gridCol w:w="595"/>
        <w:gridCol w:w="5224"/>
        <w:gridCol w:w="3675"/>
      </w:tblGrid>
      <w:tr>
        <w:tblPrEx/>
        <w:trPr>
          <w:trHeight w:val="655"/>
        </w:trPr>
        <w:tc>
          <w:tcPr>
            <w:shd w:val="clear" w:color="auto" w:fill="auto"/>
            <w:tcBorders>
              <w:top w:val="single" w:color="000000" w:sz="4" w:space="0"/>
              <w:left w:val="single" w:color="000000" w:sz="4" w:space="0"/>
              <w:bottom w:val="single" w:color="000000" w:sz="4" w:space="0"/>
              <w:right w:val="single" w:color="000000" w:sz="4" w:space="0"/>
            </w:tcBorders>
            <w:tcW w:w="595" w:type="dxa"/>
            <w:textDirection w:val="lrTb"/>
            <w:noWrap w:val="false"/>
          </w:tcPr>
          <w:p>
            <w:pPr>
              <w:jc w:val="both"/>
              <w:rPr>
                <w:sz w:val="24"/>
                <w:szCs w:val="24"/>
                <w:lang w:val="en-US"/>
              </w:rPr>
            </w:pPr>
            <w:r>
              <w:rPr>
                <w:sz w:val="24"/>
                <w:szCs w:val="24"/>
                <w:lang w:val="en-US"/>
              </w:rPr>
              <w:t xml:space="preserve">№</w:t>
            </w:r>
            <w:r>
              <w:rPr>
                <w:sz w:val="24"/>
                <w:szCs w:val="24"/>
                <w:lang w:val="en-US"/>
              </w:rPr>
            </w:r>
            <w:r>
              <w:rPr>
                <w:sz w:val="24"/>
                <w:szCs w:val="24"/>
                <w:lang w:val="en-US"/>
              </w:rPr>
            </w:r>
          </w:p>
          <w:p>
            <w:pPr>
              <w:jc w:val="both"/>
              <w:rPr>
                <w:sz w:val="24"/>
                <w:szCs w:val="24"/>
                <w:lang w:val="en-US"/>
              </w:rPr>
            </w:pPr>
            <w:r>
              <w:rPr>
                <w:sz w:val="24"/>
                <w:szCs w:val="24"/>
                <w:lang w:val="en-US"/>
              </w:rPr>
              <w:t xml:space="preserve">п/п</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5223" w:type="dxa"/>
            <w:textDirection w:val="lrTb"/>
            <w:noWrap w:val="false"/>
          </w:tcPr>
          <w:p>
            <w:pPr>
              <w:jc w:val="both"/>
              <w:rPr>
                <w:sz w:val="24"/>
                <w:szCs w:val="24"/>
                <w:lang w:val="en-US"/>
              </w:rPr>
            </w:pPr>
            <w:r>
              <w:rPr>
                <w:sz w:val="24"/>
                <w:szCs w:val="24"/>
                <w:lang w:val="en-US"/>
              </w:rPr>
              <w:t xml:space="preserve">Наименование</w:t>
            </w:r>
            <w:r>
              <w:rPr>
                <w:sz w:val="24"/>
                <w:szCs w:val="24"/>
                <w:lang w:val="en-US"/>
              </w:rPr>
              <w:t xml:space="preserve"> </w:t>
            </w:r>
            <w:r>
              <w:rPr>
                <w:sz w:val="24"/>
                <w:szCs w:val="24"/>
                <w:lang w:val="en-US"/>
              </w:rPr>
              <w:t xml:space="preserve">показателя</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3675" w:type="dxa"/>
            <w:textDirection w:val="lrTb"/>
            <w:noWrap w:val="false"/>
          </w:tcPr>
          <w:p>
            <w:pPr>
              <w:jc w:val="both"/>
              <w:rPr>
                <w:sz w:val="24"/>
                <w:szCs w:val="24"/>
                <w:lang w:val="en-US"/>
              </w:rPr>
            </w:pPr>
            <w:r>
              <w:rPr>
                <w:sz w:val="24"/>
                <w:szCs w:val="24"/>
                <w:lang w:val="en-US"/>
              </w:rPr>
              <w:t xml:space="preserve">Значение</w:t>
            </w:r>
            <w:r>
              <w:rPr>
                <w:sz w:val="24"/>
                <w:szCs w:val="24"/>
                <w:lang w:val="en-US"/>
              </w:rPr>
              <w:t xml:space="preserve"> </w:t>
            </w:r>
            <w:r>
              <w:rPr>
                <w:sz w:val="24"/>
                <w:szCs w:val="24"/>
                <w:lang w:val="en-US"/>
              </w:rPr>
              <w:t xml:space="preserve">показателя</w:t>
            </w:r>
            <w:r>
              <w:rPr>
                <w:sz w:val="24"/>
                <w:szCs w:val="24"/>
                <w:lang w:val="en-US"/>
              </w:rPr>
            </w:r>
            <w:r>
              <w:rPr>
                <w:sz w:val="24"/>
                <w:szCs w:val="24"/>
                <w:lang w:val="en-US"/>
              </w:rPr>
            </w:r>
          </w:p>
        </w:tc>
      </w:tr>
      <w:tr>
        <w:tblPrEx/>
        <w:trPr>
          <w:trHeight w:val="653"/>
        </w:trPr>
        <w:tc>
          <w:tcPr>
            <w:shd w:val="clear" w:color="auto" w:fill="auto"/>
            <w:tcBorders>
              <w:top w:val="single" w:color="000000" w:sz="4" w:space="0"/>
              <w:left w:val="single" w:color="000000" w:sz="4" w:space="0"/>
              <w:bottom w:val="single" w:color="000000" w:sz="4" w:space="0"/>
              <w:right w:val="single" w:color="000000" w:sz="4" w:space="0"/>
            </w:tcBorders>
            <w:tcW w:w="595" w:type="dxa"/>
            <w:textDirection w:val="lrTb"/>
            <w:noWrap w:val="false"/>
          </w:tcPr>
          <w:p>
            <w:pPr>
              <w:jc w:val="both"/>
              <w:rPr>
                <w:sz w:val="24"/>
                <w:szCs w:val="24"/>
                <w:lang w:val="en-US"/>
              </w:rPr>
            </w:pPr>
            <w:r>
              <w:rPr>
                <w:sz w:val="24"/>
                <w:szCs w:val="24"/>
                <w:lang w:val="en-US"/>
              </w:rPr>
              <w:t xml:space="preserve">1.</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5223" w:type="dxa"/>
            <w:textDirection w:val="lrTb"/>
            <w:noWrap w:val="false"/>
          </w:tcPr>
          <w:p>
            <w:pPr>
              <w:jc w:val="both"/>
              <w:rPr>
                <w:sz w:val="24"/>
                <w:szCs w:val="24"/>
                <w:lang w:val="en-US"/>
              </w:rPr>
            </w:pPr>
            <w:r>
              <w:rPr>
                <w:sz w:val="24"/>
                <w:szCs w:val="24"/>
                <w:lang w:val="en-US"/>
              </w:rPr>
              <w:t xml:space="preserve">Исполнение</w:t>
            </w:r>
            <w:r>
              <w:rPr>
                <w:sz w:val="24"/>
                <w:szCs w:val="24"/>
                <w:lang w:val="en-US"/>
              </w:rPr>
              <w:t xml:space="preserve"> </w:t>
            </w:r>
            <w:r>
              <w:rPr>
                <w:sz w:val="24"/>
                <w:szCs w:val="24"/>
                <w:lang w:val="en-US"/>
              </w:rPr>
              <w:t xml:space="preserve">Плана</w:t>
            </w:r>
            <w:r>
              <w:rPr>
                <w:sz w:val="24"/>
                <w:szCs w:val="24"/>
                <w:lang w:val="en-US"/>
              </w:rPr>
              <w:t xml:space="preserve"> </w:t>
            </w:r>
            <w:r>
              <w:rPr>
                <w:sz w:val="24"/>
                <w:szCs w:val="24"/>
                <w:lang w:val="en-US"/>
              </w:rPr>
              <w:t xml:space="preserve">профилактических</w:t>
            </w:r>
            <w:r>
              <w:rPr>
                <w:sz w:val="24"/>
                <w:szCs w:val="24"/>
                <w:lang w:val="en-US"/>
              </w:rPr>
              <w:t xml:space="preserve"> </w:t>
            </w:r>
            <w:r>
              <w:rPr>
                <w:sz w:val="24"/>
                <w:szCs w:val="24"/>
                <w:lang w:val="en-US"/>
              </w:rPr>
              <w:t xml:space="preserve">мероприятий</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3675" w:type="dxa"/>
            <w:textDirection w:val="lrTb"/>
            <w:noWrap w:val="false"/>
          </w:tcPr>
          <w:p>
            <w:pPr>
              <w:jc w:val="both"/>
              <w:rPr>
                <w:sz w:val="24"/>
                <w:szCs w:val="24"/>
                <w:lang w:val="en-US"/>
              </w:rPr>
            </w:pPr>
            <w:r>
              <w:rPr>
                <w:sz w:val="24"/>
                <w:szCs w:val="24"/>
                <w:lang w:val="en-US"/>
              </w:rPr>
              <w:t xml:space="preserve">100%</w:t>
            </w:r>
            <w:r>
              <w:rPr>
                <w:sz w:val="24"/>
                <w:szCs w:val="24"/>
                <w:lang w:val="en-US"/>
              </w:rPr>
            </w:r>
            <w:r>
              <w:rPr>
                <w:sz w:val="24"/>
                <w:szCs w:val="24"/>
                <w:lang w:val="en-US"/>
              </w:rPr>
            </w:r>
          </w:p>
        </w:tc>
      </w:tr>
      <w:tr>
        <w:tblPrEx/>
        <w:trPr>
          <w:trHeight w:val="977"/>
        </w:trPr>
        <w:tc>
          <w:tcPr>
            <w:shd w:val="clear" w:color="auto" w:fill="auto"/>
            <w:tcBorders>
              <w:top w:val="single" w:color="000000" w:sz="4" w:space="0"/>
              <w:left w:val="single" w:color="000000" w:sz="4" w:space="0"/>
              <w:bottom w:val="single" w:color="000000" w:sz="4" w:space="0"/>
              <w:right w:val="single" w:color="000000" w:sz="4" w:space="0"/>
            </w:tcBorders>
            <w:tcW w:w="595" w:type="dxa"/>
            <w:textDirection w:val="lrTb"/>
            <w:noWrap w:val="false"/>
          </w:tcPr>
          <w:p>
            <w:pPr>
              <w:jc w:val="both"/>
              <w:rPr>
                <w:sz w:val="24"/>
                <w:szCs w:val="24"/>
                <w:lang w:val="en-US"/>
              </w:rPr>
            </w:pPr>
            <w:r>
              <w:rPr>
                <w:sz w:val="24"/>
                <w:szCs w:val="24"/>
                <w:lang w:val="en-US"/>
              </w:rPr>
              <w:t xml:space="preserve">2.</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5223" w:type="dxa"/>
            <w:textDirection w:val="lrTb"/>
            <w:noWrap w:val="false"/>
          </w:tcPr>
          <w:p>
            <w:pPr>
              <w:jc w:val="both"/>
              <w:rPr>
                <w:sz w:val="24"/>
                <w:szCs w:val="24"/>
              </w:rPr>
            </w:pPr>
            <w:r>
              <w:rPr>
                <w:sz w:val="24"/>
                <w:szCs w:val="24"/>
              </w:rPr>
              <w:t xml:space="preserve">Повышение уровня информированности контролируемых лиц о способах</w:t>
            </w:r>
            <w:r>
              <w:rPr>
                <w:sz w:val="24"/>
                <w:szCs w:val="24"/>
              </w:rPr>
            </w:r>
            <w:r>
              <w:rPr>
                <w:sz w:val="24"/>
                <w:szCs w:val="24"/>
              </w:rPr>
            </w:r>
          </w:p>
          <w:p>
            <w:pPr>
              <w:jc w:val="both"/>
              <w:rPr>
                <w:sz w:val="24"/>
                <w:szCs w:val="24"/>
                <w:lang w:val="en-US"/>
              </w:rPr>
            </w:pPr>
            <w:r>
              <w:rPr>
                <w:sz w:val="24"/>
                <w:szCs w:val="24"/>
                <w:lang w:val="en-US"/>
              </w:rPr>
              <w:t xml:space="preserve">соблюдения</w:t>
            </w:r>
            <w:r>
              <w:rPr>
                <w:sz w:val="24"/>
                <w:szCs w:val="24"/>
                <w:lang w:val="en-US"/>
              </w:rPr>
              <w:t xml:space="preserve"> </w:t>
            </w:r>
            <w:r>
              <w:rPr>
                <w:sz w:val="24"/>
                <w:szCs w:val="24"/>
                <w:lang w:val="en-US"/>
              </w:rPr>
              <w:t xml:space="preserve">обязательных</w:t>
            </w:r>
            <w:r>
              <w:rPr>
                <w:sz w:val="24"/>
                <w:szCs w:val="24"/>
                <w:lang w:val="en-US"/>
              </w:rPr>
              <w:t xml:space="preserve"> </w:t>
            </w:r>
            <w:r>
              <w:rPr>
                <w:sz w:val="24"/>
                <w:szCs w:val="24"/>
                <w:lang w:val="en-US"/>
              </w:rPr>
              <w:t xml:space="preserve">требований</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3675" w:type="dxa"/>
            <w:textDirection w:val="lrTb"/>
            <w:noWrap w:val="false"/>
          </w:tcPr>
          <w:p>
            <w:pPr>
              <w:jc w:val="both"/>
              <w:rPr>
                <w:sz w:val="24"/>
                <w:szCs w:val="24"/>
                <w:lang w:val="en-US"/>
              </w:rPr>
            </w:pPr>
            <w:r>
              <w:rPr>
                <w:sz w:val="24"/>
                <w:szCs w:val="24"/>
                <w:lang w:val="en-US"/>
              </w:rPr>
              <w:t xml:space="preserve">100%</w:t>
            </w:r>
            <w:r>
              <w:rPr>
                <w:sz w:val="24"/>
                <w:szCs w:val="24"/>
                <w:lang w:val="en-US"/>
              </w:rPr>
            </w:r>
            <w:r>
              <w:rPr>
                <w:sz w:val="24"/>
                <w:szCs w:val="24"/>
                <w:lang w:val="en-US"/>
              </w:rPr>
            </w:r>
          </w:p>
        </w:tc>
      </w:tr>
      <w:tr>
        <w:tblPrEx/>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95" w:type="dxa"/>
            <w:textDirection w:val="lrTb"/>
            <w:noWrap w:val="false"/>
          </w:tcPr>
          <w:p>
            <w:pPr>
              <w:jc w:val="both"/>
              <w:rPr>
                <w:sz w:val="24"/>
                <w:szCs w:val="24"/>
                <w:lang w:val="en-US"/>
              </w:rPr>
            </w:pPr>
            <w:r>
              <w:rPr>
                <w:sz w:val="24"/>
                <w:szCs w:val="24"/>
                <w:lang w:val="en-US"/>
              </w:rPr>
              <w:t xml:space="preserve">3.</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5223" w:type="dxa"/>
            <w:textDirection w:val="lrTb"/>
            <w:noWrap w:val="false"/>
          </w:tcPr>
          <w:p>
            <w:pPr>
              <w:jc w:val="both"/>
              <w:rPr>
                <w:sz w:val="24"/>
                <w:szCs w:val="24"/>
              </w:rPr>
            </w:pPr>
            <w:r>
              <w:rPr>
                <w:sz w:val="24"/>
                <w:szCs w:val="24"/>
              </w:rPr>
              <w:t xml:space="preserve">Снижение доли контрольных мероприятий в общем количестве контрольных и профилактических</w:t>
            </w:r>
            <w:r>
              <w:rPr>
                <w:sz w:val="24"/>
                <w:szCs w:val="24"/>
              </w:rPr>
            </w:r>
            <w:r>
              <w:rPr>
                <w:sz w:val="24"/>
                <w:szCs w:val="24"/>
              </w:rPr>
            </w:r>
          </w:p>
          <w:p>
            <w:pPr>
              <w:jc w:val="both"/>
              <w:rPr>
                <w:sz w:val="24"/>
                <w:szCs w:val="24"/>
                <w:lang w:val="en-US"/>
              </w:rPr>
            </w:pPr>
            <w:r>
              <w:rPr>
                <w:sz w:val="24"/>
                <w:szCs w:val="24"/>
                <w:lang w:val="en-US"/>
              </w:rPr>
              <w:t xml:space="preserve">мероприятий</w:t>
            </w:r>
            <w:r>
              <w:rPr>
                <w:sz w:val="24"/>
                <w:szCs w:val="24"/>
                <w:lang w:val="en-US"/>
              </w:rPr>
            </w:r>
            <w:r>
              <w:rPr>
                <w:sz w:val="24"/>
                <w:szCs w:val="24"/>
                <w:lang w:val="en-US"/>
              </w:rPr>
            </w:r>
          </w:p>
        </w:tc>
        <w:tc>
          <w:tcPr>
            <w:shd w:val="clear" w:color="auto" w:fill="auto"/>
            <w:tcBorders>
              <w:top w:val="single" w:color="000000" w:sz="4" w:space="0"/>
              <w:left w:val="single" w:color="000000" w:sz="4" w:space="0"/>
              <w:bottom w:val="single" w:color="000000" w:sz="4" w:space="0"/>
              <w:right w:val="single" w:color="000000" w:sz="4" w:space="0"/>
            </w:tcBorders>
            <w:tcW w:w="3675" w:type="dxa"/>
            <w:textDirection w:val="lrTb"/>
            <w:noWrap w:val="false"/>
          </w:tcPr>
          <w:p>
            <w:pPr>
              <w:jc w:val="both"/>
              <w:rPr>
                <w:sz w:val="24"/>
                <w:szCs w:val="24"/>
              </w:rPr>
            </w:pPr>
            <w:r>
              <w:rPr>
                <w:sz w:val="24"/>
                <w:szCs w:val="24"/>
              </w:rPr>
              <w:t xml:space="preserve">не более 40% контрольных </w:t>
            </w:r>
            <w:r>
              <w:rPr>
                <w:sz w:val="24"/>
                <w:szCs w:val="24"/>
              </w:rPr>
              <w:t xml:space="preserve">мероприятий</w:t>
            </w:r>
            <w:r>
              <w:rPr>
                <w:sz w:val="24"/>
                <w:szCs w:val="24"/>
              </w:rPr>
              <w:t xml:space="preserve"> в общем</w:t>
            </w:r>
            <w:r>
              <w:rPr>
                <w:sz w:val="24"/>
                <w:szCs w:val="24"/>
              </w:rPr>
            </w:r>
            <w:r>
              <w:rPr>
                <w:sz w:val="24"/>
                <w:szCs w:val="24"/>
              </w:rPr>
            </w:r>
          </w:p>
          <w:p>
            <w:pPr>
              <w:jc w:val="both"/>
              <w:rPr>
                <w:sz w:val="24"/>
                <w:szCs w:val="24"/>
              </w:rPr>
            </w:pPr>
            <w:r>
              <w:rPr>
                <w:sz w:val="24"/>
                <w:szCs w:val="24"/>
              </w:rPr>
              <w:t xml:space="preserve">количестве</w:t>
            </w:r>
            <w:r>
              <w:rPr>
                <w:sz w:val="24"/>
                <w:szCs w:val="24"/>
              </w:rPr>
              <w:t xml:space="preserve"> контрольных и профилактических мероприятий</w:t>
            </w:r>
            <w:r>
              <w:rPr>
                <w:sz w:val="24"/>
                <w:szCs w:val="24"/>
              </w:rPr>
            </w:r>
            <w:r>
              <w:rPr>
                <w:sz w:val="24"/>
                <w:szCs w:val="24"/>
              </w:rPr>
            </w:r>
          </w:p>
        </w:tc>
      </w:tr>
    </w:tbl>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rPr>
          <w:b/>
          <w:sz w:val="24"/>
          <w:szCs w:val="24"/>
        </w:rPr>
      </w:pPr>
      <w:r>
        <w:rPr>
          <w:b/>
          <w:sz w:val="24"/>
          <w:szCs w:val="24"/>
        </w:rPr>
      </w:r>
      <w:r>
        <w:rPr>
          <w:b/>
          <w:sz w:val="24"/>
          <w:szCs w:val="24"/>
        </w:rPr>
      </w:r>
      <w:r>
        <w:rPr>
          <w:b/>
          <w:sz w:val="24"/>
          <w:szCs w:val="24"/>
        </w:rPr>
      </w:r>
    </w:p>
    <w:p>
      <w:pPr>
        <w:jc w:val="left"/>
        <w:rPr>
          <w:sz w:val="26"/>
          <w:szCs w:val="26"/>
        </w:rPr>
      </w:pPr>
      <w:r>
        <w:rPr>
          <w:sz w:val="26"/>
          <w:szCs w:val="26"/>
        </w:rPr>
      </w:r>
      <w:r>
        <w:rPr>
          <w:sz w:val="26"/>
          <w:szCs w:val="26"/>
        </w:rPr>
      </w:r>
      <w:r>
        <w:rPr>
          <w:sz w:val="26"/>
          <w:szCs w:val="26"/>
        </w:rP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Calibri">
    <w:panose1 w:val="020F0502020204030204"/>
  </w:font>
  <w:font w:name="Tahoma">
    <w:panose1 w:val="020B0604030504040204"/>
  </w:font>
  <w:font w:name="Verdana">
    <w:panose1 w:val="020B060403050404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429" w:hanging="72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
    <w:multiLevelType w:val="hybridMultilevel"/>
    <w:lvl w:ilvl="0">
      <w:start w:val="4"/>
      <w:numFmt w:val="upperRoman"/>
      <w:isLgl w:val="false"/>
      <w:suff w:val="tab"/>
      <w:lvlText w:val="%1."/>
      <w:lvlJc w:val="left"/>
      <w:pPr>
        <w:ind w:left="1429" w:hanging="72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
    <w:multiLevelType w:val="hybridMultilevel"/>
    <w:lvl w:ilvl="0">
      <w:start w:val="2"/>
      <w:numFmt w:val="decimal"/>
      <w:isLgl w:val="false"/>
      <w:suff w:val="tab"/>
      <w:lvlText w:val="%1."/>
      <w:lvlJc w:val="left"/>
      <w:pPr>
        <w:ind w:left="585" w:hanging="585"/>
      </w:pPr>
      <w:rPr>
        <w:rFonts w:hint="default"/>
      </w:rPr>
    </w:lvl>
    <w:lvl w:ilvl="1">
      <w:start w:val="1"/>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3">
    <w:multiLevelType w:val="hybridMultilevel"/>
    <w:lvl w:ilvl="0">
      <w:start w:val="1"/>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4">
    <w:multiLevelType w:val="hybridMultilevel"/>
    <w:lvl w:ilvl="0">
      <w:start w:val="1"/>
      <w:numFmt w:val="upperRoman"/>
      <w:isLgl w:val="false"/>
      <w:suff w:val="tab"/>
      <w:lvlText w:val="%1."/>
      <w:lvlJc w:val="left"/>
      <w:pPr>
        <w:ind w:left="1429" w:hanging="72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5">
    <w:multiLevelType w:val="hybridMultilevel"/>
    <w:lvl w:ilvl="0">
      <w:start w:val="2"/>
      <w:numFmt w:val="decimal"/>
      <w:isLgl w:val="false"/>
      <w:suff w:val="tab"/>
      <w:lvlText w:val="%1."/>
      <w:lvlJc w:val="left"/>
      <w:pPr>
        <w:ind w:left="585" w:hanging="585"/>
      </w:pPr>
      <w:rPr>
        <w:rFonts w:hint="default"/>
      </w:rPr>
    </w:lvl>
    <w:lvl w:ilvl="1">
      <w:start w:val="2"/>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6">
    <w:multiLevelType w:val="hybridMultilevel"/>
    <w:lvl w:ilvl="0">
      <w:start w:val="1"/>
      <w:numFmt w:val="decimal"/>
      <w:isLgl w:val="false"/>
      <w:suff w:val="tab"/>
      <w:lvlText w:val="%1."/>
      <w:lvlJc w:val="left"/>
      <w:pPr>
        <w:ind w:left="720" w:hanging="360"/>
      </w:pPr>
      <w:rPr>
        <w:rFonts w:hint="default"/>
        <w:b w:val="0"/>
      </w:rPr>
    </w:lvl>
    <w:lvl w:ilvl="1">
      <w:start w:val="5"/>
      <w:numFmt w:val="decimal"/>
      <w:isLgl/>
      <w:suff w:val="tab"/>
      <w:lvlText w:val="%1.%2."/>
      <w:lvlJc w:val="left"/>
      <w:pPr>
        <w:ind w:left="780" w:hanging="420"/>
      </w:pPr>
      <w:rPr>
        <w:rFonts w:hint="default"/>
      </w:rPr>
    </w:lvl>
    <w:lvl w:ilvl="2">
      <w:start w:val="1"/>
      <w:numFmt w:val="decimal"/>
      <w:isLgl/>
      <w:suff w:val="tab"/>
      <w:lvlText w:val="%1.%2.%3."/>
      <w:lvlJc w:val="left"/>
      <w:pPr>
        <w:ind w:left="1080" w:hanging="720"/>
      </w:pPr>
      <w:rPr>
        <w:rFonts w:hint="default"/>
      </w:rPr>
    </w:lvl>
    <w:lvl w:ilvl="3">
      <w:start w:val="1"/>
      <w:numFmt w:val="decimal"/>
      <w:isLgl/>
      <w:suff w:val="tab"/>
      <w:lvlText w:val="%1.%2.%3.%4."/>
      <w:lvlJc w:val="left"/>
      <w:pPr>
        <w:ind w:left="1080" w:hanging="720"/>
      </w:pPr>
      <w:rPr>
        <w:rFonts w:hint="default"/>
      </w:rPr>
    </w:lvl>
    <w:lvl w:ilvl="4">
      <w:start w:val="1"/>
      <w:numFmt w:val="decimal"/>
      <w:isLgl/>
      <w:suff w:val="tab"/>
      <w:lvlText w:val="%1.%2.%3.%4.%5."/>
      <w:lvlJc w:val="left"/>
      <w:pPr>
        <w:ind w:left="1440" w:hanging="1080"/>
      </w:pPr>
      <w:rPr>
        <w:rFonts w:hint="default"/>
      </w:rPr>
    </w:lvl>
    <w:lvl w:ilvl="5">
      <w:start w:val="1"/>
      <w:numFmt w:val="decimal"/>
      <w:isLgl/>
      <w:suff w:val="tab"/>
      <w:lvlText w:val="%1.%2.%3.%4.%5.%6."/>
      <w:lvlJc w:val="left"/>
      <w:pPr>
        <w:ind w:left="1440" w:hanging="108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1800" w:hanging="1440"/>
      </w:pPr>
      <w:rPr>
        <w:rFonts w:hint="default"/>
      </w:rPr>
    </w:lvl>
    <w:lvl w:ilvl="8">
      <w:start w:val="1"/>
      <w:numFmt w:val="decimal"/>
      <w:isLgl/>
      <w:suff w:val="tab"/>
      <w:lvlText w:val="%1.%2.%3.%4.%5.%6.%7.%8.%9."/>
      <w:lvlJc w:val="left"/>
      <w:pPr>
        <w:ind w:left="2160" w:hanging="1800"/>
      </w:pPr>
      <w:rPr>
        <w:rFonts w:hint="default"/>
      </w:rPr>
    </w:lvl>
  </w:abstractNum>
  <w:num w:numId="1">
    <w:abstractNumId w:val="3"/>
  </w:num>
  <w:num w:numId="2">
    <w:abstractNumId w:val="6"/>
  </w:num>
  <w:num w:numId="3">
    <w:abstractNumId w:val="2"/>
  </w:num>
  <w:num w:numId="4">
    <w:abstractNumId w:val="5"/>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42"/>
    <w:link w:val="840"/>
    <w:uiPriority w:val="9"/>
    <w:rPr>
      <w:rFonts w:ascii="Arial" w:hAnsi="Arial" w:eastAsia="Arial" w:cs="Arial"/>
      <w:sz w:val="40"/>
      <w:szCs w:val="40"/>
    </w:rPr>
  </w:style>
  <w:style w:type="paragraph" w:styleId="669">
    <w:name w:val="Heading 2"/>
    <w:basedOn w:val="839"/>
    <w:next w:val="839"/>
    <w:link w:val="670"/>
    <w:uiPriority w:val="9"/>
    <w:unhideWhenUsed/>
    <w:qFormat/>
    <w:pPr>
      <w:keepLines/>
      <w:keepNext/>
      <w:spacing w:before="360" w:after="200"/>
      <w:outlineLvl w:val="1"/>
    </w:pPr>
    <w:rPr>
      <w:rFonts w:ascii="Arial" w:hAnsi="Arial" w:eastAsia="Arial" w:cs="Arial"/>
      <w:sz w:val="34"/>
    </w:rPr>
  </w:style>
  <w:style w:type="character" w:styleId="670">
    <w:name w:val="Heading 2 Char"/>
    <w:basedOn w:val="842"/>
    <w:link w:val="669"/>
    <w:uiPriority w:val="9"/>
    <w:rPr>
      <w:rFonts w:ascii="Arial" w:hAnsi="Arial" w:eastAsia="Arial" w:cs="Arial"/>
      <w:sz w:val="34"/>
    </w:rPr>
  </w:style>
  <w:style w:type="paragraph" w:styleId="671">
    <w:name w:val="Heading 3"/>
    <w:basedOn w:val="839"/>
    <w:next w:val="839"/>
    <w:link w:val="672"/>
    <w:uiPriority w:val="9"/>
    <w:unhideWhenUsed/>
    <w:qFormat/>
    <w:pPr>
      <w:keepLines/>
      <w:keepNext/>
      <w:spacing w:before="320" w:after="200"/>
      <w:outlineLvl w:val="2"/>
    </w:pPr>
    <w:rPr>
      <w:rFonts w:ascii="Arial" w:hAnsi="Arial" w:eastAsia="Arial" w:cs="Arial"/>
      <w:sz w:val="30"/>
      <w:szCs w:val="30"/>
    </w:rPr>
  </w:style>
  <w:style w:type="character" w:styleId="672">
    <w:name w:val="Heading 3 Char"/>
    <w:basedOn w:val="842"/>
    <w:link w:val="671"/>
    <w:uiPriority w:val="9"/>
    <w:rPr>
      <w:rFonts w:ascii="Arial" w:hAnsi="Arial" w:eastAsia="Arial" w:cs="Arial"/>
      <w:sz w:val="30"/>
      <w:szCs w:val="30"/>
    </w:rPr>
  </w:style>
  <w:style w:type="character" w:styleId="673">
    <w:name w:val="Heading 4 Char"/>
    <w:basedOn w:val="842"/>
    <w:link w:val="841"/>
    <w:uiPriority w:val="9"/>
    <w:rPr>
      <w:rFonts w:ascii="Arial" w:hAnsi="Arial" w:eastAsia="Arial" w:cs="Arial"/>
      <w:b/>
      <w:bCs/>
      <w:sz w:val="26"/>
      <w:szCs w:val="26"/>
    </w:rPr>
  </w:style>
  <w:style w:type="paragraph" w:styleId="674">
    <w:name w:val="Heading 5"/>
    <w:basedOn w:val="839"/>
    <w:next w:val="839"/>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basedOn w:val="842"/>
    <w:link w:val="674"/>
    <w:uiPriority w:val="9"/>
    <w:rPr>
      <w:rFonts w:ascii="Arial" w:hAnsi="Arial" w:eastAsia="Arial" w:cs="Arial"/>
      <w:b/>
      <w:bCs/>
      <w:sz w:val="24"/>
      <w:szCs w:val="24"/>
    </w:rPr>
  </w:style>
  <w:style w:type="paragraph" w:styleId="676">
    <w:name w:val="Heading 6"/>
    <w:basedOn w:val="839"/>
    <w:next w:val="839"/>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basedOn w:val="842"/>
    <w:link w:val="676"/>
    <w:uiPriority w:val="9"/>
    <w:rPr>
      <w:rFonts w:ascii="Arial" w:hAnsi="Arial" w:eastAsia="Arial" w:cs="Arial"/>
      <w:b/>
      <w:bCs/>
      <w:sz w:val="22"/>
      <w:szCs w:val="22"/>
    </w:rPr>
  </w:style>
  <w:style w:type="paragraph" w:styleId="678">
    <w:name w:val="Heading 7"/>
    <w:basedOn w:val="839"/>
    <w:next w:val="839"/>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basedOn w:val="842"/>
    <w:link w:val="678"/>
    <w:uiPriority w:val="9"/>
    <w:rPr>
      <w:rFonts w:ascii="Arial" w:hAnsi="Arial" w:eastAsia="Arial" w:cs="Arial"/>
      <w:b/>
      <w:bCs/>
      <w:i/>
      <w:iCs/>
      <w:sz w:val="22"/>
      <w:szCs w:val="22"/>
    </w:rPr>
  </w:style>
  <w:style w:type="paragraph" w:styleId="680">
    <w:name w:val="Heading 8"/>
    <w:basedOn w:val="839"/>
    <w:next w:val="839"/>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basedOn w:val="842"/>
    <w:link w:val="680"/>
    <w:uiPriority w:val="9"/>
    <w:rPr>
      <w:rFonts w:ascii="Arial" w:hAnsi="Arial" w:eastAsia="Arial" w:cs="Arial"/>
      <w:i/>
      <w:iCs/>
      <w:sz w:val="22"/>
      <w:szCs w:val="22"/>
    </w:rPr>
  </w:style>
  <w:style w:type="paragraph" w:styleId="682">
    <w:name w:val="Heading 9"/>
    <w:basedOn w:val="839"/>
    <w:next w:val="839"/>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basedOn w:val="842"/>
    <w:link w:val="682"/>
    <w:uiPriority w:val="9"/>
    <w:rPr>
      <w:rFonts w:ascii="Arial" w:hAnsi="Arial" w:eastAsia="Arial" w:cs="Arial"/>
      <w:i/>
      <w:iCs/>
      <w:sz w:val="21"/>
      <w:szCs w:val="21"/>
    </w:rPr>
  </w:style>
  <w:style w:type="paragraph" w:styleId="684">
    <w:name w:val="No Spacing"/>
    <w:uiPriority w:val="1"/>
    <w:qFormat/>
    <w:pPr>
      <w:spacing w:before="0" w:after="0" w:line="240" w:lineRule="auto"/>
    </w:pPr>
  </w:style>
  <w:style w:type="paragraph" w:styleId="685">
    <w:name w:val="Title"/>
    <w:basedOn w:val="839"/>
    <w:next w:val="839"/>
    <w:link w:val="686"/>
    <w:uiPriority w:val="10"/>
    <w:qFormat/>
    <w:pPr>
      <w:contextualSpacing/>
      <w:spacing w:before="300" w:after="200"/>
    </w:pPr>
    <w:rPr>
      <w:sz w:val="48"/>
      <w:szCs w:val="48"/>
    </w:rPr>
  </w:style>
  <w:style w:type="character" w:styleId="686">
    <w:name w:val="Title Char"/>
    <w:basedOn w:val="842"/>
    <w:link w:val="685"/>
    <w:uiPriority w:val="10"/>
    <w:rPr>
      <w:sz w:val="48"/>
      <w:szCs w:val="48"/>
    </w:rPr>
  </w:style>
  <w:style w:type="paragraph" w:styleId="687">
    <w:name w:val="Subtitle"/>
    <w:basedOn w:val="839"/>
    <w:next w:val="839"/>
    <w:link w:val="688"/>
    <w:uiPriority w:val="11"/>
    <w:qFormat/>
    <w:pPr>
      <w:spacing w:before="200" w:after="200"/>
    </w:pPr>
    <w:rPr>
      <w:sz w:val="24"/>
      <w:szCs w:val="24"/>
    </w:rPr>
  </w:style>
  <w:style w:type="character" w:styleId="688">
    <w:name w:val="Subtitle Char"/>
    <w:basedOn w:val="842"/>
    <w:link w:val="687"/>
    <w:uiPriority w:val="11"/>
    <w:rPr>
      <w:sz w:val="24"/>
      <w:szCs w:val="24"/>
    </w:rPr>
  </w:style>
  <w:style w:type="paragraph" w:styleId="689">
    <w:name w:val="Quote"/>
    <w:basedOn w:val="839"/>
    <w:next w:val="839"/>
    <w:link w:val="690"/>
    <w:uiPriority w:val="29"/>
    <w:qFormat/>
    <w:pPr>
      <w:ind w:left="720" w:right="720"/>
    </w:pPr>
    <w:rPr>
      <w:i/>
    </w:rPr>
  </w:style>
  <w:style w:type="character" w:styleId="690">
    <w:name w:val="Quote Char"/>
    <w:link w:val="689"/>
    <w:uiPriority w:val="29"/>
    <w:rPr>
      <w:i/>
    </w:rPr>
  </w:style>
  <w:style w:type="paragraph" w:styleId="691">
    <w:name w:val="Intense Quote"/>
    <w:basedOn w:val="839"/>
    <w:next w:val="839"/>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name w:val="Intense Quote Char"/>
    <w:link w:val="691"/>
    <w:uiPriority w:val="30"/>
    <w:rPr>
      <w:i/>
    </w:rPr>
  </w:style>
  <w:style w:type="character" w:styleId="693">
    <w:name w:val="Header Char"/>
    <w:basedOn w:val="842"/>
    <w:link w:val="862"/>
    <w:uiPriority w:val="99"/>
  </w:style>
  <w:style w:type="character" w:styleId="694">
    <w:name w:val="Footer Char"/>
    <w:basedOn w:val="842"/>
    <w:link w:val="864"/>
    <w:uiPriority w:val="99"/>
  </w:style>
  <w:style w:type="paragraph" w:styleId="695">
    <w:name w:val="Caption"/>
    <w:basedOn w:val="839"/>
    <w:next w:val="839"/>
    <w:uiPriority w:val="35"/>
    <w:semiHidden/>
    <w:unhideWhenUsed/>
    <w:qFormat/>
    <w:pPr>
      <w:spacing w:line="276" w:lineRule="auto"/>
    </w:pPr>
    <w:rPr>
      <w:b/>
      <w:bCs/>
      <w:color w:val="4f81bd" w:themeColor="accent1"/>
      <w:sz w:val="18"/>
      <w:szCs w:val="18"/>
    </w:rPr>
  </w:style>
  <w:style w:type="character" w:styleId="696">
    <w:name w:val="Caption Char"/>
    <w:basedOn w:val="695"/>
    <w:link w:val="864"/>
    <w:uiPriority w:val="99"/>
  </w:style>
  <w:style w:type="table" w:styleId="697">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2">
    <w:name w:val="footnote text"/>
    <w:basedOn w:val="839"/>
    <w:link w:val="823"/>
    <w:uiPriority w:val="99"/>
    <w:semiHidden/>
    <w:unhideWhenUsed/>
    <w:pPr>
      <w:spacing w:after="40" w:line="240" w:lineRule="auto"/>
    </w:pPr>
    <w:rPr>
      <w:sz w:val="18"/>
    </w:rPr>
  </w:style>
  <w:style w:type="character" w:styleId="823">
    <w:name w:val="Footnote Text Char"/>
    <w:link w:val="822"/>
    <w:uiPriority w:val="99"/>
    <w:rPr>
      <w:sz w:val="18"/>
    </w:rPr>
  </w:style>
  <w:style w:type="character" w:styleId="824">
    <w:name w:val="footnote reference"/>
    <w:basedOn w:val="842"/>
    <w:uiPriority w:val="99"/>
    <w:unhideWhenUsed/>
    <w:rPr>
      <w:vertAlign w:val="superscript"/>
    </w:rPr>
  </w:style>
  <w:style w:type="paragraph" w:styleId="825">
    <w:name w:val="endnote text"/>
    <w:basedOn w:val="839"/>
    <w:link w:val="826"/>
    <w:uiPriority w:val="99"/>
    <w:semiHidden/>
    <w:unhideWhenUsed/>
    <w:pPr>
      <w:spacing w:after="0" w:line="240" w:lineRule="auto"/>
    </w:pPr>
    <w:rPr>
      <w:sz w:val="20"/>
    </w:rPr>
  </w:style>
  <w:style w:type="character" w:styleId="826">
    <w:name w:val="Endnote Text Char"/>
    <w:link w:val="825"/>
    <w:uiPriority w:val="99"/>
    <w:rPr>
      <w:sz w:val="20"/>
    </w:rPr>
  </w:style>
  <w:style w:type="character" w:styleId="827">
    <w:name w:val="endnote reference"/>
    <w:basedOn w:val="842"/>
    <w:uiPriority w:val="99"/>
    <w:semiHidden/>
    <w:unhideWhenUsed/>
    <w:rPr>
      <w:vertAlign w:val="superscript"/>
    </w:rPr>
  </w:style>
  <w:style w:type="paragraph" w:styleId="828">
    <w:name w:val="toc 1"/>
    <w:basedOn w:val="839"/>
    <w:next w:val="839"/>
    <w:uiPriority w:val="39"/>
    <w:unhideWhenUsed/>
    <w:pPr>
      <w:ind w:left="0" w:right="0" w:firstLine="0"/>
      <w:spacing w:after="57"/>
    </w:pPr>
  </w:style>
  <w:style w:type="paragraph" w:styleId="829">
    <w:name w:val="toc 2"/>
    <w:basedOn w:val="839"/>
    <w:next w:val="839"/>
    <w:uiPriority w:val="39"/>
    <w:unhideWhenUsed/>
    <w:pPr>
      <w:ind w:left="283" w:right="0" w:firstLine="0"/>
      <w:spacing w:after="57"/>
    </w:pPr>
  </w:style>
  <w:style w:type="paragraph" w:styleId="830">
    <w:name w:val="toc 3"/>
    <w:basedOn w:val="839"/>
    <w:next w:val="839"/>
    <w:uiPriority w:val="39"/>
    <w:unhideWhenUsed/>
    <w:pPr>
      <w:ind w:left="567" w:right="0" w:firstLine="0"/>
      <w:spacing w:after="57"/>
    </w:pPr>
  </w:style>
  <w:style w:type="paragraph" w:styleId="831">
    <w:name w:val="toc 4"/>
    <w:basedOn w:val="839"/>
    <w:next w:val="839"/>
    <w:uiPriority w:val="39"/>
    <w:unhideWhenUsed/>
    <w:pPr>
      <w:ind w:left="850" w:right="0" w:firstLine="0"/>
      <w:spacing w:after="57"/>
    </w:pPr>
  </w:style>
  <w:style w:type="paragraph" w:styleId="832">
    <w:name w:val="toc 5"/>
    <w:basedOn w:val="839"/>
    <w:next w:val="839"/>
    <w:uiPriority w:val="39"/>
    <w:unhideWhenUsed/>
    <w:pPr>
      <w:ind w:left="1134" w:right="0" w:firstLine="0"/>
      <w:spacing w:after="57"/>
    </w:pPr>
  </w:style>
  <w:style w:type="paragraph" w:styleId="833">
    <w:name w:val="toc 6"/>
    <w:basedOn w:val="839"/>
    <w:next w:val="839"/>
    <w:uiPriority w:val="39"/>
    <w:unhideWhenUsed/>
    <w:pPr>
      <w:ind w:left="1417" w:right="0" w:firstLine="0"/>
      <w:spacing w:after="57"/>
    </w:pPr>
  </w:style>
  <w:style w:type="paragraph" w:styleId="834">
    <w:name w:val="toc 7"/>
    <w:basedOn w:val="839"/>
    <w:next w:val="839"/>
    <w:uiPriority w:val="39"/>
    <w:unhideWhenUsed/>
    <w:pPr>
      <w:ind w:left="1701" w:right="0" w:firstLine="0"/>
      <w:spacing w:after="57"/>
    </w:pPr>
  </w:style>
  <w:style w:type="paragraph" w:styleId="835">
    <w:name w:val="toc 8"/>
    <w:basedOn w:val="839"/>
    <w:next w:val="839"/>
    <w:uiPriority w:val="39"/>
    <w:unhideWhenUsed/>
    <w:pPr>
      <w:ind w:left="1984" w:right="0" w:firstLine="0"/>
      <w:spacing w:after="57"/>
    </w:pPr>
  </w:style>
  <w:style w:type="paragraph" w:styleId="836">
    <w:name w:val="toc 9"/>
    <w:basedOn w:val="839"/>
    <w:next w:val="839"/>
    <w:uiPriority w:val="39"/>
    <w:unhideWhenUsed/>
    <w:pPr>
      <w:ind w:left="2268" w:right="0" w:firstLine="0"/>
      <w:spacing w:after="57"/>
    </w:pPr>
  </w:style>
  <w:style w:type="paragraph" w:styleId="837">
    <w:name w:val="TOC Heading"/>
    <w:uiPriority w:val="39"/>
    <w:unhideWhenUsed/>
  </w:style>
  <w:style w:type="paragraph" w:styleId="838">
    <w:name w:val="table of figures"/>
    <w:basedOn w:val="839"/>
    <w:next w:val="839"/>
    <w:uiPriority w:val="99"/>
    <w:unhideWhenUsed/>
    <w:pPr>
      <w:spacing w:after="0" w:afterAutospacing="0"/>
    </w:pPr>
  </w:style>
  <w:style w:type="paragraph" w:styleId="839" w:default="1">
    <w:name w:val="Normal"/>
    <w:qFormat/>
    <w:pPr>
      <w:spacing w:after="0" w:line="240" w:lineRule="auto"/>
    </w:pPr>
    <w:rPr>
      <w:rFonts w:ascii="Times New Roman" w:hAnsi="Times New Roman" w:eastAsia="Times New Roman" w:cs="Times New Roman"/>
      <w:color w:val="000000"/>
      <w:sz w:val="20"/>
      <w:szCs w:val="20"/>
      <w:lang w:eastAsia="ru-RU"/>
    </w:rPr>
  </w:style>
  <w:style w:type="paragraph" w:styleId="840">
    <w:name w:val="Heading 1"/>
    <w:basedOn w:val="839"/>
    <w:next w:val="839"/>
    <w:link w:val="855"/>
    <w:uiPriority w:val="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41">
    <w:name w:val="Heading 4"/>
    <w:basedOn w:val="839"/>
    <w:next w:val="839"/>
    <w:link w:val="845"/>
    <w:qFormat/>
    <w:pPr>
      <w:ind w:firstLine="709"/>
      <w:keepNext/>
      <w:outlineLvl w:val="3"/>
    </w:pPr>
    <w:rPr>
      <w:sz w:val="28"/>
    </w:rPr>
  </w:style>
  <w:style w:type="character" w:styleId="842" w:default="1">
    <w:name w:val="Default Paragraph Font"/>
    <w:uiPriority w:val="1"/>
    <w:semiHidden/>
    <w:unhideWhenUsed/>
  </w:style>
  <w:style w:type="table" w:styleId="843" w:default="1">
    <w:name w:val="Normal Table"/>
    <w:uiPriority w:val="99"/>
    <w:semiHidden/>
    <w:unhideWhenUsed/>
    <w:tblPr>
      <w:tblInd w:w="0" w:type="dxa"/>
      <w:tblCellMar>
        <w:left w:w="108" w:type="dxa"/>
        <w:top w:w="0" w:type="dxa"/>
        <w:right w:w="108" w:type="dxa"/>
        <w:bottom w:w="0" w:type="dxa"/>
      </w:tblCellMar>
    </w:tblPr>
  </w:style>
  <w:style w:type="numbering" w:styleId="844" w:default="1">
    <w:name w:val="No List"/>
    <w:uiPriority w:val="99"/>
    <w:semiHidden/>
    <w:unhideWhenUsed/>
  </w:style>
  <w:style w:type="character" w:styleId="845" w:customStyle="1">
    <w:name w:val="Заголовок 4 Знак"/>
    <w:basedOn w:val="842"/>
    <w:link w:val="841"/>
    <w:rPr>
      <w:rFonts w:ascii="Times New Roman" w:hAnsi="Times New Roman" w:eastAsia="Times New Roman" w:cs="Times New Roman"/>
      <w:color w:val="000000"/>
      <w:sz w:val="28"/>
      <w:szCs w:val="20"/>
      <w:lang w:eastAsia="ru-RU"/>
    </w:rPr>
  </w:style>
  <w:style w:type="paragraph" w:styleId="846" w:customStyle="1">
    <w:name w:val="Знак Знак Знак Знак Знак Знак Знак Знак Знак Знак"/>
    <w:basedOn w:val="839"/>
    <w:pPr>
      <w:spacing w:after="160" w:line="240" w:lineRule="exact"/>
    </w:pPr>
    <w:rPr>
      <w:rFonts w:ascii="Verdana" w:hAnsi="Verdana" w:cs="Verdana"/>
      <w:color w:val="auto"/>
      <w:lang w:val="en-US" w:eastAsia="en-US"/>
    </w:rPr>
  </w:style>
  <w:style w:type="paragraph" w:styleId="847" w:customStyle="1">
    <w:name w:val="ConsPlusTitle"/>
    <w:uiPriority w:val="99"/>
    <w:pPr>
      <w:spacing w:after="0" w:line="240" w:lineRule="auto"/>
      <w:widowControl w:val="off"/>
    </w:pPr>
    <w:rPr>
      <w:rFonts w:ascii="Arial" w:hAnsi="Arial" w:eastAsia="Times New Roman" w:cs="Arial"/>
      <w:b/>
      <w:bCs/>
      <w:sz w:val="20"/>
      <w:szCs w:val="20"/>
      <w:lang w:eastAsia="ru-RU"/>
    </w:rPr>
  </w:style>
  <w:style w:type="paragraph" w:styleId="848">
    <w:name w:val="List Paragraph"/>
    <w:basedOn w:val="839"/>
    <w:link w:val="854"/>
    <w:qFormat/>
    <w:pPr>
      <w:contextualSpacing/>
      <w:ind w:left="720"/>
    </w:pPr>
  </w:style>
  <w:style w:type="character" w:styleId="849">
    <w:name w:val="Hyperlink"/>
    <w:basedOn w:val="842"/>
    <w:uiPriority w:val="99"/>
    <w:semiHidden/>
    <w:unhideWhenUsed/>
    <w:rPr>
      <w:color w:val="0000ff"/>
      <w:u w:val="single"/>
    </w:rPr>
  </w:style>
  <w:style w:type="paragraph" w:styleId="850">
    <w:name w:val="Balloon Text"/>
    <w:basedOn w:val="839"/>
    <w:link w:val="851"/>
    <w:uiPriority w:val="99"/>
    <w:semiHidden/>
    <w:unhideWhenUsed/>
    <w:rPr>
      <w:rFonts w:ascii="Tahoma" w:hAnsi="Tahoma" w:cs="Tahoma"/>
      <w:sz w:val="16"/>
      <w:szCs w:val="16"/>
    </w:rPr>
  </w:style>
  <w:style w:type="character" w:styleId="851" w:customStyle="1">
    <w:name w:val="Текст выноски Знак"/>
    <w:basedOn w:val="842"/>
    <w:link w:val="850"/>
    <w:uiPriority w:val="99"/>
    <w:semiHidden/>
    <w:rPr>
      <w:rFonts w:ascii="Tahoma" w:hAnsi="Tahoma" w:eastAsia="Times New Roman" w:cs="Tahoma"/>
      <w:color w:val="000000"/>
      <w:sz w:val="16"/>
      <w:szCs w:val="16"/>
      <w:lang w:eastAsia="ru-RU"/>
    </w:rPr>
  </w:style>
  <w:style w:type="character" w:styleId="852" w:customStyle="1">
    <w:name w:val="doccaption"/>
    <w:basedOn w:val="842"/>
  </w:style>
  <w:style w:type="character" w:styleId="853">
    <w:name w:val="Strong"/>
    <w:basedOn w:val="842"/>
    <w:uiPriority w:val="22"/>
    <w:qFormat/>
    <w:rPr>
      <w:b/>
      <w:bCs/>
    </w:rPr>
  </w:style>
  <w:style w:type="character" w:styleId="854" w:customStyle="1">
    <w:name w:val="Абзац списка Знак"/>
    <w:link w:val="848"/>
    <w:rPr>
      <w:rFonts w:ascii="Times New Roman" w:hAnsi="Times New Roman" w:eastAsia="Times New Roman" w:cs="Times New Roman"/>
      <w:color w:val="000000"/>
      <w:sz w:val="20"/>
      <w:szCs w:val="20"/>
      <w:lang w:eastAsia="ru-RU"/>
    </w:rPr>
  </w:style>
  <w:style w:type="character" w:styleId="855" w:customStyle="1">
    <w:name w:val="Заголовок 1 Знак"/>
    <w:basedOn w:val="842"/>
    <w:link w:val="840"/>
    <w:uiPriority w:val="9"/>
    <w:rPr>
      <w:rFonts w:asciiTheme="majorHAnsi" w:hAnsiTheme="majorHAnsi" w:eastAsiaTheme="majorEastAsia" w:cstheme="majorBidi"/>
      <w:b/>
      <w:bCs/>
      <w:color w:val="365f91" w:themeColor="accent1" w:themeShade="BF"/>
      <w:sz w:val="28"/>
      <w:szCs w:val="28"/>
      <w:lang w:eastAsia="ru-RU"/>
    </w:rPr>
  </w:style>
  <w:style w:type="paragraph" w:styleId="856" w:customStyle="1">
    <w:name w:val="ConsPlusNormal"/>
    <w:link w:val="858"/>
    <w:pPr>
      <w:spacing w:after="0" w:line="240" w:lineRule="auto"/>
    </w:pPr>
    <w:rPr>
      <w:rFonts w:ascii="Times New Roman" w:hAnsi="Times New Roman" w:eastAsia="Calibri" w:cs="Times New Roman"/>
      <w:b/>
      <w:bCs/>
      <w:sz w:val="24"/>
      <w:szCs w:val="24"/>
      <w:lang w:eastAsia="ar-SA"/>
    </w:rPr>
  </w:style>
  <w:style w:type="character" w:styleId="857" w:customStyle="1">
    <w:name w:val="Основной текст (2) + 8;5 pt"/>
    <w:rPr>
      <w:rFonts w:ascii="Times New Roman" w:hAnsi="Times New Roman" w:eastAsia="Times New Roman" w:cs="Times New Roman"/>
      <w:b w:val="0"/>
      <w:bCs w:val="0"/>
      <w:i w:val="0"/>
      <w:iCs w:val="0"/>
      <w:smallCaps w:val="0"/>
      <w:strike w:val="0"/>
      <w:color w:val="000000"/>
      <w:spacing w:val="0"/>
      <w:position w:val="0"/>
      <w:sz w:val="17"/>
      <w:szCs w:val="17"/>
      <w:u w:val="none"/>
      <w:shd w:val="clear" w:color="auto" w:fill="ffffff"/>
      <w:lang w:val="ru-RU" w:eastAsia="ru-RU" w:bidi="ru-RU"/>
    </w:rPr>
  </w:style>
  <w:style w:type="character" w:styleId="858" w:customStyle="1">
    <w:name w:val="ConsPlusNormal1"/>
    <w:link w:val="856"/>
    <w:rPr>
      <w:rFonts w:ascii="Times New Roman" w:hAnsi="Times New Roman" w:eastAsia="Calibri" w:cs="Times New Roman"/>
      <w:b/>
      <w:bCs/>
      <w:sz w:val="24"/>
      <w:szCs w:val="24"/>
      <w:lang w:eastAsia="ar-SA"/>
    </w:rPr>
  </w:style>
  <w:style w:type="paragraph" w:styleId="859">
    <w:name w:val="HTML Preformatted"/>
    <w:basedOn w:val="839"/>
    <w:link w:val="860"/>
    <w:uiPriority w:val="99"/>
    <w:unhideWhenUsed/>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color w:val="auto"/>
    </w:rPr>
  </w:style>
  <w:style w:type="character" w:styleId="860" w:customStyle="1">
    <w:name w:val="Стандартный HTML Знак"/>
    <w:basedOn w:val="842"/>
    <w:link w:val="859"/>
    <w:uiPriority w:val="99"/>
    <w:rPr>
      <w:rFonts w:ascii="Courier New" w:hAnsi="Courier New" w:eastAsia="Times New Roman" w:cs="Courier New"/>
      <w:sz w:val="20"/>
      <w:szCs w:val="20"/>
      <w:lang w:eastAsia="ru-RU"/>
    </w:rPr>
  </w:style>
  <w:style w:type="table" w:styleId="861">
    <w:name w:val="Table Grid"/>
    <w:basedOn w:val="843"/>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2">
    <w:name w:val="Header"/>
    <w:basedOn w:val="839"/>
    <w:link w:val="863"/>
    <w:uiPriority w:val="99"/>
    <w:unhideWhenUsed/>
    <w:pPr>
      <w:tabs>
        <w:tab w:val="center" w:pos="4677" w:leader="none"/>
        <w:tab w:val="right" w:pos="9355" w:leader="none"/>
      </w:tabs>
    </w:pPr>
  </w:style>
  <w:style w:type="character" w:styleId="863" w:customStyle="1">
    <w:name w:val="Верхний колонтитул Знак"/>
    <w:basedOn w:val="842"/>
    <w:link w:val="862"/>
    <w:uiPriority w:val="99"/>
    <w:rPr>
      <w:rFonts w:ascii="Times New Roman" w:hAnsi="Times New Roman" w:eastAsia="Times New Roman" w:cs="Times New Roman"/>
      <w:color w:val="000000"/>
      <w:sz w:val="20"/>
      <w:szCs w:val="20"/>
      <w:lang w:eastAsia="ru-RU"/>
    </w:rPr>
  </w:style>
  <w:style w:type="paragraph" w:styleId="864">
    <w:name w:val="Footer"/>
    <w:basedOn w:val="839"/>
    <w:link w:val="865"/>
    <w:uiPriority w:val="99"/>
    <w:unhideWhenUsed/>
    <w:pPr>
      <w:tabs>
        <w:tab w:val="center" w:pos="4677" w:leader="none"/>
        <w:tab w:val="right" w:pos="9355" w:leader="none"/>
      </w:tabs>
    </w:pPr>
  </w:style>
  <w:style w:type="character" w:styleId="865" w:customStyle="1">
    <w:name w:val="Нижний колонтитул Знак"/>
    <w:basedOn w:val="842"/>
    <w:link w:val="864"/>
    <w:uiPriority w:val="99"/>
    <w:rPr>
      <w:rFonts w:ascii="Times New Roman" w:hAnsi="Times New Roman" w:eastAsia="Times New Roman" w:cs="Times New Roman"/>
      <w:color w:val="000000"/>
      <w:sz w:val="20"/>
      <w:szCs w:val="20"/>
      <w:lang w:eastAsia="ru-RU"/>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 Id="rId12"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23DB8-F02E-4EFE-B56A-26A2066B8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Пахтусова Светлана Юрьевна</dc:creator>
  <cp:revision>22</cp:revision>
  <dcterms:created xsi:type="dcterms:W3CDTF">2022-04-19T09:20:00Z</dcterms:created>
  <dcterms:modified xsi:type="dcterms:W3CDTF">2024-12-25T08:47:35Z</dcterms:modified>
</cp:coreProperties>
</file>