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t xml:space="preserve"> </w:t>
      </w:r>
      <w:r>
        <w:rPr>
          <w:sz w:val="24"/>
          <w:szCs w:val="24"/>
        </w:rPr>
      </w:r>
      <w:r>
        <w:rPr>
          <w:sz w:val="24"/>
          <w:szCs w:val="24"/>
        </w:rPr>
      </w:r>
    </w:p>
    <w:p>
      <w:pPr>
        <w:jc w:val="center"/>
        <w:widowControl w:val="off"/>
        <w:rPr>
          <w:b/>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20.12.2024</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2095</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jc w:val="center"/>
        <w:widowControl w:val="off"/>
        <w:rPr>
          <w:b/>
        </w:rPr>
      </w:pPr>
      <w:r>
        <w:rPr>
          <w:b/>
          <w:bCs/>
          <w:iCs/>
        </w:rPr>
        <w:t xml:space="preserve">Об </w:t>
      </w:r>
      <w:r>
        <w:rPr>
          <w:b/>
          <w:bCs/>
          <w:iCs/>
        </w:rPr>
        <w:t xml:space="preserve">утверждении </w:t>
      </w:r>
      <w:r>
        <w:rPr>
          <w:b/>
        </w:rPr>
        <w:t xml:space="preserve">Программы профилактики рисков причинения вреда (ущерба) охраняемым </w:t>
      </w:r>
      <w:r>
        <w:rPr>
          <w:b/>
        </w:rPr>
        <w:br/>
      </w:r>
      <w:r>
        <w:rPr>
          <w:b/>
        </w:rPr>
        <w:t xml:space="preserve">законом ценностям по муниципальному </w:t>
      </w:r>
      <w:r>
        <w:rPr>
          <w:b/>
        </w:rPr>
        <w:t xml:space="preserve">жилищному </w:t>
      </w:r>
      <w:r>
        <w:rPr>
          <w:b/>
        </w:rPr>
        <w:t xml:space="preserve"> контролю на 202</w:t>
      </w:r>
      <w:r>
        <w:rPr>
          <w:b/>
        </w:rPr>
        <w:t xml:space="preserve">5</w:t>
      </w:r>
      <w:r>
        <w:rPr>
          <w:b/>
        </w:rPr>
        <w:t xml:space="preserve"> год</w:t>
      </w:r>
      <w:r>
        <w:rPr>
          <w:b/>
        </w:rPr>
      </w:r>
      <w:r>
        <w:rPr>
          <w:b/>
        </w:rPr>
      </w:r>
    </w:p>
    <w:p>
      <w:pPr>
        <w:pStyle w:val="861"/>
        <w:ind w:firstLine="0"/>
        <w:jc w:val="both"/>
        <w:keepNext w:val="0"/>
        <w:widowControl w:val="off"/>
        <w:rPr>
          <w:sz w:val="24"/>
          <w:szCs w:val="24"/>
        </w:rPr>
      </w:pPr>
      <w:r>
        <w:rPr>
          <w:sz w:val="24"/>
          <w:szCs w:val="24"/>
        </w:rPr>
      </w:r>
      <w:r>
        <w:rPr>
          <w:sz w:val="24"/>
          <w:szCs w:val="24"/>
        </w:rPr>
      </w:r>
      <w:r>
        <w:rPr>
          <w:sz w:val="24"/>
          <w:szCs w:val="24"/>
        </w:rPr>
      </w:r>
    </w:p>
    <w:p>
      <w:pPr>
        <w:jc w:val="both"/>
        <w:widowControl w:val="off"/>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На основании Федеральн</w:t>
      </w:r>
      <w:r>
        <w:rPr>
          <w:sz w:val="24"/>
          <w:szCs w:val="24"/>
        </w:rPr>
        <w:t xml:space="preserve">ых</w:t>
      </w:r>
      <w:r>
        <w:rPr>
          <w:sz w:val="24"/>
          <w:szCs w:val="24"/>
        </w:rPr>
        <w:t xml:space="preserve"> закон</w:t>
      </w:r>
      <w:r>
        <w:rPr>
          <w:sz w:val="24"/>
          <w:szCs w:val="24"/>
        </w:rPr>
        <w:t xml:space="preserve">ов</w:t>
      </w:r>
      <w:r>
        <w:rPr>
          <w:sz w:val="24"/>
          <w:szCs w:val="24"/>
        </w:rPr>
        <w:t xml:space="preserve"> от 06.10.2003 № 131-ФЗ «Об общих принципах организации местного самоуправления в Российской Федерации», от 31.07.2020 № 248-ФЗ «О государственном контроле (надзоре) и муниципальном контроле в Российской Федерации», </w:t>
      </w:r>
      <w:r>
        <w:rPr>
          <w:sz w:val="24"/>
          <w:szCs w:val="24"/>
        </w:rPr>
        <w:t xml:space="preserve">п</w:t>
      </w:r>
      <w:r>
        <w:rPr>
          <w:sz w:val="24"/>
          <w:szCs w:val="24"/>
        </w:rPr>
        <w:t xml:space="preserve">остановлени</w:t>
      </w:r>
      <w:r>
        <w:rPr>
          <w:sz w:val="24"/>
          <w:szCs w:val="24"/>
        </w:rPr>
        <w:t xml:space="preserve">я</w:t>
      </w:r>
      <w:r>
        <w:rPr>
          <w:sz w:val="24"/>
          <w:szCs w:val="24"/>
        </w:rPr>
        <w:t xml:space="preserve"> Правительства Р</w:t>
      </w:r>
      <w:r>
        <w:rPr>
          <w:sz w:val="24"/>
          <w:szCs w:val="24"/>
        </w:rPr>
        <w:t xml:space="preserve">оссийской </w:t>
      </w:r>
      <w:r>
        <w:rPr>
          <w:sz w:val="24"/>
          <w:szCs w:val="24"/>
        </w:rPr>
        <w:t xml:space="preserve">Ф</w:t>
      </w:r>
      <w:r>
        <w:rPr>
          <w:sz w:val="24"/>
          <w:szCs w:val="24"/>
        </w:rPr>
        <w:t xml:space="preserve">едерации</w:t>
      </w:r>
      <w:r>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Pr>
          <w:sz w:val="24"/>
          <w:szCs w:val="24"/>
        </w:rPr>
      </w:r>
      <w:r>
        <w:rPr>
          <w:sz w:val="24"/>
          <w:szCs w:val="24"/>
        </w:rPr>
      </w:r>
    </w:p>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w:rPr>
          <w:b/>
          <w:sz w:val="24"/>
          <w:szCs w:val="24"/>
        </w:rPr>
        <w:t xml:space="preserve">ПОСТАНОВЛЯЮ:</w:t>
      </w:r>
      <w:r>
        <w:rPr>
          <w:b/>
          <w:sz w:val="24"/>
          <w:szCs w:val="24"/>
        </w:rPr>
      </w:r>
      <w:r>
        <w:rPr>
          <w:b/>
          <w:sz w:val="24"/>
          <w:szCs w:val="24"/>
        </w:rPr>
      </w:r>
    </w:p>
    <w:p>
      <w:pPr>
        <w:jc w:val="both"/>
        <w:widowControl w:val="off"/>
        <w:rPr>
          <w:sz w:val="24"/>
          <w:szCs w:val="24"/>
        </w:rPr>
      </w:pPr>
      <w:r>
        <w:rPr>
          <w:sz w:val="24"/>
          <w:szCs w:val="24"/>
        </w:rPr>
      </w:r>
      <w:r>
        <w:rPr>
          <w:sz w:val="24"/>
          <w:szCs w:val="24"/>
        </w:rPr>
      </w:r>
      <w:r>
        <w:rPr>
          <w:sz w:val="24"/>
          <w:szCs w:val="24"/>
        </w:rPr>
      </w:r>
    </w:p>
    <w:p>
      <w:pPr>
        <w:pStyle w:val="868"/>
        <w:numPr>
          <w:ilvl w:val="0"/>
          <w:numId w:val="1"/>
        </w:numPr>
        <w:ind w:left="0" w:firstLine="709"/>
        <w:jc w:val="both"/>
        <w:widowControl w:val="off"/>
        <w:tabs>
          <w:tab w:val="left" w:pos="993" w:leader="none"/>
        </w:tabs>
        <w:rPr>
          <w:color w:val="auto"/>
          <w:sz w:val="24"/>
          <w:szCs w:val="24"/>
        </w:rPr>
      </w:pPr>
      <w:r>
        <w:rPr>
          <w:sz w:val="24"/>
          <w:szCs w:val="24"/>
        </w:rPr>
        <w:t xml:space="preserve"> </w:t>
      </w:r>
      <w:r>
        <w:rPr>
          <w:sz w:val="24"/>
          <w:szCs w:val="24"/>
        </w:rPr>
        <w:t xml:space="preserve">Утвердить прилагаемую П</w:t>
      </w:r>
      <w:r>
        <w:rPr>
          <w:sz w:val="24"/>
          <w:szCs w:val="24"/>
        </w:rPr>
        <w:t xml:space="preserve">рограмму профилактики </w:t>
      </w:r>
      <w:r>
        <w:rPr>
          <w:sz w:val="24"/>
          <w:szCs w:val="24"/>
        </w:rPr>
        <w:t xml:space="preserve">рисков причи</w:t>
      </w:r>
      <w:r>
        <w:rPr>
          <w:sz w:val="24"/>
          <w:szCs w:val="24"/>
        </w:rPr>
        <w:t xml:space="preserve">нения вреда (ущерба) охраняемым законом ценностям по муниципальному </w:t>
      </w:r>
      <w:r>
        <w:rPr>
          <w:sz w:val="24"/>
          <w:szCs w:val="24"/>
        </w:rPr>
        <w:t xml:space="preserve">жилищному </w:t>
      </w:r>
      <w:r>
        <w:rPr>
          <w:sz w:val="24"/>
          <w:szCs w:val="24"/>
        </w:rPr>
        <w:t xml:space="preserve">контролю </w:t>
      </w:r>
      <w:r>
        <w:rPr>
          <w:sz w:val="24"/>
          <w:szCs w:val="24"/>
        </w:rPr>
        <w:br/>
      </w:r>
      <w:r>
        <w:rPr>
          <w:sz w:val="24"/>
          <w:szCs w:val="24"/>
        </w:rPr>
        <w:t xml:space="preserve">на 202</w:t>
      </w:r>
      <w:r>
        <w:rPr>
          <w:sz w:val="24"/>
          <w:szCs w:val="24"/>
        </w:rPr>
        <w:t xml:space="preserve">5</w:t>
      </w:r>
      <w:r>
        <w:rPr>
          <w:sz w:val="24"/>
          <w:szCs w:val="24"/>
        </w:rPr>
        <w:t xml:space="preserve"> год</w:t>
      </w:r>
      <w:r>
        <w:rPr>
          <w:color w:val="auto"/>
          <w:sz w:val="24"/>
          <w:szCs w:val="24"/>
        </w:rPr>
        <w:t xml:space="preserve">.</w:t>
      </w:r>
      <w:r>
        <w:rPr>
          <w:color w:val="auto"/>
          <w:sz w:val="24"/>
          <w:szCs w:val="24"/>
        </w:rPr>
      </w:r>
      <w:r>
        <w:rPr>
          <w:color w:val="auto"/>
          <w:sz w:val="24"/>
          <w:szCs w:val="24"/>
        </w:rPr>
      </w:r>
    </w:p>
    <w:p>
      <w:pPr>
        <w:pStyle w:val="868"/>
        <w:numPr>
          <w:ilvl w:val="0"/>
          <w:numId w:val="1"/>
        </w:numPr>
        <w:ind w:left="0" w:firstLine="709"/>
        <w:jc w:val="both"/>
        <w:widowControl w:val="off"/>
        <w:tabs>
          <w:tab w:val="left" w:pos="993" w:leader="none"/>
        </w:tabs>
        <w:rPr>
          <w:color w:val="auto"/>
          <w:sz w:val="24"/>
          <w:szCs w:val="24"/>
        </w:rPr>
      </w:pPr>
      <w:r>
        <w:rPr>
          <w:color w:val="auto"/>
          <w:sz w:val="24"/>
          <w:szCs w:val="24"/>
        </w:rPr>
        <w:t xml:space="preserve"> </w:t>
      </w:r>
      <w:r>
        <w:rPr>
          <w:color w:val="auto"/>
          <w:sz w:val="24"/>
          <w:szCs w:val="24"/>
        </w:rPr>
        <w:t xml:space="preserve">Настоящее п</w:t>
      </w:r>
      <w:r>
        <w:rPr>
          <w:color w:val="auto"/>
          <w:sz w:val="24"/>
          <w:szCs w:val="24"/>
        </w:rPr>
        <w:t xml:space="preserve">остановление вступает в силу </w:t>
      </w:r>
      <w:r>
        <w:rPr>
          <w:color w:val="auto"/>
          <w:sz w:val="24"/>
          <w:szCs w:val="24"/>
        </w:rPr>
        <w:t xml:space="preserve">после его </w:t>
      </w:r>
      <w:r>
        <w:rPr>
          <w:color w:val="auto"/>
          <w:sz w:val="24"/>
          <w:szCs w:val="24"/>
        </w:rPr>
        <w:t xml:space="preserve"> подписания.</w:t>
      </w:r>
      <w:r>
        <w:rPr>
          <w:color w:val="auto"/>
          <w:sz w:val="24"/>
          <w:szCs w:val="24"/>
        </w:rPr>
      </w:r>
      <w:r>
        <w:rPr>
          <w:color w:val="auto"/>
          <w:sz w:val="24"/>
          <w:szCs w:val="24"/>
        </w:rPr>
      </w:r>
    </w:p>
    <w:p>
      <w:pPr>
        <w:pStyle w:val="868"/>
        <w:numPr>
          <w:ilvl w:val="0"/>
          <w:numId w:val="1"/>
        </w:numPr>
        <w:ind w:left="0" w:firstLine="709"/>
        <w:jc w:val="both"/>
        <w:widowControl w:val="off"/>
        <w:tabs>
          <w:tab w:val="left" w:pos="993" w:leader="none"/>
        </w:tabs>
        <w:rPr>
          <w:color w:val="auto"/>
          <w:sz w:val="24"/>
          <w:szCs w:val="24"/>
        </w:rPr>
      </w:pPr>
      <w:r>
        <w:rPr>
          <w:color w:val="auto"/>
          <w:sz w:val="24"/>
          <w:szCs w:val="24"/>
        </w:rPr>
        <w:t xml:space="preserve"> </w:t>
      </w:r>
      <w:r>
        <w:rPr>
          <w:color w:val="auto"/>
          <w:sz w:val="24"/>
          <w:szCs w:val="24"/>
        </w:rPr>
        <w:t xml:space="preserve">Н</w:t>
      </w:r>
      <w:r>
        <w:rPr>
          <w:color w:val="auto"/>
          <w:sz w:val="24"/>
          <w:szCs w:val="24"/>
        </w:rPr>
        <w:t xml:space="preserve">астоящее постановление</w:t>
      </w:r>
      <w:r>
        <w:rPr>
          <w:color w:val="auto"/>
          <w:sz w:val="24"/>
          <w:szCs w:val="24"/>
        </w:rPr>
        <w:t xml:space="preserve"> </w:t>
      </w:r>
      <w:r>
        <w:rPr>
          <w:color w:val="auto"/>
          <w:sz w:val="24"/>
          <w:szCs w:val="24"/>
        </w:rPr>
        <w:t xml:space="preserve">подлежит </w:t>
      </w:r>
      <w:r>
        <w:rPr>
          <w:color w:val="auto"/>
          <w:sz w:val="24"/>
          <w:szCs w:val="24"/>
        </w:rPr>
        <w:t xml:space="preserve">разме</w:t>
      </w:r>
      <w:r>
        <w:rPr>
          <w:color w:val="auto"/>
          <w:sz w:val="24"/>
          <w:szCs w:val="24"/>
        </w:rPr>
        <w:t xml:space="preserve">щению</w:t>
      </w:r>
      <w:r>
        <w:rPr>
          <w:color w:val="auto"/>
          <w:sz w:val="24"/>
          <w:szCs w:val="24"/>
        </w:rPr>
        <w:t xml:space="preserve"> на </w:t>
      </w:r>
      <w:r>
        <w:rPr>
          <w:color w:val="auto"/>
          <w:sz w:val="24"/>
          <w:szCs w:val="24"/>
        </w:rPr>
        <w:t xml:space="preserve">официальном </w:t>
      </w:r>
      <w:r>
        <w:rPr>
          <w:color w:val="auto"/>
          <w:sz w:val="24"/>
          <w:szCs w:val="24"/>
        </w:rPr>
        <w:t xml:space="preserve">сайте Печенгского муниципального округа </w:t>
      </w:r>
      <w:hyperlink r:id="rId13" w:tooltip="http://pechengamr.gov-murman.ru/" w:history="1">
        <w:r>
          <w:rPr>
            <w:rStyle w:val="869"/>
            <w:color w:val="auto"/>
            <w:sz w:val="24"/>
            <w:szCs w:val="24"/>
            <w:u w:val="none"/>
          </w:rPr>
          <w:t xml:space="preserve">http://pechengamr.gov-murman.ru/</w:t>
        </w:r>
      </w:hyperlink>
      <w:r>
        <w:rPr>
          <w:rStyle w:val="869"/>
          <w:color w:val="auto"/>
          <w:sz w:val="24"/>
          <w:szCs w:val="24"/>
          <w:u w:val="none"/>
        </w:rPr>
        <w:t xml:space="preserve">.</w:t>
      </w:r>
      <w:r>
        <w:rPr>
          <w:color w:val="auto"/>
          <w:sz w:val="24"/>
          <w:szCs w:val="24"/>
        </w:rPr>
      </w:r>
      <w:r>
        <w:rPr>
          <w:color w:val="auto"/>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b/>
          <w:sz w:val="24"/>
          <w:szCs w:val="24"/>
        </w:rPr>
      </w:pPr>
      <w:r>
        <w:rPr>
          <w:b/>
          <w:sz w:val="24"/>
          <w:szCs w:val="24"/>
        </w:rPr>
      </w:r>
      <w:r>
        <w:rPr>
          <w:b/>
          <w:sz w:val="24"/>
          <w:szCs w:val="24"/>
        </w:rPr>
      </w:r>
      <w:r>
        <w:rPr>
          <w:b/>
          <w:sz w:val="24"/>
          <w:szCs w:val="24"/>
        </w:rPr>
      </w:r>
    </w:p>
    <w:p>
      <w:pPr>
        <w:jc w:val="both"/>
        <w:widowControl w:val="off"/>
        <w:rPr>
          <w:sz w:val="24"/>
          <w:szCs w:val="24"/>
        </w:rPr>
      </w:pPr>
      <w:r>
        <w:rPr>
          <w:sz w:val="24"/>
          <w:szCs w:val="24"/>
        </w:rPr>
        <w:t xml:space="preserve">Глава</w:t>
      </w:r>
      <w:r>
        <w:rPr>
          <w:sz w:val="24"/>
          <w:szCs w:val="24"/>
        </w:rPr>
        <w:t xml:space="preserve"> Печенгского муниципального округа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А.В. Кузнецов</w:t>
      </w:r>
      <w:r>
        <w:rPr>
          <w:sz w:val="24"/>
          <w:szCs w:val="24"/>
        </w:rPr>
      </w:r>
      <w:r>
        <w:rPr>
          <w:sz w:val="24"/>
          <w:szCs w:val="24"/>
        </w:rPr>
      </w:r>
    </w:p>
    <w:p>
      <w:pPr>
        <w:widowControl w:val="off"/>
        <w:rPr>
          <w:b/>
        </w:rPr>
      </w:pPr>
      <w:r>
        <w:rPr>
          <w:b/>
        </w:rPr>
      </w:r>
      <w:r>
        <w:rPr>
          <w:b/>
        </w:rPr>
      </w:r>
      <w:r>
        <w:rPr>
          <w:b/>
        </w:rP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r/>
    </w:p>
    <w:p>
      <w:pPr>
        <w:widowControl w:val="off"/>
      </w:pPr>
      <w:r>
        <w:t xml:space="preserve">исп. Жулидова Н.Ю.</w:t>
      </w:r>
      <w:r>
        <w:t xml:space="preserve">, 5</w:t>
      </w:r>
      <w:r>
        <w:t xml:space="preserve">-</w:t>
      </w:r>
      <w:r>
        <w:t xml:space="preserve">12</w:t>
      </w:r>
      <w:r>
        <w:t xml:space="preserve">-</w:t>
      </w:r>
      <w:r>
        <w:t xml:space="preserve">91</w:t>
      </w:r>
      <w:r/>
    </w:p>
    <w:p>
      <w:pPr>
        <w:ind w:left="5529"/>
        <w:jc w:val="both"/>
        <w:spacing w:line="100" w:lineRule="atLeast"/>
        <w:rPr>
          <w:sz w:val="24"/>
          <w:szCs w:val="24"/>
        </w:rPr>
      </w:pPr>
      <w:r>
        <w:rPr>
          <w:sz w:val="24"/>
          <w:szCs w:val="24"/>
          <w:highlight w:val="none"/>
        </w:rPr>
      </w:r>
      <w:r>
        <w:rPr>
          <w:sz w:val="24"/>
          <w:szCs w:val="24"/>
          <w:highlight w:val="none"/>
        </w:rPr>
      </w:r>
      <w:r>
        <w:rPr>
          <w:sz w:val="24"/>
          <w:szCs w:val="24"/>
        </w:rPr>
      </w:r>
    </w:p>
    <w:p>
      <w:pPr>
        <w:ind w:left="5529"/>
        <w:jc w:val="both"/>
        <w:spacing w:line="100" w:lineRule="atLeast"/>
        <w:rPr>
          <w:sz w:val="24"/>
          <w:szCs w:val="24"/>
          <w:highlight w:val="none"/>
        </w:rPr>
      </w:pPr>
      <w:r>
        <w:rPr>
          <w:sz w:val="24"/>
          <w:szCs w:val="24"/>
        </w:rPr>
        <w:t xml:space="preserve">Приложение</w:t>
      </w:r>
      <w:r>
        <w:rPr>
          <w:sz w:val="24"/>
          <w:szCs w:val="24"/>
          <w:highlight w:val="none"/>
        </w:rPr>
      </w:r>
      <w:r>
        <w:rPr>
          <w:sz w:val="24"/>
          <w:szCs w:val="24"/>
          <w:highlight w:val="none"/>
        </w:rPr>
      </w:r>
    </w:p>
    <w:p>
      <w:pPr>
        <w:ind w:left="5529"/>
        <w:jc w:val="both"/>
        <w:spacing w:line="100" w:lineRule="atLeast"/>
        <w:rPr>
          <w:sz w:val="24"/>
          <w:szCs w:val="24"/>
        </w:rPr>
      </w:pPr>
      <w:r>
        <w:rPr>
          <w:sz w:val="24"/>
          <w:szCs w:val="24"/>
        </w:rPr>
        <w:t xml:space="preserve">к </w:t>
      </w:r>
      <w:r>
        <w:rPr>
          <w:sz w:val="24"/>
          <w:szCs w:val="24"/>
        </w:rPr>
        <w:t xml:space="preserve">постановлени</w:t>
      </w:r>
      <w:r>
        <w:rPr>
          <w:sz w:val="24"/>
          <w:szCs w:val="24"/>
        </w:rPr>
        <w:t xml:space="preserve">ю</w:t>
      </w:r>
      <w:r>
        <w:rPr>
          <w:sz w:val="24"/>
          <w:szCs w:val="24"/>
        </w:rPr>
        <w:t xml:space="preserve"> администрации</w:t>
      </w:r>
      <w:r>
        <w:rPr>
          <w:sz w:val="24"/>
          <w:szCs w:val="24"/>
        </w:rPr>
        <w:t xml:space="preserve"> </w:t>
      </w:r>
      <w:r>
        <w:rPr>
          <w:sz w:val="24"/>
          <w:szCs w:val="24"/>
        </w:rPr>
        <w:t xml:space="preserve">Печенгского муниципального округа</w:t>
      </w:r>
      <w:r>
        <w:rPr>
          <w:sz w:val="24"/>
          <w:szCs w:val="24"/>
        </w:rPr>
      </w:r>
      <w:r>
        <w:rPr>
          <w:sz w:val="24"/>
          <w:szCs w:val="24"/>
        </w:rPr>
      </w:r>
    </w:p>
    <w:p>
      <w:pPr>
        <w:ind w:left="5529"/>
        <w:jc w:val="both"/>
        <w:spacing w:line="100" w:lineRule="atLeast"/>
        <w:rPr>
          <w:sz w:val="24"/>
          <w:szCs w:val="24"/>
        </w:rPr>
      </w:pPr>
      <w:r>
        <w:rPr>
          <w:sz w:val="24"/>
          <w:szCs w:val="24"/>
        </w:rPr>
        <w:t xml:space="preserve">от 20.12.2024 </w:t>
      </w:r>
      <w:r>
        <w:rPr>
          <w:sz w:val="24"/>
          <w:szCs w:val="24"/>
        </w:rPr>
        <w:t xml:space="preserve">№ 2095 </w:t>
      </w:r>
      <w:r>
        <w:rPr>
          <w:sz w:val="24"/>
          <w:szCs w:val="24"/>
        </w:rPr>
      </w:r>
      <w:r>
        <w:rPr>
          <w:sz w:val="24"/>
          <w:szCs w:val="24"/>
        </w:rPr>
      </w:r>
    </w:p>
    <w:p>
      <w:pPr>
        <w:jc w:val="both"/>
        <w:spacing w:line="100" w:lineRule="atLeast"/>
        <w:rPr>
          <w:sz w:val="24"/>
          <w:szCs w:val="24"/>
        </w:rPr>
      </w:pPr>
      <w:r>
        <w:rPr>
          <w:sz w:val="24"/>
          <w:szCs w:val="24"/>
        </w:rPr>
      </w:r>
      <w:r>
        <w:rPr>
          <w:sz w:val="24"/>
          <w:szCs w:val="24"/>
        </w:rPr>
      </w:r>
      <w:r>
        <w:rPr>
          <w:sz w:val="24"/>
          <w:szCs w:val="24"/>
        </w:rPr>
      </w:r>
    </w:p>
    <w:p>
      <w:pPr>
        <w:pStyle w:val="860"/>
        <w:ind w:left="432" w:hanging="432"/>
        <w:jc w:val="both"/>
        <w:keepLines w:val="0"/>
        <w:spacing w:before="0"/>
        <w:tabs>
          <w:tab w:val="num" w:pos="0" w:leader="none"/>
        </w:tabs>
        <w:rPr>
          <w:rFonts w:eastAsia="Calibri"/>
          <w:bCs w:val="0"/>
          <w:color w:val="auto"/>
          <w:sz w:val="24"/>
          <w:szCs w:val="24"/>
        </w:rPr>
      </w:pPr>
      <w:r>
        <w:rPr>
          <w:rFonts w:eastAsia="Calibri"/>
          <w:bCs w:val="0"/>
          <w:color w:val="auto"/>
          <w:sz w:val="24"/>
          <w:szCs w:val="24"/>
        </w:rPr>
      </w:r>
      <w:r>
        <w:rPr>
          <w:rFonts w:eastAsia="Calibri"/>
          <w:bCs w:val="0"/>
          <w:color w:val="auto"/>
          <w:sz w:val="24"/>
          <w:szCs w:val="24"/>
        </w:rPr>
      </w:r>
      <w:r>
        <w:rPr>
          <w:rFonts w:eastAsia="Calibri"/>
          <w:bCs w:val="0"/>
          <w:color w:val="auto"/>
          <w:sz w:val="24"/>
          <w:szCs w:val="24"/>
        </w:rPr>
      </w:r>
    </w:p>
    <w:p>
      <w:pPr>
        <w:jc w:val="center"/>
        <w:widowControl w:val="off"/>
        <w:rPr>
          <w:rFonts w:eastAsia="Calibri"/>
          <w:b/>
          <w:color w:val="auto"/>
          <w:sz w:val="24"/>
          <w:szCs w:val="24"/>
        </w:rPr>
      </w:pPr>
      <w:r>
        <w:rPr>
          <w:rFonts w:eastAsia="Calibri"/>
          <w:b/>
          <w:color w:val="auto"/>
          <w:sz w:val="24"/>
          <w:szCs w:val="24"/>
        </w:rPr>
        <w:t xml:space="preserve">П</w:t>
      </w:r>
      <w:r>
        <w:rPr>
          <w:rFonts w:eastAsia="Calibri"/>
          <w:b/>
          <w:color w:val="auto"/>
          <w:sz w:val="24"/>
          <w:szCs w:val="24"/>
        </w:rPr>
        <w:t xml:space="preserve">РОГРАММА</w:t>
      </w:r>
      <w:r>
        <w:rPr>
          <w:rFonts w:eastAsia="Calibri"/>
          <w:b/>
          <w:color w:val="auto"/>
          <w:sz w:val="24"/>
          <w:szCs w:val="24"/>
        </w:rPr>
      </w:r>
      <w:r>
        <w:rPr>
          <w:rFonts w:eastAsia="Calibri"/>
          <w:b/>
          <w:color w:val="auto"/>
          <w:sz w:val="24"/>
          <w:szCs w:val="24"/>
        </w:rPr>
      </w:r>
    </w:p>
    <w:p>
      <w:pPr>
        <w:jc w:val="center"/>
        <w:widowControl w:val="off"/>
        <w:rPr>
          <w:b/>
          <w:sz w:val="24"/>
          <w:szCs w:val="24"/>
          <w:highlight w:val="yellow"/>
        </w:rPr>
      </w:pPr>
      <w:r>
        <w:rPr>
          <w:rFonts w:eastAsia="Calibri"/>
          <w:b/>
          <w:color w:val="auto"/>
          <w:sz w:val="24"/>
          <w:szCs w:val="24"/>
        </w:rPr>
        <w:t xml:space="preserve"> </w:t>
      </w:r>
      <w:r>
        <w:rPr>
          <w:rFonts w:eastAsia="Calibri"/>
          <w:color w:val="auto"/>
          <w:sz w:val="24"/>
          <w:szCs w:val="24"/>
        </w:rPr>
        <w:t xml:space="preserve">профилактики рисков причинения вреда (ущерба) охраняемым  законом ценностям по муниципал</w:t>
      </w:r>
      <w:r>
        <w:rPr>
          <w:rFonts w:eastAsia="Calibri"/>
          <w:color w:val="auto"/>
          <w:sz w:val="24"/>
          <w:szCs w:val="24"/>
        </w:rPr>
        <w:t xml:space="preserve">ьному жилищному контролю на 2025</w:t>
      </w:r>
      <w:r>
        <w:rPr>
          <w:rFonts w:eastAsia="Calibri"/>
          <w:color w:val="auto"/>
          <w:sz w:val="24"/>
          <w:szCs w:val="24"/>
        </w:rPr>
        <w:t xml:space="preserve"> год</w:t>
      </w:r>
      <w:r>
        <w:rPr>
          <w:b/>
          <w:sz w:val="24"/>
          <w:szCs w:val="24"/>
          <w:highlight w:val="yellow"/>
        </w:rPr>
      </w:r>
      <w:r>
        <w:rPr>
          <w:b/>
          <w:sz w:val="24"/>
          <w:szCs w:val="24"/>
          <w:highlight w:val="yellow"/>
        </w:rPr>
      </w:r>
    </w:p>
    <w:p>
      <w:pPr>
        <w:pStyle w:val="876"/>
        <w:jc w:val="center"/>
        <w:rPr>
          <w:b w:val="0"/>
          <w:highlight w:val="yellow"/>
        </w:rPr>
      </w:pPr>
      <w:r>
        <w:rPr>
          <w:b w:val="0"/>
          <w:highlight w:val="yellow"/>
        </w:rPr>
      </w:r>
      <w:r>
        <w:rPr>
          <w:b w:val="0"/>
          <w:highlight w:val="yellow"/>
        </w:rPr>
      </w:r>
      <w:r>
        <w:rPr>
          <w:b w:val="0"/>
          <w:highlight w:val="yellow"/>
        </w:rPr>
      </w:r>
    </w:p>
    <w:p>
      <w:pPr>
        <w:pStyle w:val="868"/>
        <w:numPr>
          <w:ilvl w:val="0"/>
          <w:numId w:val="6"/>
        </w:numPr>
        <w:rPr>
          <w:b/>
          <w:color w:val="auto"/>
          <w:sz w:val="24"/>
          <w:szCs w:val="24"/>
        </w:rPr>
      </w:pPr>
      <w:r>
        <w:rPr>
          <w:b/>
          <w:color w:val="auto"/>
          <w:sz w:val="24"/>
          <w:szCs w:val="24"/>
        </w:rPr>
        <w:t xml:space="preserve">Общие положения</w:t>
      </w:r>
      <w:r>
        <w:rPr>
          <w:b/>
          <w:color w:val="auto"/>
          <w:sz w:val="24"/>
          <w:szCs w:val="24"/>
        </w:rPr>
      </w:r>
      <w:r>
        <w:rPr>
          <w:b/>
          <w:color w:val="auto"/>
          <w:sz w:val="24"/>
          <w:szCs w:val="24"/>
        </w:rPr>
      </w:r>
    </w:p>
    <w:p>
      <w:pPr>
        <w:pStyle w:val="868"/>
        <w:ind w:left="1429"/>
        <w:rPr>
          <w:b/>
          <w:color w:val="auto"/>
          <w:sz w:val="24"/>
          <w:szCs w:val="24"/>
        </w:rPr>
      </w:pPr>
      <w:r>
        <w:rPr>
          <w:b/>
          <w:color w:val="auto"/>
          <w:sz w:val="24"/>
          <w:szCs w:val="24"/>
        </w:rPr>
      </w:r>
      <w:r>
        <w:rPr>
          <w:b/>
          <w:color w:val="auto"/>
          <w:sz w:val="24"/>
          <w:szCs w:val="24"/>
        </w:rPr>
      </w:r>
      <w:r>
        <w:rPr>
          <w:b/>
          <w:color w:val="auto"/>
          <w:sz w:val="24"/>
          <w:szCs w:val="24"/>
        </w:rPr>
      </w:r>
    </w:p>
    <w:p>
      <w:pPr>
        <w:ind w:firstLine="709"/>
        <w:jc w:val="both"/>
        <w:rPr>
          <w:sz w:val="24"/>
          <w:szCs w:val="24"/>
        </w:rPr>
      </w:pPr>
      <w:r>
        <w:rPr>
          <w:sz w:val="24"/>
          <w:szCs w:val="24"/>
        </w:rPr>
        <w:t xml:space="preserve">Программа профилактики рисков причинения вреда (ущерба) охраняемым законом ценностям по муниципал</w:t>
      </w:r>
      <w:r>
        <w:rPr>
          <w:sz w:val="24"/>
          <w:szCs w:val="24"/>
        </w:rPr>
        <w:t xml:space="preserve">ьному жилищному контролю на 2025</w:t>
      </w:r>
      <w:r>
        <w:rPr>
          <w:sz w:val="24"/>
          <w:szCs w:val="24"/>
        </w:rPr>
        <w:t xml:space="preserve"> год (далее – Программа профилактики рисков причинения вреда), разработана на основании Федерального закона от 06.10.2003 № 131-ФЗ «Об общих прин</w:t>
      </w:r>
      <w:r>
        <w:rPr>
          <w:sz w:val="24"/>
          <w:szCs w:val="24"/>
        </w:rPr>
        <w:t xml:space="preserve">ципах организации местного самоуправления в Российской Федерации», в соответствии со статьей 44 Федерального закона от 31.07.2020 № 248-ФЗ «О государственном контроле (надзоре) и муниципальном контроле в Российской Федерации», Постановлением Правительства </w:t>
      </w:r>
      <w:r>
        <w:rPr>
          <w:sz w:val="24"/>
          <w:szCs w:val="24"/>
        </w:rPr>
        <w:t xml:space="preserve">Р</w:t>
      </w:r>
      <w:r>
        <w:rPr>
          <w:sz w:val="24"/>
          <w:szCs w:val="24"/>
        </w:rPr>
        <w:t xml:space="preserve">оссийской</w:t>
      </w:r>
      <w:r>
        <w:rPr>
          <w:sz w:val="24"/>
          <w:szCs w:val="24"/>
        </w:rPr>
        <w:t xml:space="preserve"> </w:t>
      </w:r>
      <w:r>
        <w:rPr>
          <w:sz w:val="24"/>
          <w:szCs w:val="24"/>
        </w:rPr>
        <w:t xml:space="preserve">Ф</w:t>
      </w:r>
      <w:r>
        <w:rPr>
          <w:sz w:val="24"/>
          <w:szCs w:val="24"/>
        </w:rPr>
        <w:t xml:space="preserve">едерации</w:t>
      </w:r>
      <w:r>
        <w:rPr>
          <w:sz w:val="24"/>
          <w:szCs w:val="24"/>
        </w:rPr>
        <w:t xml:space="preserve">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Уставом </w:t>
      </w:r>
      <w:r>
        <w:rPr>
          <w:sz w:val="24"/>
          <w:szCs w:val="24"/>
        </w:rPr>
        <w:t xml:space="preserve">Печенгского</w:t>
      </w:r>
      <w:r>
        <w:rPr>
          <w:sz w:val="24"/>
          <w:szCs w:val="24"/>
        </w:rPr>
        <w:t xml:space="preserve"> муниципального округа</w:t>
      </w:r>
      <w:r>
        <w:rPr>
          <w:sz w:val="24"/>
          <w:szCs w:val="24"/>
        </w:rPr>
        <w:t xml:space="preserve">, </w:t>
      </w:r>
      <w:r>
        <w:rPr>
          <w:sz w:val="24"/>
          <w:szCs w:val="24"/>
        </w:rPr>
        <w:t xml:space="preserve">р</w:t>
      </w:r>
      <w:r>
        <w:rPr>
          <w:sz w:val="24"/>
          <w:szCs w:val="24"/>
        </w:rPr>
        <w:t xml:space="preserve">ешением</w:t>
      </w:r>
      <w:r>
        <w:rPr>
          <w:sz w:val="24"/>
          <w:szCs w:val="24"/>
        </w:rPr>
        <w:t xml:space="preserve"> Совета депутатов </w:t>
      </w:r>
      <w:r>
        <w:rPr>
          <w:sz w:val="24"/>
          <w:szCs w:val="24"/>
        </w:rPr>
        <w:t xml:space="preserve">Печенгского</w:t>
      </w:r>
      <w:r>
        <w:rPr>
          <w:sz w:val="24"/>
          <w:szCs w:val="24"/>
        </w:rPr>
        <w:t xml:space="preserve"> муниципального округа Мурманской области </w:t>
        <w:br/>
        <w:t xml:space="preserve">№</w:t>
      </w:r>
      <w:r>
        <w:rPr>
          <w:sz w:val="24"/>
          <w:szCs w:val="24"/>
        </w:rPr>
        <w:t xml:space="preserve"> </w:t>
      </w:r>
      <w:r>
        <w:rPr>
          <w:sz w:val="24"/>
          <w:szCs w:val="24"/>
        </w:rPr>
        <w:t xml:space="preserve">241 от 19.11.2021 </w:t>
      </w:r>
      <w:r>
        <w:rPr>
          <w:sz w:val="24"/>
          <w:szCs w:val="24"/>
        </w:rPr>
        <w:t xml:space="preserve">«</w:t>
      </w:r>
      <w:r>
        <w:rPr>
          <w:bCs/>
          <w:sz w:val="24"/>
          <w:szCs w:val="24"/>
        </w:rPr>
        <w:t xml:space="preserve">Об утверждении Положения о муниципальном жилищном контроле,  осуществляемом на территории </w:t>
      </w:r>
      <w:r>
        <w:rPr>
          <w:bCs/>
          <w:sz w:val="24"/>
          <w:szCs w:val="24"/>
        </w:rPr>
        <w:t xml:space="preserve">Печенгского</w:t>
      </w:r>
      <w:r>
        <w:rPr>
          <w:bCs/>
          <w:sz w:val="24"/>
          <w:szCs w:val="24"/>
        </w:rPr>
        <w:t xml:space="preserve"> муниципального округа</w:t>
      </w:r>
      <w:r>
        <w:rPr>
          <w:bCs/>
          <w:sz w:val="24"/>
          <w:szCs w:val="24"/>
        </w:rPr>
        <w:t xml:space="preserve">»</w:t>
      </w:r>
      <w:r>
        <w:rPr>
          <w:bCs/>
          <w:sz w:val="24"/>
          <w:szCs w:val="24"/>
        </w:rPr>
        <w:t xml:space="preserve"> (</w:t>
      </w:r>
      <w:r>
        <w:rPr>
          <w:bCs/>
          <w:sz w:val="24"/>
          <w:szCs w:val="24"/>
        </w:rPr>
        <w:t xml:space="preserve">в ред</w:t>
      </w:r>
      <w:r>
        <w:rPr>
          <w:bCs/>
          <w:sz w:val="24"/>
          <w:szCs w:val="24"/>
        </w:rPr>
        <w:t xml:space="preserve">акции</w:t>
      </w:r>
      <w:r>
        <w:rPr>
          <w:bCs/>
          <w:sz w:val="24"/>
          <w:szCs w:val="24"/>
        </w:rPr>
        <w:t xml:space="preserve"> от 14.06.2022 № 313</w:t>
      </w:r>
      <w:r>
        <w:rPr>
          <w:bCs/>
          <w:sz w:val="24"/>
          <w:szCs w:val="24"/>
        </w:rPr>
        <w:t xml:space="preserve">)</w:t>
      </w:r>
      <w:bookmarkStart w:id="0" w:name="_GoBack"/>
      <w:r/>
      <w:bookmarkEnd w:id="0"/>
      <w:r>
        <w:rPr>
          <w:bCs/>
          <w:sz w:val="24"/>
          <w:szCs w:val="24"/>
        </w:rPr>
        <w:t xml:space="preserve">.</w:t>
      </w:r>
      <w:r>
        <w:rPr>
          <w:bCs/>
          <w:sz w:val="24"/>
          <w:szCs w:val="24"/>
        </w:rPr>
        <w:t xml:space="preserve"> </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утверждается ежегодно и состоит из следующих разделов: </w:t>
      </w:r>
      <w:r>
        <w:rPr>
          <w:sz w:val="24"/>
          <w:szCs w:val="24"/>
        </w:rPr>
      </w:r>
      <w:r>
        <w:rPr>
          <w:sz w:val="24"/>
          <w:szCs w:val="24"/>
        </w:rPr>
      </w:r>
    </w:p>
    <w:p>
      <w:pPr>
        <w:ind w:firstLine="709"/>
        <w:jc w:val="both"/>
        <w:rPr>
          <w:sz w:val="24"/>
          <w:szCs w:val="24"/>
        </w:rPr>
      </w:pPr>
      <w:r>
        <w:rPr>
          <w:sz w:val="24"/>
          <w:szCs w:val="24"/>
        </w:rPr>
        <w:t xml:space="preserve">1)</w:t>
      </w:r>
      <w:r>
        <w:rPr>
          <w:sz w:val="24"/>
          <w:szCs w:val="24"/>
        </w:rPr>
        <w:t xml:space="preserve">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2) цели и задачи реализации программы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3) перечень профилактических мероприятий, сроки (периодичность) их проведения; </w:t>
      </w:r>
      <w:r>
        <w:rPr>
          <w:sz w:val="24"/>
          <w:szCs w:val="24"/>
        </w:rPr>
      </w:r>
      <w:r>
        <w:rPr>
          <w:sz w:val="24"/>
          <w:szCs w:val="24"/>
        </w:rPr>
      </w:r>
    </w:p>
    <w:p>
      <w:pPr>
        <w:ind w:firstLine="709"/>
        <w:jc w:val="both"/>
        <w:rPr>
          <w:sz w:val="24"/>
          <w:szCs w:val="24"/>
        </w:rPr>
      </w:pPr>
      <w:r>
        <w:rPr>
          <w:sz w:val="24"/>
          <w:szCs w:val="24"/>
        </w:rPr>
        <w:t xml:space="preserve">4) показатели результативности и эффективности программы профилактики рисков причинения вреда. </w:t>
      </w:r>
      <w:r>
        <w:rPr>
          <w:sz w:val="24"/>
          <w:szCs w:val="24"/>
        </w:rPr>
      </w:r>
      <w:r>
        <w:rPr>
          <w:sz w:val="24"/>
          <w:szCs w:val="24"/>
        </w:rPr>
      </w:r>
    </w:p>
    <w:p>
      <w:pPr>
        <w:ind w:firstLine="709"/>
        <w:jc w:val="both"/>
        <w:rPr>
          <w:sz w:val="24"/>
          <w:szCs w:val="24"/>
        </w:rPr>
      </w:pPr>
      <w:r>
        <w:rPr>
          <w:sz w:val="24"/>
          <w:szCs w:val="24"/>
        </w:rPr>
        <w:t xml:space="preserve">Программа профилактики рисков причинения вреда предусматривает ее общественное обсуждение. </w:t>
      </w:r>
      <w:r>
        <w:rPr>
          <w:sz w:val="24"/>
          <w:szCs w:val="24"/>
        </w:rPr>
      </w:r>
      <w:r>
        <w:rPr>
          <w:sz w:val="24"/>
          <w:szCs w:val="24"/>
        </w:rPr>
      </w:r>
    </w:p>
    <w:p>
      <w:pPr>
        <w:ind w:firstLine="709"/>
        <w:jc w:val="both"/>
        <w:rPr>
          <w:rStyle w:val="869"/>
          <w:rFonts w:eastAsia="Calibri"/>
          <w:color w:val="auto"/>
          <w:sz w:val="24"/>
          <w:szCs w:val="24"/>
        </w:rPr>
      </w:pPr>
      <w:r>
        <w:rPr>
          <w:sz w:val="24"/>
          <w:szCs w:val="24"/>
        </w:rPr>
        <w:t xml:space="preserve">Утвержденная программа профилактики рисков причинения вреда размещается на сайте </w:t>
      </w:r>
      <w:r>
        <w:rPr>
          <w:color w:val="auto"/>
          <w:sz w:val="24"/>
          <w:szCs w:val="24"/>
        </w:rPr>
        <w:t xml:space="preserve">Печенгского муниципального округа </w:t>
      </w:r>
      <w:hyperlink r:id="rId14" w:tooltip="http://pechengamr.gov-murman.ru/" w:history="1">
        <w:r>
          <w:rPr>
            <w:rStyle w:val="869"/>
            <w:rFonts w:eastAsia="Calibri"/>
            <w:color w:val="auto"/>
            <w:sz w:val="24"/>
            <w:szCs w:val="24"/>
          </w:rPr>
          <w:t xml:space="preserve">http://pechengamr.gov-murman.ru/</w:t>
        </w:r>
      </w:hyperlink>
      <w:r>
        <w:rPr>
          <w:rStyle w:val="869"/>
          <w:rFonts w:eastAsia="Calibri"/>
          <w:color w:val="auto"/>
          <w:sz w:val="24"/>
          <w:szCs w:val="24"/>
        </w:rPr>
        <w:t xml:space="preserve">.</w:t>
      </w:r>
      <w:r>
        <w:rPr>
          <w:rStyle w:val="869"/>
          <w:rFonts w:eastAsia="Calibri"/>
          <w:color w:val="auto"/>
          <w:sz w:val="24"/>
          <w:szCs w:val="24"/>
        </w:rPr>
      </w:r>
      <w:r>
        <w:rPr>
          <w:rStyle w:val="869"/>
          <w:rFonts w:eastAsia="Calibri"/>
          <w:color w:val="auto"/>
          <w:sz w:val="24"/>
          <w:szCs w:val="24"/>
        </w:rPr>
      </w:r>
    </w:p>
    <w:p>
      <w:pPr>
        <w:ind w:firstLine="709"/>
        <w:jc w:val="both"/>
        <w:rPr>
          <w:sz w:val="24"/>
          <w:szCs w:val="24"/>
        </w:rPr>
      </w:pPr>
      <w:r>
        <w:rPr>
          <w:sz w:val="24"/>
          <w:szCs w:val="24"/>
        </w:rPr>
        <w:t xml:space="preserve">Профилактические мероприятия, предусмотренные программой профилактики рисков причинения вреда, обязательны для проведения контрольным органом. </w:t>
      </w:r>
      <w:r>
        <w:rPr>
          <w:sz w:val="24"/>
          <w:szCs w:val="24"/>
        </w:rPr>
      </w:r>
      <w:r>
        <w:rPr>
          <w:sz w:val="24"/>
          <w:szCs w:val="24"/>
        </w:rPr>
      </w:r>
    </w:p>
    <w:p>
      <w:pPr>
        <w:ind w:firstLine="709"/>
        <w:jc w:val="both"/>
        <w:rPr>
          <w:sz w:val="24"/>
          <w:szCs w:val="24"/>
        </w:rPr>
      </w:pPr>
      <w:r>
        <w:rPr>
          <w:sz w:val="24"/>
          <w:szCs w:val="24"/>
        </w:rPr>
        <w:t xml:space="preserve">Контрольный орган может проводить профилактические мероприятия, не предусмотренные программой профилактики рисков причинения вреда.</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868"/>
        <w:numPr>
          <w:ilvl w:val="0"/>
          <w:numId w:val="6"/>
        </w:numPr>
        <w:ind w:left="0" w:firstLine="709"/>
        <w:jc w:val="both"/>
        <w:rPr>
          <w:b/>
          <w:sz w:val="24"/>
          <w:szCs w:val="24"/>
        </w:rPr>
      </w:pPr>
      <w:r>
        <w:rPr>
          <w:b/>
          <w:sz w:val="24"/>
          <w:szCs w:val="24"/>
        </w:rPr>
        <w:t xml:space="preserve">Анализ текущего состояния осуществления вида контроля, описание текущего уровня развития профилактической деятельности контрольного органа, характеристика проблем, на решение которых направлена программа профилактики рисков причинения вреда</w:t>
      </w:r>
      <w:r>
        <w:rPr>
          <w:b/>
          <w:sz w:val="24"/>
          <w:szCs w:val="24"/>
        </w:rPr>
      </w:r>
      <w:r>
        <w:rPr>
          <w:b/>
          <w:sz w:val="24"/>
          <w:szCs w:val="24"/>
        </w:rPr>
      </w:r>
    </w:p>
    <w:p>
      <w:pPr>
        <w:ind w:left="709"/>
        <w:rPr>
          <w:b/>
          <w:sz w:val="24"/>
          <w:szCs w:val="24"/>
        </w:rPr>
      </w:pPr>
      <w:r>
        <w:rPr>
          <w:b/>
          <w:sz w:val="24"/>
          <w:szCs w:val="24"/>
        </w:rPr>
      </w:r>
      <w:r>
        <w:rPr>
          <w:b/>
          <w:sz w:val="24"/>
          <w:szCs w:val="24"/>
        </w:rPr>
      </w:r>
      <w:r>
        <w:rPr>
          <w:b/>
          <w:sz w:val="24"/>
          <w:szCs w:val="24"/>
        </w:rPr>
      </w:r>
    </w:p>
    <w:p>
      <w:pPr>
        <w:ind w:firstLine="709"/>
        <w:jc w:val="both"/>
        <w:rPr>
          <w:color w:val="auto"/>
          <w:sz w:val="24"/>
          <w:szCs w:val="24"/>
        </w:rPr>
      </w:pPr>
      <w:r>
        <w:rPr>
          <w:sz w:val="24"/>
          <w:szCs w:val="24"/>
        </w:rPr>
        <w:t xml:space="preserve">Муниципальный жилищный контроль осуществляется уполномоченными должностными лицами контрольного органа на основании Федерального закона от 06.10.2003 № 131</w:t>
      </w:r>
      <w:r>
        <w:rPr>
          <w:sz w:val="24"/>
          <w:szCs w:val="24"/>
        </w:rPr>
        <w:t xml:space="preserve">-ФЗ «Об общих принципах организации местного самоуправления в Российской Федерации», Жилищного кодекса Российской Федерации, Федерального закона от 31.07.2020 № 248-ФЗ «О государственном контроле (надзоре) и муниципальном контроле в Российской Федерации», </w:t>
      </w:r>
      <w:r>
        <w:rPr>
          <w:sz w:val="24"/>
          <w:szCs w:val="24"/>
        </w:rPr>
        <w:t xml:space="preserve">з</w:t>
      </w:r>
      <w:r>
        <w:rPr>
          <w:sz w:val="24"/>
          <w:szCs w:val="24"/>
        </w:rPr>
        <w:t xml:space="preserve">аконом Мурманской области от 24.04.2020 №</w:t>
      </w:r>
      <w:r>
        <w:rPr>
          <w:sz w:val="24"/>
          <w:szCs w:val="24"/>
        </w:rPr>
        <w:t xml:space="preserve"> </w:t>
      </w:r>
      <w:r>
        <w:rPr>
          <w:sz w:val="24"/>
          <w:szCs w:val="24"/>
        </w:rPr>
        <w:t xml:space="preserve">2482-01-ЗМО «Об образовании муниципального </w:t>
      </w:r>
      <w:r>
        <w:rPr>
          <w:color w:val="auto"/>
          <w:sz w:val="24"/>
          <w:szCs w:val="24"/>
        </w:rPr>
        <w:t xml:space="preserve">образования </w:t>
      </w:r>
      <w:r>
        <w:rPr>
          <w:color w:val="auto"/>
          <w:sz w:val="24"/>
          <w:szCs w:val="24"/>
        </w:rPr>
        <w:t xml:space="preserve">Печенгский</w:t>
      </w:r>
      <w:r>
        <w:rPr>
          <w:color w:val="auto"/>
          <w:sz w:val="24"/>
          <w:szCs w:val="24"/>
        </w:rPr>
        <w:t xml:space="preserve"> муниципальный округ Мурманской области»</w:t>
      </w:r>
      <w:r>
        <w:rPr>
          <w:color w:val="auto"/>
          <w:sz w:val="24"/>
          <w:szCs w:val="24"/>
        </w:rPr>
        <w:t xml:space="preserve">,</w:t>
      </w:r>
      <w:r>
        <w:rPr>
          <w:sz w:val="24"/>
          <w:szCs w:val="24"/>
        </w:rPr>
        <w:t xml:space="preserve"> </w:t>
      </w:r>
      <w:r>
        <w:rPr>
          <w:color w:val="auto"/>
          <w:sz w:val="24"/>
          <w:szCs w:val="24"/>
        </w:rPr>
        <w:t xml:space="preserve">Устава  Печенгского муниципального округа.</w:t>
      </w:r>
      <w:r>
        <w:rPr>
          <w:color w:val="auto"/>
          <w:sz w:val="24"/>
          <w:szCs w:val="24"/>
        </w:rPr>
        <w:t xml:space="preserve"> </w:t>
      </w:r>
      <w:r>
        <w:rPr>
          <w:color w:val="auto"/>
          <w:sz w:val="24"/>
          <w:szCs w:val="24"/>
        </w:rPr>
      </w:r>
      <w:r>
        <w:rPr>
          <w:color w:val="auto"/>
          <w:sz w:val="24"/>
          <w:szCs w:val="24"/>
        </w:rPr>
      </w:r>
    </w:p>
    <w:p>
      <w:pPr>
        <w:ind w:firstLine="709"/>
        <w:jc w:val="both"/>
        <w:rPr>
          <w:sz w:val="24"/>
          <w:szCs w:val="24"/>
        </w:rPr>
      </w:pPr>
      <w:r>
        <w:rPr>
          <w:sz w:val="24"/>
          <w:szCs w:val="24"/>
        </w:rPr>
        <w:t xml:space="preserve">В 2024</w:t>
      </w:r>
      <w:r>
        <w:rPr>
          <w:sz w:val="24"/>
          <w:szCs w:val="24"/>
        </w:rPr>
        <w:t xml:space="preserve"> году, муниципальный ж</w:t>
      </w:r>
      <w:r>
        <w:rPr>
          <w:sz w:val="24"/>
          <w:szCs w:val="24"/>
        </w:rPr>
        <w:t xml:space="preserve">илищный контроль осуществлялся на основании Федерального закона от 06.10.2003 № 131-ФЗ «Об общих принципах организации местного самоуправления в Российской Федерации», в соответствии с Федеральным законом от 31.07.2020 № 248-ФЗ «О государственном контроле </w:t>
      </w:r>
      <w:r>
        <w:rPr>
          <w:sz w:val="24"/>
          <w:szCs w:val="24"/>
        </w:rPr>
        <w:t xml:space="preserve">(надзоре) и муниципальном контроле в Российской Федерации».</w:t>
      </w:r>
      <w:r>
        <w:rPr>
          <w:sz w:val="24"/>
          <w:szCs w:val="24"/>
        </w:rPr>
      </w:r>
      <w:r>
        <w:rPr>
          <w:sz w:val="24"/>
          <w:szCs w:val="24"/>
        </w:rPr>
      </w:r>
    </w:p>
    <w:p>
      <w:pPr>
        <w:ind w:firstLine="709"/>
        <w:jc w:val="both"/>
        <w:rPr>
          <w:sz w:val="24"/>
          <w:szCs w:val="24"/>
          <w:highlight w:val="yellow"/>
        </w:rPr>
      </w:pPr>
      <w:r>
        <w:rPr>
          <w:sz w:val="24"/>
          <w:szCs w:val="24"/>
        </w:rPr>
        <w:t xml:space="preserve">В 2024</w:t>
      </w:r>
      <w:r>
        <w:rPr>
          <w:sz w:val="24"/>
          <w:szCs w:val="24"/>
        </w:rPr>
        <w:t xml:space="preserve"> году в рамках осуществления муниципального жилищного контроля проверки не проводились в соответствии с </w:t>
      </w:r>
      <w:r>
        <w:rPr>
          <w:bCs/>
          <w:sz w:val="24"/>
          <w:szCs w:val="24"/>
        </w:rPr>
        <w:t xml:space="preserve">Постановление</w:t>
      </w:r>
      <w:r>
        <w:rPr>
          <w:sz w:val="24"/>
          <w:szCs w:val="24"/>
        </w:rPr>
        <w:t xml:space="preserve">м Правительства </w:t>
      </w:r>
      <w:r>
        <w:rPr>
          <w:sz w:val="24"/>
          <w:szCs w:val="24"/>
        </w:rPr>
        <w:t xml:space="preserve">Р</w:t>
      </w:r>
      <w:r>
        <w:rPr>
          <w:sz w:val="24"/>
          <w:szCs w:val="24"/>
        </w:rPr>
        <w:t xml:space="preserve">оссийской </w:t>
      </w:r>
      <w:r>
        <w:rPr>
          <w:sz w:val="24"/>
          <w:szCs w:val="24"/>
        </w:rPr>
        <w:t xml:space="preserve">Ф</w:t>
      </w:r>
      <w:r>
        <w:rPr>
          <w:sz w:val="24"/>
          <w:szCs w:val="24"/>
        </w:rPr>
        <w:t xml:space="preserve">едерации</w:t>
      </w:r>
      <w:r>
        <w:rPr>
          <w:sz w:val="24"/>
          <w:szCs w:val="24"/>
        </w:rPr>
        <w:t xml:space="preserve"> от 10</w:t>
      </w:r>
      <w:r>
        <w:rPr>
          <w:sz w:val="24"/>
          <w:szCs w:val="24"/>
        </w:rPr>
        <w:t xml:space="preserve">.03.</w:t>
      </w:r>
      <w:r>
        <w:rPr>
          <w:sz w:val="24"/>
          <w:szCs w:val="24"/>
        </w:rPr>
        <w:t xml:space="preserve"> </w:t>
      </w:r>
      <w:r>
        <w:rPr>
          <w:bCs/>
          <w:sz w:val="24"/>
          <w:szCs w:val="24"/>
        </w:rPr>
        <w:t xml:space="preserve">2022</w:t>
      </w:r>
      <w:r>
        <w:rPr>
          <w:sz w:val="24"/>
          <w:szCs w:val="24"/>
        </w:rPr>
        <w:t xml:space="preserve"> </w:t>
      </w:r>
      <w:r>
        <w:rPr>
          <w:sz w:val="24"/>
          <w:szCs w:val="24"/>
        </w:rPr>
        <w:t xml:space="preserve"> № 336 «Об особенностях организации и осуществления государственного </w:t>
      </w:r>
      <w:r>
        <w:rPr>
          <w:bCs/>
          <w:sz w:val="24"/>
          <w:szCs w:val="24"/>
        </w:rPr>
        <w:t xml:space="preserve">контроля</w:t>
      </w:r>
      <w:r>
        <w:rPr>
          <w:sz w:val="24"/>
          <w:szCs w:val="24"/>
        </w:rPr>
        <w:t xml:space="preserve"> (надзора), муниципального </w:t>
      </w:r>
      <w:r>
        <w:rPr>
          <w:bCs/>
          <w:sz w:val="24"/>
          <w:szCs w:val="24"/>
        </w:rPr>
        <w:t xml:space="preserve">контроля»</w:t>
      </w:r>
      <w:r>
        <w:rPr>
          <w:sz w:val="24"/>
          <w:szCs w:val="24"/>
        </w:rPr>
        <w:t xml:space="preserve">. </w:t>
      </w:r>
      <w:r>
        <w:rPr>
          <w:sz w:val="24"/>
          <w:szCs w:val="24"/>
          <w:highlight w:val="yellow"/>
        </w:rPr>
      </w:r>
      <w:r>
        <w:rPr>
          <w:sz w:val="24"/>
          <w:szCs w:val="24"/>
          <w:highlight w:val="yellow"/>
        </w:rPr>
      </w:r>
    </w:p>
    <w:p>
      <w:pPr>
        <w:ind w:firstLine="709"/>
        <w:jc w:val="both"/>
        <w:rPr>
          <w:sz w:val="24"/>
          <w:szCs w:val="24"/>
        </w:rPr>
      </w:pPr>
      <w:r>
        <w:rPr>
          <w:sz w:val="24"/>
          <w:szCs w:val="24"/>
        </w:rPr>
        <w:t xml:space="preserve">Программа профилактики нарушений</w:t>
      </w:r>
      <w:r>
        <w:rPr>
          <w:sz w:val="24"/>
          <w:szCs w:val="24"/>
        </w:rPr>
        <w:t xml:space="preserve">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требований, установленных муницип</w:t>
      </w:r>
      <w:r>
        <w:rPr>
          <w:sz w:val="24"/>
          <w:szCs w:val="24"/>
        </w:rPr>
        <w:t xml:space="preserve">альными правовыми актами на 2024</w:t>
      </w:r>
      <w:r>
        <w:rPr>
          <w:sz w:val="24"/>
          <w:szCs w:val="24"/>
        </w:rPr>
        <w:t xml:space="preserve"> год, не утверждалась. </w:t>
      </w:r>
      <w:r>
        <w:rPr>
          <w:sz w:val="24"/>
          <w:szCs w:val="24"/>
        </w:rPr>
      </w:r>
      <w:r>
        <w:rPr>
          <w:sz w:val="24"/>
          <w:szCs w:val="24"/>
        </w:rPr>
      </w:r>
    </w:p>
    <w:p>
      <w:pPr>
        <w:ind w:firstLine="708"/>
        <w:jc w:val="both"/>
        <w:rPr>
          <w:sz w:val="24"/>
          <w:szCs w:val="24"/>
        </w:rPr>
      </w:pPr>
      <w:r>
        <w:rPr>
          <w:sz w:val="24"/>
          <w:szCs w:val="24"/>
        </w:rPr>
        <w:t xml:space="preserve">В 2024</w:t>
      </w:r>
      <w:r>
        <w:rPr>
          <w:sz w:val="24"/>
          <w:szCs w:val="24"/>
        </w:rPr>
        <w:t xml:space="preserve"> году выполнялись мероприят</w:t>
      </w:r>
      <w:r>
        <w:rPr>
          <w:sz w:val="24"/>
          <w:szCs w:val="24"/>
        </w:rPr>
        <w:t xml:space="preserve">ия по профилактике нарушений, проведение которых предусмотрено пп.1,2  части 2 статьи 8.2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sz w:val="24"/>
          <w:szCs w:val="24"/>
        </w:rPr>
      </w:r>
      <w:r>
        <w:rPr>
          <w:sz w:val="24"/>
          <w:szCs w:val="24"/>
        </w:rPr>
      </w:r>
    </w:p>
    <w:p>
      <w:pPr>
        <w:ind w:firstLine="708"/>
        <w:rPr>
          <w:sz w:val="24"/>
          <w:szCs w:val="24"/>
        </w:rPr>
      </w:pPr>
      <w:r>
        <w:rPr>
          <w:sz w:val="24"/>
          <w:szCs w:val="24"/>
        </w:rPr>
      </w:r>
      <w:r>
        <w:rPr>
          <w:sz w:val="24"/>
          <w:szCs w:val="24"/>
        </w:rPr>
      </w:r>
      <w:r>
        <w:rPr>
          <w:sz w:val="24"/>
          <w:szCs w:val="24"/>
        </w:rPr>
      </w:r>
    </w:p>
    <w:p>
      <w:pPr>
        <w:pStyle w:val="868"/>
        <w:numPr>
          <w:ilvl w:val="0"/>
          <w:numId w:val="6"/>
        </w:numPr>
        <w:ind w:left="0" w:firstLine="709"/>
        <w:jc w:val="both"/>
        <w:rPr>
          <w:b/>
          <w:sz w:val="24"/>
          <w:szCs w:val="24"/>
        </w:rPr>
      </w:pPr>
      <w:r>
        <w:rPr>
          <w:b/>
          <w:sz w:val="24"/>
          <w:szCs w:val="24"/>
        </w:rPr>
        <w:t xml:space="preserve">Цели и задачи реализации программы профилактики рисков причинения вреда</w:t>
      </w:r>
      <w:r>
        <w:rPr>
          <w:b/>
          <w:sz w:val="24"/>
          <w:szCs w:val="24"/>
        </w:rPr>
      </w:r>
      <w:r>
        <w:rPr>
          <w:b/>
          <w:sz w:val="24"/>
          <w:szCs w:val="24"/>
        </w:rPr>
      </w:r>
    </w:p>
    <w:p>
      <w:pPr>
        <w:pStyle w:val="868"/>
        <w:ind w:left="1429"/>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Программа профилактики рисков причинения вреда направлена на достижение следующих основных целей: </w:t>
      </w:r>
      <w:r>
        <w:rPr>
          <w:sz w:val="24"/>
          <w:szCs w:val="24"/>
        </w:rPr>
      </w:r>
      <w:r>
        <w:rPr>
          <w:sz w:val="24"/>
          <w:szCs w:val="24"/>
        </w:rPr>
      </w:r>
    </w:p>
    <w:p>
      <w:pPr>
        <w:ind w:firstLine="709"/>
        <w:jc w:val="both"/>
        <w:rPr>
          <w:sz w:val="24"/>
          <w:szCs w:val="24"/>
        </w:rPr>
      </w:pPr>
      <w:r>
        <w:rPr>
          <w:sz w:val="24"/>
          <w:szCs w:val="24"/>
        </w:rPr>
        <w:t xml:space="preserve">1) стимулирование добросовестного соблюдения обязательных требований всеми контролируемыми лицами; </w:t>
      </w:r>
      <w:r>
        <w:rPr>
          <w:sz w:val="24"/>
          <w:szCs w:val="24"/>
        </w:rPr>
      </w:r>
      <w:r>
        <w:rPr>
          <w:sz w:val="24"/>
          <w:szCs w:val="24"/>
        </w:rPr>
      </w:r>
    </w:p>
    <w:p>
      <w:pPr>
        <w:ind w:firstLine="709"/>
        <w:jc w:val="both"/>
        <w:rPr>
          <w:sz w:val="24"/>
          <w:szCs w:val="24"/>
        </w:rPr>
      </w:pPr>
      <w:r>
        <w:rPr>
          <w:sz w:val="24"/>
          <w:szCs w:val="24"/>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3) создание условий для доведения обязательных требований до контролируемых лиц, повышение информированности о способах их соблюдения.</w:t>
      </w:r>
      <w:r>
        <w:rPr>
          <w:sz w:val="24"/>
          <w:szCs w:val="24"/>
        </w:rPr>
      </w:r>
      <w:r>
        <w:rPr>
          <w:sz w:val="24"/>
          <w:szCs w:val="24"/>
        </w:rPr>
      </w:r>
    </w:p>
    <w:p>
      <w:pPr>
        <w:ind w:firstLine="709"/>
        <w:jc w:val="both"/>
        <w:rPr>
          <w:sz w:val="24"/>
          <w:szCs w:val="24"/>
        </w:rPr>
      </w:pPr>
      <w:r>
        <w:rPr>
          <w:sz w:val="24"/>
          <w:szCs w:val="24"/>
        </w:rPr>
        <w:t xml:space="preserve">Задачами программы профилактики рисков причинения вреда являются: </w:t>
      </w:r>
      <w:r>
        <w:rPr>
          <w:sz w:val="24"/>
          <w:szCs w:val="24"/>
        </w:rPr>
      </w:r>
      <w:r>
        <w:rPr>
          <w:sz w:val="24"/>
          <w:szCs w:val="24"/>
        </w:rPr>
      </w:r>
    </w:p>
    <w:p>
      <w:pPr>
        <w:ind w:firstLine="709"/>
        <w:jc w:val="both"/>
        <w:rPr>
          <w:sz w:val="24"/>
          <w:szCs w:val="24"/>
        </w:rPr>
      </w:pPr>
      <w:r>
        <w:rPr>
          <w:sz w:val="24"/>
          <w:szCs w:val="24"/>
        </w:rPr>
        <w:t xml:space="preserve">1) укрепление системы профилактики нарушений рисков причинения вреда (ущерба) охраняемым законом ценностям; </w:t>
      </w:r>
      <w:r>
        <w:rPr>
          <w:sz w:val="24"/>
          <w:szCs w:val="24"/>
        </w:rPr>
      </w:r>
      <w:r>
        <w:rPr>
          <w:sz w:val="24"/>
          <w:szCs w:val="24"/>
        </w:rPr>
      </w:r>
    </w:p>
    <w:p>
      <w:pPr>
        <w:ind w:firstLine="709"/>
        <w:jc w:val="both"/>
        <w:rPr>
          <w:sz w:val="24"/>
          <w:szCs w:val="24"/>
        </w:rPr>
      </w:pPr>
      <w:r>
        <w:rPr>
          <w:sz w:val="24"/>
          <w:szCs w:val="24"/>
        </w:rPr>
        <w:t xml:space="preserve">2) повышение правосознания и правовой культуры руководителей  юридических лиц, индивидуальных предпринимателей и граждан; </w:t>
      </w:r>
      <w:r>
        <w:rPr>
          <w:sz w:val="24"/>
          <w:szCs w:val="24"/>
        </w:rPr>
      </w:r>
      <w:r>
        <w:rPr>
          <w:sz w:val="24"/>
          <w:szCs w:val="24"/>
        </w:rPr>
      </w:r>
    </w:p>
    <w:p>
      <w:pPr>
        <w:ind w:firstLine="709"/>
        <w:jc w:val="both"/>
        <w:rPr>
          <w:sz w:val="24"/>
          <w:szCs w:val="24"/>
        </w:rPr>
      </w:pPr>
      <w:r>
        <w:rPr>
          <w:sz w:val="24"/>
          <w:szCs w:val="24"/>
        </w:rPr>
        <w:t xml:space="preserve">3)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r>
        <w:rPr>
          <w:sz w:val="24"/>
          <w:szCs w:val="24"/>
        </w:rPr>
      </w:r>
      <w:r>
        <w:rPr>
          <w:sz w:val="24"/>
          <w:szCs w:val="24"/>
        </w:rPr>
      </w:r>
    </w:p>
    <w:p>
      <w:pPr>
        <w:ind w:firstLine="709"/>
        <w:jc w:val="both"/>
        <w:rPr>
          <w:sz w:val="24"/>
          <w:szCs w:val="24"/>
        </w:rPr>
      </w:pPr>
      <w:r>
        <w:rPr>
          <w:sz w:val="24"/>
          <w:szCs w:val="24"/>
        </w:rPr>
        <w:t xml:space="preserve"> 4) выявление факторов угрозы причинения, либо причинения вреда жизни, здоровью граждан, причин и </w:t>
      </w:r>
      <w:r>
        <w:rPr>
          <w:sz w:val="24"/>
          <w:szCs w:val="24"/>
        </w:rPr>
        <w:t xml:space="preserve">условий, способствующих нарушению обязательных требований, определение способов устранения или снижения угрозы; </w:t>
      </w:r>
      <w:r>
        <w:rPr>
          <w:sz w:val="24"/>
          <w:szCs w:val="24"/>
        </w:rPr>
      </w:r>
      <w:r>
        <w:rPr>
          <w:sz w:val="24"/>
          <w:szCs w:val="24"/>
        </w:rPr>
      </w:r>
    </w:p>
    <w:p>
      <w:pPr>
        <w:ind w:firstLine="709"/>
        <w:jc w:val="both"/>
        <w:rPr>
          <w:sz w:val="24"/>
          <w:szCs w:val="24"/>
        </w:rPr>
      </w:pPr>
      <w:r>
        <w:rPr>
          <w:sz w:val="24"/>
          <w:szCs w:val="24"/>
        </w:rPr>
        <w:t xml:space="preserve">5) обеспечение информационной открытости контрольного органа, в том числе обеспечение размещения в установленном законодательством по</w:t>
      </w:r>
      <w:r>
        <w:rPr>
          <w:sz w:val="24"/>
          <w:szCs w:val="24"/>
        </w:rPr>
        <w:t xml:space="preserve">рядке достаточной, достоверной и полной информации об обязательных требованиях, информации о процедурах досудебного (внесудебного) обжалования решений, действий (бездействия) должностных лиц контрольного органа, о проводимых профилактических мероприятиях; </w:t>
      </w:r>
      <w:r>
        <w:rPr>
          <w:sz w:val="24"/>
          <w:szCs w:val="24"/>
        </w:rPr>
      </w:r>
      <w:r>
        <w:rPr>
          <w:sz w:val="24"/>
          <w:szCs w:val="24"/>
        </w:rPr>
      </w:r>
    </w:p>
    <w:p>
      <w:pPr>
        <w:ind w:firstLine="709"/>
        <w:jc w:val="both"/>
        <w:rPr>
          <w:sz w:val="24"/>
          <w:szCs w:val="24"/>
        </w:rPr>
      </w:pPr>
      <w:r>
        <w:rPr>
          <w:sz w:val="24"/>
          <w:szCs w:val="24"/>
        </w:rPr>
        <w:t xml:space="preserve">6) развитие межведомственного взаимодействия по вопросам профилактики рисков причинения вреда охраняемым законом ценностям.</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pStyle w:val="868"/>
        <w:numPr>
          <w:ilvl w:val="0"/>
          <w:numId w:val="6"/>
        </w:numPr>
        <w:ind w:left="0" w:firstLine="709"/>
        <w:jc w:val="both"/>
        <w:rPr>
          <w:b/>
          <w:sz w:val="24"/>
          <w:szCs w:val="24"/>
        </w:rPr>
      </w:pPr>
      <w:r>
        <w:rPr>
          <w:b/>
          <w:sz w:val="24"/>
          <w:szCs w:val="24"/>
        </w:rPr>
        <w:t xml:space="preserve">Перечень профилактических мероприятий, сроки (периодичность) их проведения</w:t>
      </w:r>
      <w:r>
        <w:rPr>
          <w:b/>
          <w:sz w:val="24"/>
          <w:szCs w:val="24"/>
        </w:rPr>
      </w:r>
      <w:r>
        <w:rPr>
          <w:b/>
          <w:sz w:val="24"/>
          <w:szCs w:val="24"/>
        </w:rPr>
      </w:r>
    </w:p>
    <w:p>
      <w:pPr>
        <w:pStyle w:val="868"/>
        <w:ind w:left="1429"/>
        <w:rPr>
          <w:b/>
          <w:sz w:val="24"/>
          <w:szCs w:val="24"/>
        </w:rPr>
      </w:pPr>
      <w:r>
        <w:rPr>
          <w:b/>
          <w:sz w:val="24"/>
          <w:szCs w:val="24"/>
        </w:rPr>
      </w:r>
      <w:r>
        <w:rPr>
          <w:b/>
          <w:sz w:val="24"/>
          <w:szCs w:val="24"/>
        </w:rPr>
      </w:r>
      <w:r>
        <w:rPr>
          <w:b/>
          <w:sz w:val="24"/>
          <w:szCs w:val="24"/>
        </w:rPr>
      </w:r>
    </w:p>
    <w:tbl>
      <w:tblPr>
        <w:tblStyle w:val="881"/>
        <w:tblW w:w="0" w:type="auto"/>
        <w:tblLook w:val="04A0" w:firstRow="1" w:lastRow="0" w:firstColumn="1" w:lastColumn="0" w:noHBand="0" w:noVBand="1"/>
      </w:tblPr>
      <w:tblGrid>
        <w:gridCol w:w="567"/>
        <w:gridCol w:w="2654"/>
        <w:gridCol w:w="2685"/>
        <w:gridCol w:w="3665"/>
      </w:tblGrid>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sz w:val="24"/>
                <w:szCs w:val="24"/>
                <w:lang w:eastAsia="en-US"/>
              </w:rPr>
            </w:pPr>
            <w:r>
              <w:rPr>
                <w:sz w:val="24"/>
                <w:szCs w:val="24"/>
                <w:lang w:eastAsia="en-US"/>
              </w:rPr>
              <w:t xml:space="preserve">№ п/п</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4"/>
                <w:szCs w:val="24"/>
                <w:lang w:eastAsia="en-US"/>
              </w:rPr>
            </w:pPr>
            <w:r>
              <w:rPr>
                <w:sz w:val="24"/>
                <w:szCs w:val="24"/>
                <w:lang w:eastAsia="en-US"/>
              </w:rPr>
              <w:t xml:space="preserve">Наименование</w:t>
            </w:r>
            <w:r>
              <w:rPr>
                <w:sz w:val="24"/>
                <w:szCs w:val="24"/>
                <w:lang w:eastAsia="en-US"/>
              </w:rPr>
            </w:r>
            <w:r>
              <w:rPr>
                <w:sz w:val="24"/>
                <w:szCs w:val="24"/>
                <w:lang w:eastAsia="en-US"/>
              </w:rPr>
            </w:r>
          </w:p>
          <w:p>
            <w:pPr>
              <w:jc w:val="center"/>
              <w:rPr>
                <w:b/>
                <w:sz w:val="24"/>
                <w:szCs w:val="24"/>
                <w:lang w:eastAsia="en-US"/>
              </w:rPr>
            </w:pPr>
            <w:r>
              <w:rPr>
                <w:sz w:val="24"/>
                <w:szCs w:val="24"/>
                <w:lang w:eastAsia="en-US"/>
              </w:rPr>
              <w:t xml:space="preserve">мероприятия</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sz w:val="24"/>
                <w:szCs w:val="24"/>
                <w:lang w:eastAsia="en-US"/>
              </w:rPr>
            </w:pPr>
            <w:r>
              <w:rPr>
                <w:sz w:val="24"/>
                <w:szCs w:val="24"/>
                <w:lang w:eastAsia="en-US"/>
              </w:rPr>
              <w:t xml:space="preserve">Срок исполнения</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Структурное подразделение, ответственное за реализацию</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b/>
                <w:sz w:val="24"/>
                <w:szCs w:val="24"/>
                <w:lang w:eastAsia="en-US"/>
              </w:rPr>
            </w:pPr>
            <w:r>
              <w:rPr>
                <w:sz w:val="24"/>
                <w:szCs w:val="24"/>
                <w:lang w:eastAsia="en-US"/>
              </w:rPr>
              <w:t xml:space="preserve">1.</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sz w:val="24"/>
                <w:szCs w:val="24"/>
                <w:lang w:eastAsia="en-US"/>
              </w:rPr>
            </w:pPr>
            <w:r>
              <w:rPr>
                <w:sz w:val="24"/>
                <w:szCs w:val="24"/>
                <w:lang w:eastAsia="en-US"/>
              </w:rPr>
              <w:t xml:space="preserve">Информирование</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b/>
                <w:sz w:val="24"/>
                <w:szCs w:val="24"/>
                <w:lang w:eastAsia="en-US"/>
              </w:rPr>
            </w:pPr>
            <w:r>
              <w:rPr>
                <w:sz w:val="24"/>
                <w:szCs w:val="24"/>
                <w:lang w:eastAsia="en-US"/>
              </w:rPr>
              <w:t xml:space="preserve">Постоянно</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ind w:firstLine="709"/>
              <w:jc w:val="center"/>
              <w:rPr>
                <w:sz w:val="24"/>
                <w:szCs w:val="24"/>
                <w:lang w:eastAsia="en-US"/>
              </w:rPr>
            </w:pPr>
            <w:r>
              <w:rPr>
                <w:sz w:val="24"/>
                <w:szCs w:val="24"/>
                <w:lang w:eastAsia="en-US"/>
              </w:rPr>
              <w:t xml:space="preserve">22.</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4"/>
                <w:szCs w:val="24"/>
                <w:lang w:eastAsia="en-US"/>
              </w:rPr>
            </w:pPr>
            <w:r>
              <w:rPr>
                <w:sz w:val="24"/>
                <w:szCs w:val="24"/>
                <w:lang w:eastAsia="en-US"/>
              </w:rPr>
              <w:t xml:space="preserve">Объявление предостережений</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4"/>
                <w:szCs w:val="24"/>
                <w:lang w:eastAsia="en-US"/>
              </w:rPr>
            </w:pPr>
            <w:r>
              <w:rPr>
                <w:sz w:val="24"/>
                <w:szCs w:val="24"/>
                <w:lang w:eastAsia="en-US"/>
              </w:rPr>
              <w:t xml:space="preserve">Постоянно при наличии оснований, предусмотренных статьей 49 Федерального закона от 31.07.2020 № 248ФЗ «О государственном контроле (надзоре) и </w:t>
            </w:r>
            <w:r>
              <w:rPr>
                <w:sz w:val="24"/>
                <w:szCs w:val="24"/>
                <w:lang w:eastAsia="en-US"/>
              </w:rPr>
              <w:t xml:space="preserve">муниципальном контроле в Российской Федерации»</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sz w:val="24"/>
                <w:szCs w:val="24"/>
                <w:lang w:eastAsia="en-US"/>
              </w:rPr>
            </w:pPr>
            <w:r>
              <w:rPr>
                <w:sz w:val="24"/>
                <w:szCs w:val="24"/>
                <w:lang w:eastAsia="en-US"/>
              </w:rPr>
              <w:t xml:space="preserve">3.</w:t>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b/>
                <w:sz w:val="24"/>
                <w:szCs w:val="24"/>
                <w:lang w:eastAsia="en-US"/>
              </w:rPr>
            </w:pPr>
            <w:r>
              <w:rPr>
                <w:sz w:val="24"/>
                <w:szCs w:val="24"/>
                <w:lang w:eastAsia="en-US"/>
              </w:rPr>
              <w:t xml:space="preserve">Консультирование</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4"/>
                <w:szCs w:val="24"/>
                <w:lang w:eastAsia="en-US"/>
              </w:rPr>
            </w:pPr>
            <w:r>
              <w:rPr>
                <w:sz w:val="24"/>
                <w:szCs w:val="24"/>
                <w:lang w:eastAsia="en-US"/>
              </w:rPr>
              <w:t xml:space="preserve">По мере обращения подконтрольных субъектов</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567" w:type="dxa"/>
            <w:textDirection w:val="lrTb"/>
            <w:noWrap w:val="false"/>
          </w:tcPr>
          <w:p>
            <w:pPr>
              <w:jc w:val="center"/>
              <w:rPr>
                <w:sz w:val="24"/>
                <w:szCs w:val="24"/>
                <w:lang w:eastAsia="en-US"/>
              </w:rPr>
            </w:pPr>
            <w:r>
              <w:rPr>
                <w:sz w:val="24"/>
                <w:szCs w:val="24"/>
                <w:lang w:eastAsia="en-US"/>
              </w:rPr>
              <w:t xml:space="preserve">4.</w:t>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2660" w:type="dxa"/>
            <w:textDirection w:val="lrTb"/>
            <w:noWrap w:val="false"/>
          </w:tcPr>
          <w:p>
            <w:pPr>
              <w:jc w:val="center"/>
              <w:rPr>
                <w:sz w:val="24"/>
                <w:szCs w:val="24"/>
                <w:lang w:eastAsia="en-US"/>
              </w:rPr>
            </w:pPr>
            <w:r>
              <w:rPr>
                <w:sz w:val="24"/>
                <w:szCs w:val="24"/>
                <w:lang w:eastAsia="en-US"/>
              </w:rPr>
              <w:t xml:space="preserve">Профилактический визит</w:t>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sz w:val="24"/>
                <w:szCs w:val="24"/>
                <w:lang w:eastAsia="en-US"/>
              </w:rPr>
            </w:pPr>
            <w:r>
              <w:rPr>
                <w:sz w:val="24"/>
                <w:szCs w:val="24"/>
                <w:lang w:eastAsia="en-US"/>
              </w:rPr>
              <w:t xml:space="preserve">По мере необходимости в соответствии со ст</w:t>
            </w:r>
            <w:r>
              <w:rPr>
                <w:sz w:val="24"/>
                <w:szCs w:val="24"/>
                <w:lang w:eastAsia="en-US"/>
              </w:rPr>
              <w:t xml:space="preserve">атьей</w:t>
            </w:r>
            <w:r>
              <w:rPr>
                <w:sz w:val="24"/>
                <w:szCs w:val="24"/>
                <w:lang w:eastAsia="en-US"/>
              </w:rPr>
              <w:t xml:space="preserve"> 52</w:t>
            </w:r>
            <w:r>
              <w:rPr>
                <w:sz w:val="24"/>
                <w:szCs w:val="24"/>
                <w:lang w:eastAsia="en-US"/>
              </w:rPr>
            </w:r>
            <w:r>
              <w:rPr>
                <w:sz w:val="24"/>
                <w:szCs w:val="24"/>
                <w:lang w:eastAsia="en-US"/>
              </w:rPr>
            </w:r>
          </w:p>
          <w:p>
            <w:pPr>
              <w:jc w:val="center"/>
              <w:rPr>
                <w:sz w:val="24"/>
                <w:szCs w:val="24"/>
                <w:lang w:eastAsia="en-US"/>
              </w:rPr>
            </w:pPr>
            <w:r>
              <w:rPr>
                <w:sz w:val="24"/>
                <w:szCs w:val="24"/>
                <w:lang w:eastAsia="en-US"/>
              </w:rPr>
              <w:t xml:space="preserve">Федерального закона от 31.07.2020 № 248ФЗ «О государственном контроле (надзоре) и муниципальном контроле в Российской Федерации»</w:t>
            </w:r>
            <w:r>
              <w:rPr>
                <w:sz w:val="24"/>
                <w:szCs w:val="24"/>
                <w:lang w:eastAsia="en-US"/>
              </w:rPr>
            </w:r>
            <w:r>
              <w:rPr>
                <w:sz w:val="24"/>
                <w:szCs w:val="24"/>
                <w:lang w:eastAsia="en-US"/>
              </w:rPr>
            </w:r>
          </w:p>
          <w:p>
            <w:pPr>
              <w:jc w:val="center"/>
              <w:rPr>
                <w:sz w:val="24"/>
                <w:szCs w:val="24"/>
                <w:lang w:eastAsia="en-US"/>
              </w:rPr>
            </w:pPr>
            <w:r>
              <w:rPr>
                <w:sz w:val="24"/>
                <w:szCs w:val="24"/>
                <w:lang w:eastAsia="en-US"/>
              </w:rPr>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3686" w:type="dxa"/>
            <w:textDirection w:val="lrTb"/>
            <w:noWrap w:val="false"/>
          </w:tcPr>
          <w:p>
            <w:pPr>
              <w:jc w:val="center"/>
              <w:rPr>
                <w:sz w:val="24"/>
                <w:szCs w:val="24"/>
                <w:lang w:eastAsia="en-US"/>
              </w:rPr>
            </w:pPr>
            <w:r>
              <w:rPr>
                <w:sz w:val="24"/>
                <w:szCs w:val="24"/>
                <w:lang w:eastAsia="en-US"/>
              </w:rPr>
              <w:t xml:space="preserve">Отдел строительства и ЖКХ администрации Печенгского муниципального округа</w:t>
            </w:r>
            <w:r>
              <w:rPr>
                <w:sz w:val="24"/>
                <w:szCs w:val="24"/>
                <w:lang w:eastAsia="en-US"/>
              </w:rPr>
            </w:r>
            <w:r>
              <w:rPr>
                <w:sz w:val="24"/>
                <w:szCs w:val="24"/>
                <w:lang w:eastAsia="en-US"/>
              </w:rPr>
            </w:r>
          </w:p>
          <w:p>
            <w:pPr>
              <w:jc w:val="center"/>
              <w:rPr>
                <w:sz w:val="24"/>
                <w:szCs w:val="24"/>
                <w:lang w:eastAsia="en-US"/>
              </w:rPr>
            </w:pPr>
            <w:r>
              <w:rPr>
                <w:sz w:val="24"/>
                <w:szCs w:val="24"/>
                <w:lang w:eastAsia="en-US"/>
              </w:rPr>
            </w:r>
            <w:r>
              <w:rPr>
                <w:sz w:val="24"/>
                <w:szCs w:val="24"/>
                <w:lang w:eastAsia="en-US"/>
              </w:rPr>
            </w:r>
            <w:r>
              <w:rPr>
                <w:sz w:val="24"/>
                <w:szCs w:val="24"/>
                <w:lang w:eastAsia="en-US"/>
              </w:rPr>
            </w:r>
          </w:p>
        </w:tc>
      </w:tr>
    </w:tbl>
    <w:p>
      <w:pPr>
        <w:ind w:firstLine="709"/>
        <w:jc w:val="both"/>
        <w:rPr>
          <w:b/>
          <w:sz w:val="24"/>
          <w:szCs w:val="24"/>
        </w:rPr>
      </w:pPr>
      <w:r>
        <w:rPr>
          <w:b/>
          <w:sz w:val="24"/>
          <w:szCs w:val="24"/>
        </w:rPr>
      </w:r>
      <w:r>
        <w:rPr>
          <w:b/>
          <w:sz w:val="24"/>
          <w:szCs w:val="24"/>
        </w:rPr>
      </w:r>
      <w:r>
        <w:rPr>
          <w:b/>
          <w:sz w:val="24"/>
          <w:szCs w:val="24"/>
        </w:rPr>
      </w:r>
    </w:p>
    <w:p>
      <w:pPr>
        <w:ind w:firstLine="709"/>
        <w:jc w:val="both"/>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Консультирование контролируемых лиц и их представителей осуществляется по вопросам, связанным с организацией и осуществлением муниципального жилищного контроля: </w:t>
      </w:r>
      <w:r>
        <w:rPr>
          <w:sz w:val="24"/>
          <w:szCs w:val="24"/>
        </w:rPr>
      </w:r>
      <w:r>
        <w:rPr>
          <w:sz w:val="24"/>
          <w:szCs w:val="24"/>
        </w:rPr>
      </w:r>
    </w:p>
    <w:p>
      <w:pPr>
        <w:ind w:firstLine="709"/>
        <w:jc w:val="both"/>
        <w:rPr>
          <w:sz w:val="24"/>
          <w:szCs w:val="24"/>
        </w:rPr>
      </w:pPr>
      <w:r>
        <w:rPr>
          <w:sz w:val="24"/>
          <w:szCs w:val="24"/>
        </w:rPr>
        <w:t xml:space="preserve">1) порядка проведения контрольных мероприятий; </w:t>
      </w:r>
      <w:r>
        <w:rPr>
          <w:sz w:val="24"/>
          <w:szCs w:val="24"/>
        </w:rPr>
      </w:r>
      <w:r>
        <w:rPr>
          <w:sz w:val="24"/>
          <w:szCs w:val="24"/>
        </w:rPr>
      </w:r>
    </w:p>
    <w:p>
      <w:pPr>
        <w:ind w:firstLine="709"/>
        <w:jc w:val="both"/>
        <w:rPr>
          <w:sz w:val="24"/>
          <w:szCs w:val="24"/>
        </w:rPr>
      </w:pPr>
      <w:r>
        <w:rPr>
          <w:sz w:val="24"/>
          <w:szCs w:val="24"/>
        </w:rPr>
        <w:t xml:space="preserve">2) периодичности проведения контрольных мероприятий; </w:t>
      </w:r>
      <w:r>
        <w:rPr>
          <w:sz w:val="24"/>
          <w:szCs w:val="24"/>
        </w:rPr>
      </w:r>
      <w:r>
        <w:rPr>
          <w:sz w:val="24"/>
          <w:szCs w:val="24"/>
        </w:rPr>
      </w:r>
    </w:p>
    <w:p>
      <w:pPr>
        <w:ind w:firstLine="709"/>
        <w:jc w:val="both"/>
        <w:rPr>
          <w:sz w:val="24"/>
          <w:szCs w:val="24"/>
        </w:rPr>
      </w:pPr>
      <w:r>
        <w:rPr>
          <w:sz w:val="24"/>
          <w:szCs w:val="24"/>
        </w:rPr>
        <w:t xml:space="preserve">3) порядка принятия решений по итогам контрольных мероприятий; </w:t>
      </w:r>
      <w:r>
        <w:rPr>
          <w:sz w:val="24"/>
          <w:szCs w:val="24"/>
        </w:rPr>
      </w:r>
      <w:r>
        <w:rPr>
          <w:sz w:val="24"/>
          <w:szCs w:val="24"/>
        </w:rPr>
      </w:r>
    </w:p>
    <w:p>
      <w:pPr>
        <w:ind w:firstLine="709"/>
        <w:jc w:val="both"/>
        <w:rPr>
          <w:sz w:val="24"/>
          <w:szCs w:val="24"/>
        </w:rPr>
      </w:pPr>
      <w:r>
        <w:rPr>
          <w:sz w:val="24"/>
          <w:szCs w:val="24"/>
        </w:rPr>
        <w:t xml:space="preserve">4) порядка обжалования решений контрольного органа; </w:t>
      </w:r>
      <w:r>
        <w:rPr>
          <w:sz w:val="24"/>
          <w:szCs w:val="24"/>
        </w:rPr>
      </w:r>
      <w:r>
        <w:rPr>
          <w:sz w:val="24"/>
          <w:szCs w:val="24"/>
        </w:rPr>
      </w:r>
    </w:p>
    <w:p>
      <w:pPr>
        <w:ind w:firstLine="709"/>
        <w:jc w:val="both"/>
        <w:rPr>
          <w:sz w:val="24"/>
          <w:szCs w:val="24"/>
        </w:rPr>
      </w:pPr>
      <w:r>
        <w:rPr>
          <w:sz w:val="24"/>
          <w:szCs w:val="24"/>
        </w:rPr>
        <w:t xml:space="preserve">5) соблюдения обязательных требований.  </w:t>
      </w:r>
      <w:r>
        <w:rPr>
          <w:sz w:val="24"/>
          <w:szCs w:val="24"/>
        </w:rPr>
      </w:r>
      <w:r>
        <w:rPr>
          <w:sz w:val="24"/>
          <w:szCs w:val="24"/>
        </w:rPr>
      </w:r>
    </w:p>
    <w:p>
      <w:pPr>
        <w:ind w:firstLine="709"/>
        <w:jc w:val="both"/>
        <w:rPr>
          <w:sz w:val="24"/>
          <w:szCs w:val="24"/>
        </w:rPr>
      </w:pPr>
      <w:r>
        <w:rPr>
          <w:sz w:val="24"/>
          <w:szCs w:val="24"/>
        </w:rPr>
        <w:t xml:space="preserve">Консультирование контролируемых лиц и их представителей осуществляют должностные лица, уполномоченные осуществлять муниципальный жилищный контроль: </w:t>
      </w:r>
      <w:r>
        <w:rPr>
          <w:sz w:val="24"/>
          <w:szCs w:val="24"/>
        </w:rPr>
      </w:r>
      <w:r>
        <w:rPr>
          <w:sz w:val="24"/>
          <w:szCs w:val="24"/>
        </w:rPr>
      </w:r>
    </w:p>
    <w:p>
      <w:pPr>
        <w:ind w:firstLine="709"/>
        <w:jc w:val="both"/>
        <w:rPr>
          <w:sz w:val="24"/>
          <w:szCs w:val="24"/>
        </w:rPr>
      </w:pPr>
      <w:r>
        <w:rPr>
          <w:sz w:val="24"/>
          <w:szCs w:val="24"/>
        </w:rPr>
        <w:t xml:space="preserve">1) в виде устных разъяснений по телефону, посредством </w:t>
      </w:r>
      <w:r>
        <w:rPr>
          <w:sz w:val="24"/>
          <w:szCs w:val="24"/>
        </w:rPr>
        <w:t xml:space="preserve">видеоконференц</w:t>
      </w:r>
      <w:r>
        <w:rPr>
          <w:sz w:val="24"/>
          <w:szCs w:val="24"/>
        </w:rPr>
        <w:t xml:space="preserve">-связи, на личном приеме либо в ходе проведения профилактического мероприятия, контрольного мероприятия; </w:t>
      </w:r>
      <w:r>
        <w:rPr>
          <w:sz w:val="24"/>
          <w:szCs w:val="24"/>
        </w:rPr>
      </w:r>
      <w:r>
        <w:rPr>
          <w:sz w:val="24"/>
          <w:szCs w:val="24"/>
        </w:rPr>
      </w:r>
    </w:p>
    <w:p>
      <w:pPr>
        <w:ind w:firstLine="709"/>
        <w:jc w:val="both"/>
        <w:rPr>
          <w:sz w:val="24"/>
          <w:szCs w:val="24"/>
        </w:rPr>
      </w:pPr>
      <w:r>
        <w:rPr>
          <w:sz w:val="24"/>
          <w:szCs w:val="24"/>
        </w:rPr>
        <w:t xml:space="preserve">2) посредством размещения на официальном сайте письменного разъяснения по однотипным обращениям (более пяти однотипных обращений) контролируемых лиц и их представителей, подписанного уполномоченным должностным лицом контрольного органа. </w:t>
      </w:r>
      <w:r>
        <w:rPr>
          <w:sz w:val="24"/>
          <w:szCs w:val="24"/>
        </w:rPr>
      </w:r>
      <w:r>
        <w:rPr>
          <w:sz w:val="24"/>
          <w:szCs w:val="24"/>
        </w:rPr>
      </w:r>
    </w:p>
    <w:p>
      <w:pPr>
        <w:ind w:firstLine="709"/>
        <w:jc w:val="both"/>
        <w:rPr>
          <w:sz w:val="24"/>
          <w:szCs w:val="24"/>
        </w:rPr>
      </w:pPr>
      <w:r>
        <w:rPr>
          <w:sz w:val="24"/>
          <w:szCs w:val="24"/>
        </w:rPr>
        <w:t xml:space="preserve">Инди</w:t>
      </w:r>
      <w:r>
        <w:rPr>
          <w:sz w:val="24"/>
          <w:szCs w:val="24"/>
        </w:rPr>
        <w:t xml:space="preserve">видуальное консультирование на личном приеме каждого заявителя должностным лицом контрольного органа не может превышать 10 минут. Время разговора по телефону не должно превышать 10 минут. При проведении консультирования может вестись аудио,  видеозапись.  </w:t>
      </w:r>
      <w:r>
        <w:rPr>
          <w:sz w:val="24"/>
          <w:szCs w:val="24"/>
        </w:rPr>
      </w:r>
      <w:r>
        <w:rPr>
          <w:sz w:val="24"/>
          <w:szCs w:val="24"/>
        </w:rPr>
      </w:r>
    </w:p>
    <w:p>
      <w:pPr>
        <w:ind w:firstLine="709"/>
        <w:jc w:val="both"/>
        <w:rPr>
          <w:sz w:val="24"/>
          <w:szCs w:val="24"/>
        </w:rPr>
      </w:pPr>
      <w:r>
        <w:rPr>
          <w:sz w:val="24"/>
          <w:szCs w:val="24"/>
        </w:rPr>
        <w:t xml:space="preserve">Контрольный орган не предоставляет контролируемым лицам и их представителям в письменной форме информацию по вопросам устного консультирования. </w:t>
      </w:r>
      <w:r>
        <w:rPr>
          <w:sz w:val="24"/>
          <w:szCs w:val="24"/>
        </w:rPr>
      </w:r>
      <w:r>
        <w:rPr>
          <w:sz w:val="24"/>
          <w:szCs w:val="24"/>
        </w:rPr>
      </w:r>
    </w:p>
    <w:p>
      <w:pPr>
        <w:ind w:firstLine="709"/>
        <w:jc w:val="both"/>
        <w:rPr>
          <w:sz w:val="24"/>
          <w:szCs w:val="24"/>
        </w:rPr>
      </w:pPr>
      <w:r>
        <w:rPr>
          <w:sz w:val="24"/>
          <w:szCs w:val="24"/>
        </w:rPr>
        <w:t xml:space="preserve">Письменное консультирование контролируемых лиц и их представителей осуществляется по вопросу порядка обжалования решений контрольного органа на основании письменного запроса контролируемого лица </w:t>
      </w:r>
      <w:r>
        <w:rPr>
          <w:sz w:val="24"/>
          <w:szCs w:val="24"/>
        </w:rPr>
        <w:t xml:space="preserve">в сроки, установленные Федеральным законом от 02.05.2006 № 59-ФЗ «О порядке рассмотрения обращений граждан Российской Федерации».</w:t>
      </w:r>
      <w:r>
        <w:rPr>
          <w:sz w:val="24"/>
          <w:szCs w:val="24"/>
        </w:rPr>
      </w:r>
      <w:r>
        <w:rPr>
          <w:sz w:val="24"/>
          <w:szCs w:val="24"/>
        </w:rPr>
      </w:r>
    </w:p>
    <w:p>
      <w:pPr>
        <w:ind w:firstLine="709"/>
        <w:jc w:val="both"/>
        <w:rPr>
          <w:b/>
          <w:sz w:val="24"/>
          <w:szCs w:val="24"/>
        </w:rPr>
      </w:pPr>
      <w:r>
        <w:rPr>
          <w:b/>
          <w:sz w:val="24"/>
          <w:szCs w:val="24"/>
        </w:rPr>
      </w:r>
      <w:r>
        <w:rPr>
          <w:b/>
          <w:sz w:val="24"/>
          <w:szCs w:val="24"/>
        </w:rPr>
      </w:r>
      <w:r>
        <w:rPr>
          <w:b/>
          <w:sz w:val="24"/>
          <w:szCs w:val="24"/>
        </w:rPr>
      </w:r>
    </w:p>
    <w:p>
      <w:pPr>
        <w:ind w:firstLine="709"/>
        <w:jc w:val="both"/>
        <w:rPr>
          <w:b/>
          <w:sz w:val="24"/>
          <w:szCs w:val="24"/>
        </w:rPr>
      </w:pPr>
      <w:r>
        <w:rPr>
          <w:b/>
          <w:sz w:val="24"/>
          <w:szCs w:val="24"/>
        </w:rPr>
        <w:t xml:space="preserve">V. Показатели результативности и эффективности программы профилактики рисков причинения вреда</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tbl>
      <w:tblPr>
        <w:tblStyle w:val="881"/>
        <w:tblW w:w="0" w:type="auto"/>
        <w:tblLook w:val="04A0" w:firstRow="1" w:lastRow="0" w:firstColumn="1" w:lastColumn="0" w:noHBand="0" w:noVBand="1"/>
      </w:tblPr>
      <w:tblGrid>
        <w:gridCol w:w="809"/>
        <w:gridCol w:w="3788"/>
        <w:gridCol w:w="4974"/>
      </w:tblGrid>
      <w:tr>
        <w:tblPrEx/>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sz w:val="24"/>
                <w:szCs w:val="24"/>
                <w:lang w:eastAsia="en-US"/>
              </w:rPr>
            </w:pPr>
            <w:r>
              <w:rPr>
                <w:sz w:val="24"/>
                <w:szCs w:val="24"/>
                <w:lang w:eastAsia="en-US"/>
              </w:rPr>
              <w:t xml:space="preserve">№ п/п</w:t>
            </w:r>
            <w:r>
              <w:rPr>
                <w:sz w:val="24"/>
                <w:szCs w:val="24"/>
                <w:lang w:eastAsia="en-US"/>
              </w:rPr>
            </w:r>
            <w:r>
              <w:rPr>
                <w:sz w:val="24"/>
                <w:szCs w:val="24"/>
                <w:lang w:eastAsia="en-US"/>
              </w:rPr>
            </w:r>
          </w:p>
          <w:p>
            <w:pPr>
              <w:jc w:val="center"/>
              <w:rPr>
                <w:sz w:val="24"/>
                <w:szCs w:val="24"/>
                <w:lang w:eastAsia="en-US"/>
              </w:rPr>
            </w:pPr>
            <w:r>
              <w:rPr>
                <w:sz w:val="24"/>
                <w:szCs w:val="24"/>
                <w:lang w:eastAsia="en-US"/>
              </w:rPr>
            </w:r>
            <w:r>
              <w:rPr>
                <w:sz w:val="24"/>
                <w:szCs w:val="24"/>
                <w:lang w:eastAsia="en-US"/>
              </w:rPr>
            </w:r>
            <w:r>
              <w:rPr>
                <w:sz w:val="24"/>
                <w:szCs w:val="24"/>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b/>
                <w:sz w:val="24"/>
                <w:szCs w:val="24"/>
                <w:lang w:eastAsia="en-US"/>
              </w:rPr>
            </w:pPr>
            <w:r>
              <w:rPr>
                <w:sz w:val="24"/>
                <w:szCs w:val="24"/>
                <w:lang w:eastAsia="en-US"/>
              </w:rPr>
              <w:t xml:space="preserve">Наименование показателя</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5070" w:type="dxa"/>
            <w:textDirection w:val="lrTb"/>
            <w:noWrap w:val="false"/>
          </w:tcPr>
          <w:p>
            <w:pPr>
              <w:ind w:firstLine="708"/>
              <w:jc w:val="center"/>
              <w:rPr>
                <w:sz w:val="24"/>
                <w:szCs w:val="24"/>
                <w:lang w:eastAsia="en-US"/>
              </w:rPr>
            </w:pPr>
            <w:r>
              <w:rPr>
                <w:sz w:val="24"/>
                <w:szCs w:val="24"/>
                <w:lang w:eastAsia="en-US"/>
              </w:rPr>
              <w:t xml:space="preserve">Значение показателя</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rHeight w:val="3182"/>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b/>
                <w:sz w:val="24"/>
                <w:szCs w:val="24"/>
                <w:lang w:eastAsia="en-US"/>
              </w:rPr>
            </w:pPr>
            <w:r>
              <w:rPr>
                <w:sz w:val="24"/>
                <w:szCs w:val="24"/>
                <w:lang w:eastAsia="en-US"/>
              </w:rPr>
              <w:t xml:space="preserve">1.</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b/>
                <w:sz w:val="24"/>
                <w:szCs w:val="24"/>
                <w:lang w:eastAsia="en-US"/>
              </w:rPr>
            </w:pPr>
            <w:r>
              <w:rPr>
                <w:sz w:val="24"/>
                <w:szCs w:val="24"/>
                <w:lang w:eastAsia="en-US"/>
              </w:rPr>
              <w:t xml:space="preserve">Полнота информации, размещенной на сайте Печенгского муниципального округа  </w:t>
            </w:r>
            <w:hyperlink r:id="rId15" w:tooltip="http://pechengamr.gov-murman.ru/" w:history="1">
              <w:r>
                <w:rPr>
                  <w:rStyle w:val="869"/>
                  <w:rFonts w:eastAsia="Calibri"/>
                  <w:color w:val="auto"/>
                  <w:sz w:val="24"/>
                  <w:szCs w:val="24"/>
                  <w:lang w:eastAsia="en-US"/>
                </w:rPr>
                <w:t xml:space="preserve">http://pechengamr.gov-murman.ru/</w:t>
              </w:r>
            </w:hyperlink>
            <w:r>
              <w:rPr>
                <w:rStyle w:val="869"/>
                <w:rFonts w:eastAsia="Calibri"/>
                <w:color w:val="auto"/>
                <w:sz w:val="24"/>
                <w:szCs w:val="24"/>
                <w:lang w:eastAsia="en-US"/>
              </w:rPr>
              <w:t xml:space="preserve"> </w:t>
            </w:r>
            <w:r>
              <w:rPr>
                <w:sz w:val="24"/>
                <w:szCs w:val="24"/>
                <w:lang w:eastAsia="en-US"/>
              </w:rPr>
              <w:t xml:space="preserve">в соответствии с частью 3 статьи 46 Федерального закона от 31</w:t>
            </w:r>
            <w:r>
              <w:rPr>
                <w:sz w:val="24"/>
                <w:szCs w:val="24"/>
                <w:lang w:eastAsia="en-US"/>
              </w:rPr>
              <w:t xml:space="preserve">.07.</w:t>
            </w:r>
            <w:r>
              <w:rPr>
                <w:sz w:val="24"/>
                <w:szCs w:val="24"/>
                <w:lang w:eastAsia="en-US"/>
              </w:rPr>
              <w:t xml:space="preserve"> 202</w:t>
            </w:r>
            <w:r>
              <w:rPr>
                <w:sz w:val="24"/>
                <w:szCs w:val="24"/>
                <w:lang w:eastAsia="en-US"/>
              </w:rPr>
              <w:t xml:space="preserve">0</w:t>
            </w:r>
            <w:r>
              <w:rPr>
                <w:sz w:val="24"/>
                <w:szCs w:val="24"/>
                <w:lang w:eastAsia="en-US"/>
              </w:rPr>
              <w:t xml:space="preserve"> № 248-ФЗ «О государственном контроле (надзоре) и муниципальном контроле в Российской Федерации»</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5070" w:type="dxa"/>
            <w:textDirection w:val="lrTb"/>
            <w:noWrap w:val="false"/>
          </w:tcPr>
          <w:p>
            <w:pPr>
              <w:ind w:firstLine="708"/>
              <w:jc w:val="center"/>
              <w:rPr>
                <w:sz w:val="24"/>
                <w:szCs w:val="24"/>
                <w:lang w:eastAsia="en-US"/>
              </w:rPr>
            </w:pPr>
            <w:r>
              <w:rPr>
                <w:sz w:val="24"/>
                <w:szCs w:val="24"/>
                <w:lang w:eastAsia="en-US"/>
              </w:rPr>
            </w:r>
            <w:r>
              <w:rPr>
                <w:sz w:val="24"/>
                <w:szCs w:val="24"/>
                <w:lang w:eastAsia="en-US"/>
              </w:rPr>
            </w:r>
            <w:r>
              <w:rPr>
                <w:sz w:val="24"/>
                <w:szCs w:val="24"/>
                <w:lang w:eastAsia="en-US"/>
              </w:rPr>
            </w:r>
          </w:p>
          <w:p>
            <w:pPr>
              <w:ind w:firstLine="708"/>
              <w:jc w:val="center"/>
              <w:rPr>
                <w:sz w:val="24"/>
                <w:szCs w:val="24"/>
                <w:lang w:eastAsia="en-US"/>
              </w:rPr>
            </w:pPr>
            <w:r>
              <w:rPr>
                <w:sz w:val="24"/>
                <w:szCs w:val="24"/>
                <w:lang w:eastAsia="en-US"/>
              </w:rPr>
            </w:r>
            <w:r>
              <w:rPr>
                <w:sz w:val="24"/>
                <w:szCs w:val="24"/>
                <w:lang w:eastAsia="en-US"/>
              </w:rPr>
            </w:r>
            <w:r>
              <w:rPr>
                <w:sz w:val="24"/>
                <w:szCs w:val="24"/>
                <w:lang w:eastAsia="en-US"/>
              </w:rPr>
            </w:r>
          </w:p>
          <w:p>
            <w:pPr>
              <w:ind w:firstLine="708"/>
              <w:jc w:val="center"/>
              <w:rPr>
                <w:sz w:val="24"/>
                <w:szCs w:val="24"/>
                <w:lang w:eastAsia="en-US"/>
              </w:rPr>
            </w:pPr>
            <w:r>
              <w:rPr>
                <w:sz w:val="24"/>
                <w:szCs w:val="24"/>
                <w:lang w:eastAsia="en-US"/>
              </w:rPr>
            </w:r>
            <w:r>
              <w:rPr>
                <w:sz w:val="24"/>
                <w:szCs w:val="24"/>
                <w:lang w:eastAsia="en-US"/>
              </w:rPr>
            </w:r>
            <w:r>
              <w:rPr>
                <w:sz w:val="24"/>
                <w:szCs w:val="24"/>
                <w:lang w:eastAsia="en-US"/>
              </w:rPr>
            </w:r>
          </w:p>
          <w:p>
            <w:pPr>
              <w:ind w:firstLine="708"/>
              <w:jc w:val="center"/>
              <w:rPr>
                <w:sz w:val="24"/>
                <w:szCs w:val="24"/>
                <w:lang w:eastAsia="en-US"/>
              </w:rPr>
            </w:pPr>
            <w:r>
              <w:rPr>
                <w:sz w:val="24"/>
                <w:szCs w:val="24"/>
                <w:lang w:eastAsia="en-US"/>
              </w:rPr>
            </w:r>
            <w:r>
              <w:rPr>
                <w:sz w:val="24"/>
                <w:szCs w:val="24"/>
                <w:lang w:eastAsia="en-US"/>
              </w:rPr>
            </w:r>
            <w:r>
              <w:rPr>
                <w:sz w:val="24"/>
                <w:szCs w:val="24"/>
                <w:lang w:eastAsia="en-US"/>
              </w:rPr>
            </w:r>
          </w:p>
          <w:p>
            <w:pPr>
              <w:ind w:firstLine="708"/>
              <w:jc w:val="center"/>
              <w:rPr>
                <w:sz w:val="24"/>
                <w:szCs w:val="24"/>
                <w:lang w:eastAsia="en-US"/>
              </w:rPr>
            </w:pPr>
            <w:r>
              <w:rPr>
                <w:sz w:val="24"/>
                <w:szCs w:val="24"/>
                <w:lang w:eastAsia="en-US"/>
              </w:rPr>
            </w:r>
            <w:r>
              <w:rPr>
                <w:sz w:val="24"/>
                <w:szCs w:val="24"/>
                <w:lang w:eastAsia="en-US"/>
              </w:rPr>
            </w:r>
            <w:r>
              <w:rPr>
                <w:sz w:val="24"/>
                <w:szCs w:val="24"/>
                <w:lang w:eastAsia="en-US"/>
              </w:rPr>
            </w:r>
          </w:p>
          <w:p>
            <w:pPr>
              <w:ind w:firstLine="708"/>
              <w:jc w:val="center"/>
              <w:rPr>
                <w:sz w:val="24"/>
                <w:szCs w:val="24"/>
                <w:lang w:eastAsia="en-US"/>
              </w:rPr>
            </w:pPr>
            <w:r>
              <w:rPr>
                <w:sz w:val="24"/>
                <w:szCs w:val="24"/>
                <w:lang w:eastAsia="en-US"/>
              </w:rPr>
              <w:t xml:space="preserve">100 %</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r>
        <w:tblPrEx/>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b/>
                <w:sz w:val="24"/>
                <w:szCs w:val="24"/>
                <w:lang w:eastAsia="en-US"/>
              </w:rPr>
            </w:pPr>
            <w:r>
              <w:rPr>
                <w:sz w:val="24"/>
                <w:szCs w:val="24"/>
                <w:lang w:eastAsia="en-US"/>
              </w:rPr>
              <w:t xml:space="preserve">2.</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sz w:val="24"/>
                <w:szCs w:val="24"/>
                <w:lang w:eastAsia="en-US"/>
              </w:rPr>
            </w:pPr>
            <w:r>
              <w:rPr>
                <w:sz w:val="24"/>
                <w:szCs w:val="24"/>
                <w:lang w:eastAsia="en-US"/>
              </w:rPr>
              <w:t xml:space="preserve">Удовлетворенность контролируемых лиц и их представителями консультированием</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5070" w:type="dxa"/>
            <w:textDirection w:val="lrTb"/>
            <w:noWrap w:val="false"/>
          </w:tcPr>
          <w:p>
            <w:pPr>
              <w:jc w:val="center"/>
              <w:rPr>
                <w:sz w:val="24"/>
                <w:szCs w:val="24"/>
                <w:lang w:eastAsia="en-US"/>
              </w:rPr>
            </w:pPr>
            <w:r>
              <w:rPr>
                <w:sz w:val="24"/>
                <w:szCs w:val="24"/>
                <w:lang w:eastAsia="en-US"/>
              </w:rPr>
            </w:r>
            <w:r>
              <w:rPr>
                <w:sz w:val="24"/>
                <w:szCs w:val="24"/>
                <w:lang w:eastAsia="en-US"/>
              </w:rPr>
            </w:r>
            <w:r>
              <w:rPr>
                <w:sz w:val="24"/>
                <w:szCs w:val="24"/>
                <w:lang w:eastAsia="en-US"/>
              </w:rPr>
            </w:r>
          </w:p>
          <w:p>
            <w:pPr>
              <w:jc w:val="center"/>
              <w:rPr>
                <w:sz w:val="24"/>
                <w:szCs w:val="24"/>
                <w:lang w:eastAsia="en-US"/>
              </w:rPr>
            </w:pPr>
            <w:r>
              <w:rPr>
                <w:sz w:val="24"/>
                <w:szCs w:val="24"/>
                <w:lang w:eastAsia="en-US"/>
              </w:rPr>
            </w:r>
            <w:r>
              <w:rPr>
                <w:sz w:val="24"/>
                <w:szCs w:val="24"/>
                <w:lang w:eastAsia="en-US"/>
              </w:rPr>
            </w:r>
            <w:r>
              <w:rPr>
                <w:sz w:val="24"/>
                <w:szCs w:val="24"/>
                <w:lang w:eastAsia="en-US"/>
              </w:rPr>
            </w:r>
          </w:p>
          <w:p>
            <w:pPr>
              <w:jc w:val="center"/>
              <w:rPr>
                <w:b/>
                <w:sz w:val="24"/>
                <w:szCs w:val="24"/>
                <w:lang w:eastAsia="en-US"/>
              </w:rPr>
            </w:pPr>
            <w:r>
              <w:rPr>
                <w:sz w:val="24"/>
                <w:szCs w:val="24"/>
                <w:lang w:eastAsia="en-US"/>
              </w:rPr>
              <w:t xml:space="preserve">100 % от числа обратившихся</w:t>
            </w:r>
            <w:r>
              <w:rPr>
                <w:b/>
                <w:sz w:val="24"/>
                <w:szCs w:val="24"/>
                <w:lang w:eastAsia="en-US"/>
              </w:rPr>
            </w:r>
            <w:r>
              <w:rPr>
                <w:b/>
                <w:sz w:val="24"/>
                <w:szCs w:val="24"/>
                <w:lang w:eastAsia="en-US"/>
              </w:rPr>
            </w:r>
          </w:p>
        </w:tc>
      </w:tr>
      <w:tr>
        <w:tblPrEx/>
        <w:trPr>
          <w:trHeight w:val="1453"/>
        </w:trPr>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rPr>
                <w:b/>
                <w:sz w:val="24"/>
                <w:szCs w:val="24"/>
                <w:lang w:eastAsia="en-US"/>
              </w:rPr>
            </w:pPr>
            <w:r>
              <w:rPr>
                <w:sz w:val="24"/>
                <w:szCs w:val="24"/>
                <w:lang w:eastAsia="en-US"/>
              </w:rPr>
              <w:t xml:space="preserve">3.</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3827" w:type="dxa"/>
            <w:textDirection w:val="lrTb"/>
            <w:noWrap w:val="false"/>
          </w:tcPr>
          <w:p>
            <w:pPr>
              <w:jc w:val="center"/>
              <w:rPr>
                <w:b/>
                <w:sz w:val="24"/>
                <w:szCs w:val="24"/>
                <w:lang w:eastAsia="en-US"/>
              </w:rPr>
            </w:pPr>
            <w:r>
              <w:rPr>
                <w:sz w:val="24"/>
                <w:szCs w:val="24"/>
                <w:lang w:eastAsia="en-US"/>
              </w:rPr>
              <w:t xml:space="preserve">Количество проведенных профилактических мероприятий</w:t>
            </w:r>
            <w:r>
              <w:rPr>
                <w:b/>
                <w:sz w:val="24"/>
                <w:szCs w:val="24"/>
                <w:lang w:eastAsia="en-US"/>
              </w:rPr>
            </w:r>
            <w:r>
              <w:rPr>
                <w:b/>
                <w:sz w:val="24"/>
                <w:szCs w:val="24"/>
                <w:lang w:eastAsia="en-US"/>
              </w:rPr>
            </w:r>
          </w:p>
        </w:tc>
        <w:tc>
          <w:tcPr>
            <w:tcBorders>
              <w:top w:val="single" w:color="auto" w:sz="4" w:space="0"/>
              <w:left w:val="single" w:color="auto" w:sz="4" w:space="0"/>
              <w:bottom w:val="single" w:color="auto" w:sz="4" w:space="0"/>
              <w:right w:val="single" w:color="auto" w:sz="4" w:space="0"/>
            </w:tcBorders>
            <w:tcW w:w="5070" w:type="dxa"/>
            <w:textDirection w:val="lrTb"/>
            <w:noWrap w:val="false"/>
          </w:tcPr>
          <w:p>
            <w:pPr>
              <w:ind w:firstLine="708"/>
              <w:jc w:val="center"/>
              <w:rPr>
                <w:sz w:val="24"/>
                <w:szCs w:val="24"/>
                <w:lang w:eastAsia="en-US"/>
              </w:rPr>
            </w:pPr>
            <w:r>
              <w:rPr>
                <w:sz w:val="24"/>
                <w:szCs w:val="24"/>
                <w:lang w:eastAsia="en-US"/>
              </w:rPr>
              <w:t xml:space="preserve">не менее 10 мероприятий, проведенных контрольным органом</w:t>
            </w:r>
            <w:r>
              <w:rPr>
                <w:sz w:val="24"/>
                <w:szCs w:val="24"/>
                <w:lang w:eastAsia="en-US"/>
              </w:rPr>
            </w:r>
            <w:r>
              <w:rPr>
                <w:sz w:val="24"/>
                <w:szCs w:val="24"/>
                <w:lang w:eastAsia="en-US"/>
              </w:rPr>
            </w:r>
          </w:p>
          <w:p>
            <w:pPr>
              <w:jc w:val="center"/>
              <w:rPr>
                <w:b/>
                <w:sz w:val="24"/>
                <w:szCs w:val="24"/>
                <w:lang w:eastAsia="en-US"/>
              </w:rPr>
            </w:pPr>
            <w:r>
              <w:rPr>
                <w:b/>
                <w:sz w:val="24"/>
                <w:szCs w:val="24"/>
                <w:lang w:eastAsia="en-US"/>
              </w:rPr>
            </w:r>
            <w:r>
              <w:rPr>
                <w:b/>
                <w:sz w:val="24"/>
                <w:szCs w:val="24"/>
                <w:lang w:eastAsia="en-US"/>
              </w:rPr>
            </w:r>
            <w:r>
              <w:rPr>
                <w:b/>
                <w:sz w:val="24"/>
                <w:szCs w:val="24"/>
                <w:lang w:eastAsia="en-US"/>
              </w:rPr>
            </w:r>
          </w:p>
        </w:tc>
      </w:tr>
    </w:tbl>
    <w:p>
      <w:r/>
    </w:p>
    <w:sectPr>
      <w:headerReference w:type="default" r:id="rId9"/>
      <w:footerReference w:type="default" r:id="rId10"/>
      <w:footnotePr/>
      <w:endnotePr/>
      <w:type w:val="nextPage"/>
      <w:pgSz w:w="11906" w:h="16838" w:orient="portrait"/>
      <w:pgMar w:top="1134" w:right="850" w:bottom="397"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Calibri">
    <w:panose1 w:val="020F0502020204030204"/>
  </w:font>
  <w:font w:name="Tahoma">
    <w:panose1 w:val="020B0604030504040204"/>
  </w:font>
  <w:font w:name="Verdana">
    <w:panose1 w:val="020B060403050404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429" w:hanging="720"/>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
    <w:multiLevelType w:val="hybridMultilevel"/>
    <w:lvl w:ilvl="0">
      <w:start w:val="2"/>
      <w:numFmt w:val="decimal"/>
      <w:isLgl w:val="false"/>
      <w:suff w:val="tab"/>
      <w:lvlText w:val="%1."/>
      <w:lvlJc w:val="left"/>
      <w:pPr>
        <w:ind w:left="585" w:hanging="585"/>
      </w:pPr>
      <w:rPr>
        <w:rFonts w:hint="default"/>
      </w:rPr>
    </w:lvl>
    <w:lvl w:ilvl="1">
      <w:start w:val="1"/>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2">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3">
    <w:multiLevelType w:val="hybridMultilevel"/>
    <w:lvl w:ilvl="0">
      <w:start w:val="1"/>
      <w:numFmt w:val="upperRoman"/>
      <w:isLgl w:val="false"/>
      <w:suff w:val="tab"/>
      <w:lvlText w:val="%1."/>
      <w:lvlJc w:val="left"/>
      <w:pPr>
        <w:ind w:left="1429" w:hanging="72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4">
    <w:multiLevelType w:val="hybridMultilevel"/>
    <w:lvl w:ilvl="0">
      <w:start w:val="2"/>
      <w:numFmt w:val="decimal"/>
      <w:isLgl w:val="false"/>
      <w:suff w:val="tab"/>
      <w:lvlText w:val="%1."/>
      <w:lvlJc w:val="left"/>
      <w:pPr>
        <w:ind w:left="585" w:hanging="585"/>
      </w:pPr>
      <w:rPr>
        <w:rFonts w:hint="default"/>
      </w:rPr>
    </w:lvl>
    <w:lvl w:ilvl="1">
      <w:start w:val="2"/>
      <w:numFmt w:val="decimal"/>
      <w:isLgl w:val="false"/>
      <w:suff w:val="tab"/>
      <w:lvlText w:val="%1.%2."/>
      <w:lvlJc w:val="left"/>
      <w:pPr>
        <w:ind w:left="1074" w:hanging="720"/>
      </w:pPr>
      <w:rPr>
        <w:rFonts w:hint="default"/>
      </w:rPr>
    </w:lvl>
    <w:lvl w:ilvl="2">
      <w:start w:val="1"/>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2142" w:hanging="108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3210" w:hanging="144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4278" w:hanging="1800"/>
      </w:pPr>
      <w:rPr>
        <w:rFonts w:hint="default"/>
      </w:rPr>
    </w:lvl>
    <w:lvl w:ilvl="8">
      <w:start w:val="1"/>
      <w:numFmt w:val="decimal"/>
      <w:isLgl w:val="false"/>
      <w:suff w:val="tab"/>
      <w:lvlText w:val="%1.%2.%3.%4.%5.%6.%7.%8.%9."/>
      <w:lvlJc w:val="left"/>
      <w:pPr>
        <w:ind w:left="4632" w:hanging="1800"/>
      </w:pPr>
      <w:rPr>
        <w:rFonts w:hint="default"/>
      </w:rPr>
    </w:lvl>
  </w:abstractNum>
  <w:abstractNum w:abstractNumId="5">
    <w:multiLevelType w:val="hybridMultilevel"/>
    <w:lvl w:ilvl="0">
      <w:start w:val="1"/>
      <w:numFmt w:val="decimal"/>
      <w:isLgl w:val="false"/>
      <w:suff w:val="tab"/>
      <w:lvlText w:val="%1."/>
      <w:lvlJc w:val="left"/>
      <w:pPr>
        <w:ind w:left="720" w:hanging="360"/>
      </w:pPr>
      <w:rPr>
        <w:rFonts w:hint="default"/>
        <w:b w:val="0"/>
      </w:rPr>
    </w:lvl>
    <w:lvl w:ilvl="1">
      <w:start w:val="5"/>
      <w:numFmt w:val="decimal"/>
      <w:isLgl/>
      <w:suff w:val="tab"/>
      <w:lvlText w:val="%1.%2."/>
      <w:lvlJc w:val="left"/>
      <w:pPr>
        <w:ind w:left="780" w:hanging="42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num w:numId="1">
    <w:abstractNumId w:val="2"/>
  </w:num>
  <w:num w:numId="2">
    <w:abstractNumId w:val="5"/>
  </w:num>
  <w:num w:numId="3">
    <w:abstractNumId w:val="1"/>
  </w:num>
  <w:num w:numId="4">
    <w:abstractNumId w:val="4"/>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2"/>
    <w:link w:val="860"/>
    <w:uiPriority w:val="9"/>
    <w:rPr>
      <w:rFonts w:ascii="Arial" w:hAnsi="Arial" w:eastAsia="Arial" w:cs="Arial"/>
      <w:sz w:val="40"/>
      <w:szCs w:val="40"/>
    </w:rPr>
  </w:style>
  <w:style w:type="paragraph" w:styleId="687">
    <w:name w:val="Heading 2"/>
    <w:basedOn w:val="859"/>
    <w:next w:val="859"/>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basedOn w:val="862"/>
    <w:link w:val="687"/>
    <w:uiPriority w:val="9"/>
    <w:rPr>
      <w:rFonts w:ascii="Arial" w:hAnsi="Arial" w:eastAsia="Arial" w:cs="Arial"/>
      <w:sz w:val="34"/>
    </w:rPr>
  </w:style>
  <w:style w:type="paragraph" w:styleId="689">
    <w:name w:val="Heading 3"/>
    <w:basedOn w:val="859"/>
    <w:next w:val="859"/>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basedOn w:val="862"/>
    <w:link w:val="689"/>
    <w:uiPriority w:val="9"/>
    <w:rPr>
      <w:rFonts w:ascii="Arial" w:hAnsi="Arial" w:eastAsia="Arial" w:cs="Arial"/>
      <w:sz w:val="30"/>
      <w:szCs w:val="30"/>
    </w:rPr>
  </w:style>
  <w:style w:type="character" w:styleId="691">
    <w:name w:val="Heading 4 Char"/>
    <w:basedOn w:val="862"/>
    <w:link w:val="861"/>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2"/>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2"/>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2"/>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2"/>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2"/>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9"/>
    <w:next w:val="859"/>
    <w:link w:val="704"/>
    <w:uiPriority w:val="10"/>
    <w:qFormat/>
    <w:pPr>
      <w:contextualSpacing/>
      <w:spacing w:before="300" w:after="200"/>
    </w:pPr>
    <w:rPr>
      <w:sz w:val="48"/>
      <w:szCs w:val="48"/>
    </w:rPr>
  </w:style>
  <w:style w:type="character" w:styleId="704">
    <w:name w:val="Title Char"/>
    <w:basedOn w:val="862"/>
    <w:link w:val="703"/>
    <w:uiPriority w:val="10"/>
    <w:rPr>
      <w:sz w:val="48"/>
      <w:szCs w:val="48"/>
    </w:rPr>
  </w:style>
  <w:style w:type="paragraph" w:styleId="705">
    <w:name w:val="Subtitle"/>
    <w:basedOn w:val="859"/>
    <w:next w:val="859"/>
    <w:link w:val="706"/>
    <w:uiPriority w:val="11"/>
    <w:qFormat/>
    <w:pPr>
      <w:spacing w:before="200" w:after="200"/>
    </w:pPr>
    <w:rPr>
      <w:sz w:val="24"/>
      <w:szCs w:val="24"/>
    </w:rPr>
  </w:style>
  <w:style w:type="character" w:styleId="706">
    <w:name w:val="Subtitle Char"/>
    <w:basedOn w:val="862"/>
    <w:link w:val="705"/>
    <w:uiPriority w:val="11"/>
    <w:rPr>
      <w:sz w:val="24"/>
      <w:szCs w:val="24"/>
    </w:rPr>
  </w:style>
  <w:style w:type="paragraph" w:styleId="707">
    <w:name w:val="Quote"/>
    <w:basedOn w:val="859"/>
    <w:next w:val="859"/>
    <w:link w:val="708"/>
    <w:uiPriority w:val="29"/>
    <w:qFormat/>
    <w:pPr>
      <w:ind w:left="720" w:right="720"/>
    </w:pPr>
    <w:rPr>
      <w:i/>
    </w:rPr>
  </w:style>
  <w:style w:type="character" w:styleId="708">
    <w:name w:val="Quote Char"/>
    <w:link w:val="707"/>
    <w:uiPriority w:val="29"/>
    <w:rPr>
      <w:i/>
    </w:rPr>
  </w:style>
  <w:style w:type="paragraph" w:styleId="709">
    <w:name w:val="Intense Quote"/>
    <w:basedOn w:val="859"/>
    <w:next w:val="859"/>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59"/>
    <w:link w:val="712"/>
    <w:uiPriority w:val="99"/>
    <w:unhideWhenUsed/>
    <w:pPr>
      <w:spacing w:after="0" w:line="240" w:lineRule="auto"/>
      <w:tabs>
        <w:tab w:val="center" w:pos="7143" w:leader="none"/>
        <w:tab w:val="right" w:pos="14287" w:leader="none"/>
      </w:tabs>
    </w:pPr>
  </w:style>
  <w:style w:type="character" w:styleId="712">
    <w:name w:val="Header Char"/>
    <w:basedOn w:val="862"/>
    <w:link w:val="711"/>
    <w:uiPriority w:val="99"/>
  </w:style>
  <w:style w:type="paragraph" w:styleId="713">
    <w:name w:val="Footer"/>
    <w:basedOn w:val="859"/>
    <w:link w:val="716"/>
    <w:uiPriority w:val="99"/>
    <w:unhideWhenUsed/>
    <w:pPr>
      <w:spacing w:after="0" w:line="240" w:lineRule="auto"/>
      <w:tabs>
        <w:tab w:val="center" w:pos="7143" w:leader="none"/>
        <w:tab w:val="right" w:pos="14287" w:leader="none"/>
      </w:tabs>
    </w:pPr>
  </w:style>
  <w:style w:type="character" w:styleId="714">
    <w:name w:val="Footer Char"/>
    <w:basedOn w:val="862"/>
    <w:link w:val="713"/>
    <w:uiPriority w:val="99"/>
  </w:style>
  <w:style w:type="paragraph" w:styleId="715">
    <w:name w:val="Caption"/>
    <w:basedOn w:val="859"/>
    <w:next w:val="859"/>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2"/>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2"/>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qFormat/>
    <w:pPr>
      <w:spacing w:after="0" w:line="240" w:lineRule="auto"/>
    </w:pPr>
    <w:rPr>
      <w:rFonts w:ascii="Times New Roman" w:hAnsi="Times New Roman" w:eastAsia="Times New Roman" w:cs="Times New Roman"/>
      <w:color w:val="000000"/>
      <w:sz w:val="20"/>
      <w:szCs w:val="20"/>
      <w:lang w:eastAsia="ru-RU"/>
    </w:rPr>
  </w:style>
  <w:style w:type="paragraph" w:styleId="860">
    <w:name w:val="Heading 1"/>
    <w:basedOn w:val="859"/>
    <w:next w:val="859"/>
    <w:link w:val="875"/>
    <w:uiPriority w:val="9"/>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61">
    <w:name w:val="Heading 4"/>
    <w:basedOn w:val="859"/>
    <w:next w:val="859"/>
    <w:link w:val="865"/>
    <w:qFormat/>
    <w:pPr>
      <w:ind w:firstLine="709"/>
      <w:keepNext/>
      <w:outlineLvl w:val="3"/>
    </w:pPr>
    <w:rPr>
      <w:sz w:val="28"/>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character" w:styleId="865" w:customStyle="1">
    <w:name w:val="Заголовок 4 Знак"/>
    <w:basedOn w:val="862"/>
    <w:link w:val="861"/>
    <w:rPr>
      <w:rFonts w:ascii="Times New Roman" w:hAnsi="Times New Roman" w:eastAsia="Times New Roman" w:cs="Times New Roman"/>
      <w:color w:val="000000"/>
      <w:sz w:val="28"/>
      <w:szCs w:val="20"/>
      <w:lang w:eastAsia="ru-RU"/>
    </w:rPr>
  </w:style>
  <w:style w:type="paragraph" w:styleId="866" w:customStyle="1">
    <w:name w:val="Знак Знак Знак Знак Знак Знак Знак Знак Знак Знак"/>
    <w:basedOn w:val="859"/>
    <w:pPr>
      <w:spacing w:after="160" w:line="240" w:lineRule="exact"/>
    </w:pPr>
    <w:rPr>
      <w:rFonts w:ascii="Verdana" w:hAnsi="Verdana" w:cs="Verdana"/>
      <w:color w:val="auto"/>
      <w:lang w:val="en-US" w:eastAsia="en-US"/>
    </w:rPr>
  </w:style>
  <w:style w:type="paragraph" w:styleId="867"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868">
    <w:name w:val="List Paragraph"/>
    <w:basedOn w:val="859"/>
    <w:link w:val="874"/>
    <w:qFormat/>
    <w:pPr>
      <w:contextualSpacing/>
      <w:ind w:left="720"/>
    </w:pPr>
  </w:style>
  <w:style w:type="character" w:styleId="869">
    <w:name w:val="Hyperlink"/>
    <w:basedOn w:val="862"/>
    <w:uiPriority w:val="99"/>
    <w:semiHidden/>
    <w:unhideWhenUsed/>
    <w:rPr>
      <w:color w:val="0000ff"/>
      <w:u w:val="single"/>
    </w:rPr>
  </w:style>
  <w:style w:type="paragraph" w:styleId="870">
    <w:name w:val="Balloon Text"/>
    <w:basedOn w:val="859"/>
    <w:link w:val="871"/>
    <w:uiPriority w:val="99"/>
    <w:semiHidden/>
    <w:unhideWhenUsed/>
    <w:rPr>
      <w:rFonts w:ascii="Tahoma" w:hAnsi="Tahoma" w:cs="Tahoma"/>
      <w:sz w:val="16"/>
      <w:szCs w:val="16"/>
    </w:rPr>
  </w:style>
  <w:style w:type="character" w:styleId="871" w:customStyle="1">
    <w:name w:val="Текст выноски Знак"/>
    <w:basedOn w:val="862"/>
    <w:link w:val="870"/>
    <w:uiPriority w:val="99"/>
    <w:semiHidden/>
    <w:rPr>
      <w:rFonts w:ascii="Tahoma" w:hAnsi="Tahoma" w:eastAsia="Times New Roman" w:cs="Tahoma"/>
      <w:color w:val="000000"/>
      <w:sz w:val="16"/>
      <w:szCs w:val="16"/>
      <w:lang w:eastAsia="ru-RU"/>
    </w:rPr>
  </w:style>
  <w:style w:type="character" w:styleId="872" w:customStyle="1">
    <w:name w:val="doccaption"/>
    <w:basedOn w:val="862"/>
  </w:style>
  <w:style w:type="character" w:styleId="873">
    <w:name w:val="Strong"/>
    <w:basedOn w:val="862"/>
    <w:uiPriority w:val="22"/>
    <w:qFormat/>
    <w:rPr>
      <w:b/>
      <w:bCs/>
    </w:rPr>
  </w:style>
  <w:style w:type="character" w:styleId="874" w:customStyle="1">
    <w:name w:val="Абзац списка Знак"/>
    <w:link w:val="868"/>
    <w:rPr>
      <w:rFonts w:ascii="Times New Roman" w:hAnsi="Times New Roman" w:eastAsia="Times New Roman" w:cs="Times New Roman"/>
      <w:color w:val="000000"/>
      <w:sz w:val="20"/>
      <w:szCs w:val="20"/>
      <w:lang w:eastAsia="ru-RU"/>
    </w:rPr>
  </w:style>
  <w:style w:type="character" w:styleId="875" w:customStyle="1">
    <w:name w:val="Заголовок 1 Знак"/>
    <w:basedOn w:val="862"/>
    <w:link w:val="860"/>
    <w:uiPriority w:val="9"/>
    <w:rPr>
      <w:rFonts w:asciiTheme="majorHAnsi" w:hAnsiTheme="majorHAnsi" w:eastAsiaTheme="majorEastAsia" w:cstheme="majorBidi"/>
      <w:b/>
      <w:bCs/>
      <w:color w:val="365f91" w:themeColor="accent1" w:themeShade="BF"/>
      <w:sz w:val="28"/>
      <w:szCs w:val="28"/>
      <w:lang w:eastAsia="ru-RU"/>
    </w:rPr>
  </w:style>
  <w:style w:type="paragraph" w:styleId="876" w:customStyle="1">
    <w:name w:val="ConsPlusNormal"/>
    <w:link w:val="878"/>
    <w:pPr>
      <w:spacing w:after="0" w:line="240" w:lineRule="auto"/>
    </w:pPr>
    <w:rPr>
      <w:rFonts w:ascii="Times New Roman" w:hAnsi="Times New Roman" w:eastAsia="Calibri" w:cs="Times New Roman"/>
      <w:b/>
      <w:bCs/>
      <w:sz w:val="24"/>
      <w:szCs w:val="24"/>
      <w:lang w:eastAsia="ar-SA"/>
    </w:rPr>
  </w:style>
  <w:style w:type="character" w:styleId="877" w:customStyle="1">
    <w:name w:val="Основной текст (2) + 8;5 pt"/>
    <w:rPr>
      <w:rFonts w:ascii="Times New Roman" w:hAnsi="Times New Roman" w:eastAsia="Times New Roman" w:cs="Times New Roman"/>
      <w:b w:val="0"/>
      <w:bCs w:val="0"/>
      <w:i w:val="0"/>
      <w:iCs w:val="0"/>
      <w:smallCaps w:val="0"/>
      <w:strike w:val="0"/>
      <w:color w:val="000000"/>
      <w:spacing w:val="0"/>
      <w:position w:val="0"/>
      <w:sz w:val="17"/>
      <w:szCs w:val="17"/>
      <w:u w:val="none"/>
      <w:shd w:val="clear" w:color="auto" w:fill="ffffff"/>
      <w:lang w:val="ru-RU" w:eastAsia="ru-RU" w:bidi="ru-RU"/>
    </w:rPr>
  </w:style>
  <w:style w:type="character" w:styleId="878" w:customStyle="1">
    <w:name w:val="ConsPlusNormal1"/>
    <w:link w:val="876"/>
    <w:rPr>
      <w:rFonts w:ascii="Times New Roman" w:hAnsi="Times New Roman" w:eastAsia="Calibri" w:cs="Times New Roman"/>
      <w:b/>
      <w:bCs/>
      <w:sz w:val="24"/>
      <w:szCs w:val="24"/>
      <w:lang w:eastAsia="ar-SA"/>
    </w:rPr>
  </w:style>
  <w:style w:type="paragraph" w:styleId="879">
    <w:name w:val="HTML Preformatted"/>
    <w:basedOn w:val="859"/>
    <w:link w:val="880"/>
    <w:uiPriority w:val="99"/>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color w:val="auto"/>
    </w:rPr>
  </w:style>
  <w:style w:type="character" w:styleId="880" w:customStyle="1">
    <w:name w:val="Стандартный HTML Знак"/>
    <w:basedOn w:val="862"/>
    <w:link w:val="879"/>
    <w:uiPriority w:val="99"/>
    <w:rPr>
      <w:rFonts w:ascii="Courier New" w:hAnsi="Courier New" w:eastAsia="Times New Roman" w:cs="Courier New"/>
      <w:sz w:val="20"/>
      <w:szCs w:val="20"/>
      <w:lang w:eastAsia="ru-RU"/>
    </w:rPr>
  </w:style>
  <w:style w:type="table" w:styleId="881">
    <w:name w:val="Table Grid"/>
    <w:basedOn w:val="863"/>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pechengamr.gov-murman.ru/" TargetMode="External"/><Relationship Id="rId14" Type="http://schemas.openxmlformats.org/officeDocument/2006/relationships/hyperlink" Target="http://pechengamr.gov-murman.ru/" TargetMode="External"/><Relationship Id="rId15"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35455-2614-427E-8C7B-F0289EF4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Пахтусова Светлана Юрьевна</dc:creator>
  <cp:revision>4</cp:revision>
  <dcterms:created xsi:type="dcterms:W3CDTF">2024-12-20T08:54:00Z</dcterms:created>
  <dcterms:modified xsi:type="dcterms:W3CDTF">2024-12-25T08:48:21Z</dcterms:modified>
</cp:coreProperties>
</file>