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</w:t>
      </w:r>
      <w:r>
        <w:rPr>
          <w:rFonts w:ascii="Times New Roman" w:hAnsi="Times New Roman" w:cs="Times New Roman"/>
          <w:b/>
        </w:rPr>
        <w:t xml:space="preserve"> 10.12.2024 </w:t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№ 1995а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п.г.т</w:t>
      </w:r>
      <w:r>
        <w:rPr>
          <w:rFonts w:ascii="Times New Roman" w:hAnsi="Times New Roman" w:cs="Times New Roman"/>
          <w:b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51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 проведения в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году проверок в рамках ведомственного </w:t>
      </w:r>
      <w:r>
        <w:rPr>
          <w:b/>
          <w:sz w:val="20"/>
          <w:szCs w:val="20"/>
        </w:rPr>
        <w:t xml:space="preserve">контроля за</w:t>
      </w:r>
      <w:r>
        <w:rPr>
          <w:b/>
          <w:sz w:val="20"/>
          <w:szCs w:val="20"/>
        </w:rPr>
        <w:t xml:space="preserve"> соблюдением трудового законодательства и иных нормативных правовых актов,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51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содержащих</w:t>
      </w:r>
      <w:r>
        <w:rPr>
          <w:b/>
          <w:sz w:val="20"/>
          <w:szCs w:val="20"/>
        </w:rPr>
        <w:t xml:space="preserve"> нормы трудового права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60"/>
      </w:pPr>
      <w:r/>
      <w:r/>
    </w:p>
    <w:p>
      <w:pPr>
        <w:pStyle w:val="860"/>
      </w:pPr>
      <w:r/>
      <w:r/>
    </w:p>
    <w:p>
      <w:pPr>
        <w:pStyle w:val="851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акона Мурманской области от 06.07.2017 № 2156-01-ЗМО 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«О ведомственном контроле за соблюдением трудового законодательства в организациях, подведомственных исполнительным органам государственной власти Мурманской области и о</w:t>
      </w:r>
      <w:r>
        <w:rPr>
          <w:sz w:val="24"/>
          <w:szCs w:val="24"/>
        </w:rPr>
        <w:t xml:space="preserve">рганам местного самоуправления»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постановления администрации Печенгского муниципального округа от 30.11.2021 № 1301 </w:t>
      </w:r>
      <w:r>
        <w:rPr>
          <w:sz w:val="24"/>
          <w:szCs w:val="24"/>
        </w:rPr>
        <w:t xml:space="preserve">«О реализации Закона Мурманской области от 06.07.2017 № 2156-01-ЗМО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ведомственном контроле за соблюдением трудового законодательства в организациях, подведомственных исполнительным органам государственной власти Мурманской</w:t>
      </w:r>
      <w:r>
        <w:rPr>
          <w:sz w:val="24"/>
          <w:szCs w:val="24"/>
        </w:rPr>
        <w:t xml:space="preserve"> области и органам местного самоуправления»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ПОСТАНОВЛЯЮ: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51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firstLine="709"/>
        <w:jc w:val="both"/>
        <w:spacing w:line="240" w:lineRule="auto"/>
        <w:shd w:val="clear" w:color="auto" w:fill="auto"/>
        <w:rPr>
          <w:rFonts w:eastAsiaTheme="minorHAnsi"/>
          <w:sz w:val="24"/>
          <w:szCs w:val="24"/>
        </w:rPr>
      </w:pPr>
      <w:r>
        <w:t xml:space="preserve">1. </w:t>
      </w:r>
      <w:r>
        <w:rPr>
          <w:rFonts w:eastAsiaTheme="minorHAnsi"/>
          <w:sz w:val="24"/>
          <w:szCs w:val="24"/>
          <w:lang w:eastAsia="en-US"/>
        </w:rPr>
        <w:t xml:space="preserve">Утвердить </w:t>
      </w:r>
      <w:hyperlink r:id="rId10" w:tooltip="consultantplus://offline/ref=FDC2E66728E5705DCC2D1DABCE0748B7F529CDA91C08F1B5CBC3782F2BA3AC7EAE85B26BFF91FE6917073F757377A095223CA646A06C58725A53D2tDC6O" w:history="1">
        <w:r>
          <w:rPr>
            <w:rFonts w:eastAsiaTheme="minorHAnsi"/>
            <w:sz w:val="24"/>
            <w:szCs w:val="24"/>
            <w:lang w:eastAsia="en-US"/>
          </w:rPr>
          <w:t xml:space="preserve">план</w:t>
        </w:r>
      </w:hyperlink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проведения в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году плановых проверок в рамках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 xml:space="preserve"> в </w:t>
      </w:r>
      <w:r>
        <w:rPr>
          <w:rFonts w:eastAsiaTheme="minorHAnsi"/>
          <w:sz w:val="24"/>
          <w:szCs w:val="24"/>
          <w:lang w:eastAsia="en-US"/>
        </w:rPr>
        <w:t xml:space="preserve">муниципальных</w:t>
      </w:r>
      <w:r>
        <w:rPr>
          <w:rFonts w:eastAsiaTheme="minorHAnsi"/>
          <w:sz w:val="24"/>
          <w:szCs w:val="24"/>
          <w:lang w:eastAsia="en-US"/>
        </w:rPr>
        <w:t xml:space="preserve"> учрежден</w:t>
      </w:r>
      <w:r>
        <w:rPr>
          <w:rFonts w:eastAsiaTheme="minorHAnsi"/>
          <w:sz w:val="24"/>
          <w:szCs w:val="24"/>
          <w:lang w:eastAsia="en-US"/>
        </w:rPr>
        <w:t xml:space="preserve">иях</w:t>
      </w:r>
      <w:r>
        <w:rPr>
          <w:rFonts w:eastAsiaTheme="minorHAnsi"/>
          <w:sz w:val="24"/>
          <w:szCs w:val="24"/>
          <w:lang w:eastAsia="en-US"/>
        </w:rPr>
        <w:t xml:space="preserve"> и муниципальных унитарных предприяти</w:t>
      </w:r>
      <w:r>
        <w:rPr>
          <w:rFonts w:eastAsiaTheme="minorHAnsi"/>
          <w:sz w:val="24"/>
          <w:szCs w:val="24"/>
          <w:lang w:eastAsia="en-US"/>
        </w:rPr>
        <w:t xml:space="preserve">ях</w:t>
      </w:r>
      <w:r>
        <w:rPr>
          <w:rFonts w:eastAsiaTheme="minorHAnsi"/>
          <w:sz w:val="24"/>
          <w:szCs w:val="24"/>
          <w:lang w:eastAsia="en-US"/>
        </w:rPr>
        <w:t xml:space="preserve">, подведомственных Печенгскому муниципальному </w:t>
      </w:r>
      <w:r>
        <w:rPr>
          <w:rFonts w:eastAsiaTheme="minorHAnsi"/>
          <w:sz w:val="24"/>
          <w:szCs w:val="24"/>
          <w:lang w:eastAsia="en-US"/>
        </w:rPr>
        <w:t xml:space="preserve">округу.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2.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Настоящее постановление вступает в силу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после его</w:t>
      </w:r>
      <w:bookmarkStart w:id="0" w:name="_GoBack"/>
      <w:r>
        <w:rPr>
          <w:sz w:val="24"/>
          <w:szCs w:val="24"/>
        </w:rPr>
      </w:r>
      <w:bookmarkEnd w:id="0"/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 подписания.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3.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Настоящее постановление разместить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официальном сайте Печенгского муниципального округа </w:t>
      </w:r>
      <w:hyperlink r:id="rId11" w:tooltip="https://pechengamr.gov-murman.ru/" w:history="1">
        <w:r>
          <w:rPr>
            <w:rStyle w:val="840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rStyle w:val="840"/>
          <w:rFonts w:ascii="Times New Roman" w:hAnsi="Times New Roman" w:cs="Times New Roman"/>
          <w:color w:val="auto"/>
          <w:sz w:val="24"/>
          <w:szCs w:val="24"/>
          <w:u w:val="none"/>
        </w:rPr>
        <w:t xml:space="preserve">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51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1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1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1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1"/>
        <w:spacing w:line="250" w:lineRule="exact"/>
        <w:shd w:val="clear" w:color="auto" w:fill="auto"/>
        <w:rPr>
          <w:sz w:val="20"/>
          <w:szCs w:val="20"/>
        </w:rPr>
        <w:sectPr>
          <w:footnotePr/>
          <w:endnotePr/>
          <w:type w:val="continuous"/>
          <w:pgSz w:w="11909" w:h="16834" w:orient="portrait"/>
          <w:pgMar w:top="1134" w:right="850" w:bottom="1134" w:left="1701" w:header="0" w:footer="6" w:gutter="0"/>
          <w:pgNumType w:start="1"/>
          <w:cols w:num="1" w:sep="0" w:space="720" w:equalWidth="1"/>
          <w:docGrid w:linePitch="360"/>
        </w:sectPr>
      </w:pPr>
      <w:r>
        <w:rPr>
          <w:sz w:val="20"/>
          <w:szCs w:val="20"/>
        </w:rPr>
        <w:t xml:space="preserve">Исп. </w:t>
      </w:r>
      <w:r>
        <w:rPr>
          <w:sz w:val="20"/>
          <w:szCs w:val="20"/>
        </w:rPr>
        <w:t xml:space="preserve">Морозова М.Е.,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</w:pPr>
      <w:r>
        <w:rPr>
          <w:rFonts w:ascii="Times New Roman" w:hAnsi="Times New Roman" w:cs="Times New Roman"/>
        </w:rPr>
        <w:t xml:space="preserve">о</w:t>
      </w:r>
      <w:r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</w:rPr>
        <w:t xml:space="preserve">10.12.2024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№</w:t>
      </w:r>
      <w:r>
        <w:rPr>
          <w:rFonts w:ascii="Times New Roman" w:hAnsi="Times New Roman" w:cs="Times New Roman"/>
        </w:rPr>
        <w:t xml:space="preserve"> 1995а</w:t>
      </w:r>
      <w:r/>
    </w:p>
    <w:p>
      <w:pPr>
        <w:pStyle w:val="851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План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1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rFonts w:eastAsiaTheme="minorHAnsi"/>
          <w:lang w:eastAsia="en-US"/>
        </w:rPr>
      </w:pPr>
      <w:r>
        <w:rPr>
          <w:sz w:val="24"/>
          <w:szCs w:val="24"/>
        </w:rPr>
        <w:t xml:space="preserve">проведения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проверок в рамках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 xml:space="preserve"> в </w:t>
      </w:r>
      <w:r>
        <w:rPr>
          <w:rFonts w:eastAsiaTheme="minorHAnsi"/>
          <w:lang w:eastAsia="en-US"/>
        </w:rPr>
        <w:t xml:space="preserve">муниципальных</w:t>
      </w:r>
      <w:r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 xml:space="preserve">ях</w:t>
      </w:r>
      <w:r>
        <w:rPr>
          <w:rFonts w:eastAsiaTheme="minorHAnsi"/>
          <w:lang w:eastAsia="en-US"/>
        </w:rPr>
        <w:t xml:space="preserve"> и муниципальных унитарных предприяти</w:t>
      </w:r>
      <w:r>
        <w:rPr>
          <w:rFonts w:eastAsiaTheme="minorHAnsi"/>
          <w:lang w:eastAsia="en-US"/>
        </w:rPr>
        <w:t xml:space="preserve">ях</w:t>
      </w:r>
      <w:r>
        <w:rPr>
          <w:rFonts w:eastAsiaTheme="minorHAnsi"/>
          <w:lang w:eastAsia="en-US"/>
        </w:rPr>
        <w:t xml:space="preserve">, подведомственных Печенгскому муниципальному округу </w:t>
      </w:r>
      <w:r>
        <w:rPr>
          <w:rFonts w:eastAsiaTheme="minorHAnsi"/>
          <w:lang w:eastAsia="en-US"/>
        </w:rPr>
        <w:t xml:space="preserve">(далее – организации)</w:t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p>
      <w:pPr>
        <w:pStyle w:val="851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jc w:val="left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Наименование уполномоченного органа</w:t>
      </w:r>
      <w:r>
        <w:rPr>
          <w:sz w:val="24"/>
          <w:szCs w:val="24"/>
        </w:rPr>
        <w:t xml:space="preserve">: секто</w:t>
      </w:r>
      <w:r>
        <w:rPr>
          <w:sz w:val="24"/>
          <w:szCs w:val="24"/>
        </w:rPr>
        <w:t xml:space="preserve">р муниципальной службы и кадров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jc w:val="both"/>
        <w:spacing w:line="240" w:lineRule="auto"/>
        <w:shd w:val="clear" w:color="auto" w:fill="auto"/>
        <w:rPr>
          <w:b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rStyle w:val="849"/>
          <w:b/>
          <w:sz w:val="24"/>
          <w:szCs w:val="24"/>
        </w:rPr>
        <w:t xml:space="preserve">Предмет плановой проверки</w:t>
      </w:r>
      <w:r>
        <w:rPr>
          <w:rStyle w:val="849"/>
          <w:sz w:val="24"/>
          <w:szCs w:val="24"/>
        </w:rPr>
        <w:t xml:space="preserve"> - </w:t>
      </w:r>
      <w:r>
        <w:rPr>
          <w:b w:val="0"/>
          <w:sz w:val="24"/>
          <w:szCs w:val="24"/>
        </w:rPr>
        <w:t xml:space="preserve">соблюдение подведомственными организациями в процессе осуществления ими своей деятельности требований трудового законодательства, в том числе полноты и своевременности выплаты заработной платы, соблюдения нормативных тре</w:t>
      </w:r>
      <w:r>
        <w:rPr>
          <w:b w:val="0"/>
          <w:sz w:val="24"/>
          <w:szCs w:val="24"/>
        </w:rPr>
        <w:t xml:space="preserve">бований в области охраны труда, устранения нарушений, ранее выявленных в ходе осуществления ведомственного контроля, проведения мероприятий по предотвращению нарушений обязательных требований трудового законодательства и по защите трудовых прав работников.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51"/>
        <w:ind w:right="-2775"/>
        <w:jc w:val="both"/>
        <w:spacing w:line="298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49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2399"/>
        <w:gridCol w:w="2835"/>
        <w:gridCol w:w="2835"/>
        <w:gridCol w:w="1843"/>
        <w:gridCol w:w="1692"/>
        <w:gridCol w:w="2923"/>
      </w:tblGrid>
      <w:tr>
        <w:tblPrEx/>
        <w:trPr>
          <w:trHeight w:val="566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46" w:type="dxa"/>
            <w:vAlign w:val="center"/>
            <w:vMerge w:val="restart"/>
            <w:textDirection w:val="lrTb"/>
            <w:noWrap w:val="false"/>
          </w:tcPr>
          <w:p>
            <w:pPr>
              <w:pStyle w:val="851"/>
              <w:jc w:val="center"/>
              <w:spacing w:line="250" w:lineRule="exact"/>
              <w:shd w:val="clear" w:color="auto" w:fill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69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74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Подведомственная организация, деятельность которой подлежит плановой проверке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3535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50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Срок проведения плановой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23" w:type="dxa"/>
            <w:vAlign w:val="center"/>
            <w:vMerge w:val="restart"/>
            <w:textDirection w:val="lrTb"/>
            <w:noWrap w:val="false"/>
          </w:tcPr>
          <w:p>
            <w:pPr>
              <w:pStyle w:val="851"/>
              <w:jc w:val="center"/>
              <w:spacing w:line="278" w:lineRule="exact"/>
              <w:shd w:val="clear" w:color="auto" w:fill="auto"/>
              <w:rPr>
                <w:sz w:val="23"/>
                <w:szCs w:val="23"/>
              </w:rPr>
            </w:pPr>
            <w:r>
              <w:rPr>
                <w:sz w:val="24"/>
                <w:szCs w:val="23"/>
              </w:rPr>
              <w:t xml:space="preserve">Иные сведения (в </w:t>
            </w:r>
            <w:r>
              <w:rPr>
                <w:sz w:val="24"/>
                <w:szCs w:val="23"/>
              </w:rPr>
              <w:t xml:space="preserve">т.ч</w:t>
            </w:r>
            <w:r>
              <w:rPr>
                <w:sz w:val="24"/>
                <w:szCs w:val="23"/>
              </w:rPr>
              <w:t xml:space="preserve">. информация о предыдущей проверке)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840"/>
        </w:trPr>
        <w:tc>
          <w:tcPr>
            <w:shd w:val="clear" w:color="auto" w:fill="ffffff"/>
            <w:tcBorders>
              <w:left w:val="single" w:color="auto" w:sz="4" w:space="0"/>
            </w:tcBorders>
            <w:tcW w:w="4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50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Наименование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  <w:p>
            <w:pPr>
              <w:pStyle w:val="851"/>
              <w:jc w:val="center"/>
              <w:spacing w:line="250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69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Юридический адрес 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74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Фактический адрес 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51"/>
              <w:jc w:val="center"/>
              <w:spacing w:line="274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Дата начала проведения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pStyle w:val="851"/>
              <w:ind w:firstLine="30"/>
              <w:jc w:val="center"/>
              <w:spacing w:line="278" w:lineRule="exact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Срок проведения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  <w:p>
            <w:pPr>
              <w:pStyle w:val="851"/>
              <w:ind w:left="106" w:hanging="106"/>
              <w:jc w:val="center"/>
              <w:spacing w:line="278" w:lineRule="exact"/>
              <w:shd w:val="clear" w:color="auto" w:fill="auto"/>
              <w:rPr>
                <w:sz w:val="23"/>
                <w:szCs w:val="23"/>
              </w:rPr>
            </w:pPr>
            <w:r>
              <w:rPr>
                <w:sz w:val="24"/>
                <w:szCs w:val="23"/>
              </w:rPr>
              <w:t xml:space="preserve">(раб</w:t>
            </w:r>
            <w:r>
              <w:rPr>
                <w:sz w:val="24"/>
                <w:szCs w:val="23"/>
              </w:rPr>
              <w:t xml:space="preserve">.</w:t>
            </w:r>
            <w:r>
              <w:rPr>
                <w:sz w:val="24"/>
                <w:szCs w:val="23"/>
              </w:rPr>
              <w:t xml:space="preserve"> </w:t>
            </w:r>
            <w:r>
              <w:rPr>
                <w:sz w:val="24"/>
                <w:szCs w:val="23"/>
              </w:rPr>
              <w:t xml:space="preserve">д</w:t>
            </w:r>
            <w:r>
              <w:rPr>
                <w:sz w:val="24"/>
                <w:szCs w:val="23"/>
              </w:rPr>
              <w:t xml:space="preserve">ней)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right w:val="single" w:color="auto" w:sz="4" w:space="0"/>
            </w:tcBorders>
            <w:tcW w:w="29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479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Муниципальное бюджетное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общеобразовательное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учреждение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«С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редняя общеобразовательная школа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№ 11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184404, Мурманская область, Печенгский район, </w:t>
            </w:r>
            <w:r>
              <w:rPr>
                <w:rFonts w:ascii="Times New Roman" w:hAnsi="Times New Roman" w:cs="Times New Roman"/>
                <w:color w:val="auto"/>
              </w:rPr>
              <w:t xml:space="preserve">нп</w:t>
            </w:r>
            <w:r>
              <w:rPr>
                <w:rFonts w:ascii="Times New Roman" w:hAnsi="Times New Roman" w:cs="Times New Roman"/>
                <w:color w:val="auto"/>
              </w:rPr>
              <w:t xml:space="preserve">. </w:t>
            </w:r>
            <w:r>
              <w:rPr>
                <w:rFonts w:ascii="Times New Roman" w:hAnsi="Times New Roman" w:cs="Times New Roman"/>
                <w:color w:val="auto"/>
              </w:rPr>
              <w:t xml:space="preserve">Раякоски</w:t>
            </w:r>
            <w:r>
              <w:rPr>
                <w:rFonts w:ascii="Times New Roman" w:hAnsi="Times New Roman" w:cs="Times New Roman"/>
                <w:color w:val="auto"/>
              </w:rPr>
            </w:r>
            <w:r>
              <w:rPr>
                <w:rFonts w:ascii="Times New Roman" w:hAnsi="Times New Roman" w:cs="Times New Roman"/>
                <w:color w:val="auto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184404, </w:t>
            </w:r>
            <w:r>
              <w:rPr>
                <w:rFonts w:ascii="Times New Roman" w:hAnsi="Times New Roman" w:cs="Times New Roman"/>
                <w:color w:val="auto"/>
              </w:rPr>
              <w:t xml:space="preserve">Мурманская область, Печенгский район, </w:t>
            </w:r>
            <w:r>
              <w:rPr>
                <w:rFonts w:ascii="Times New Roman" w:hAnsi="Times New Roman" w:cs="Times New Roman"/>
                <w:color w:val="auto"/>
              </w:rPr>
              <w:t xml:space="preserve">нп</w:t>
            </w:r>
            <w:r>
              <w:rPr>
                <w:rFonts w:ascii="Times New Roman" w:hAnsi="Times New Roman" w:cs="Times New Roman"/>
                <w:color w:val="auto"/>
              </w:rPr>
              <w:t xml:space="preserve">. </w:t>
            </w:r>
            <w:r>
              <w:rPr>
                <w:rFonts w:ascii="Times New Roman" w:hAnsi="Times New Roman" w:cs="Times New Roman"/>
                <w:color w:val="auto"/>
              </w:rPr>
              <w:t xml:space="preserve">Раякоски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06.02.202</w:t>
            </w:r>
            <w:r>
              <w:rPr>
                <w:rFonts w:ascii="Times New Roman" w:hAnsi="Times New Roman" w:cs="Times New Roman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szCs w:val="23"/>
              </w:rPr>
            </w:r>
            <w:r>
              <w:rPr>
                <w:rFonts w:ascii="Times New Roman" w:hAnsi="Times New Roman" w:cs="Times New Roman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23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-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3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казенное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 учреждение «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Управление по обеспечению деятельности администрации Печенгского 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округа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 Мурманской области</w:t>
            </w:r>
            <w:r>
              <w:rPr>
                <w:rFonts w:ascii="Times New Roman" w:hAnsi="Times New Roman" w:cs="Times New Roman"/>
                <w:color w:val="2d2f32"/>
                <w:sz w:val="22"/>
                <w:szCs w:val="22"/>
                <w:shd w:val="clear" w:color="auto" w:fill="ffffff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pP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18442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1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,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Мурманская область, Печенгский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р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айон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,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пгт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. Никель</w:t>
            </w:r>
            <w:r>
              <w:rPr>
                <w:rFonts w:ascii="Times New Roman" w:hAnsi="Times New Roman" w:cs="Times New Roman"/>
                <w:color w:val="auto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</w:rPr>
            </w:r>
            <w:r>
              <w:rPr>
                <w:rFonts w:ascii="Times New Roman" w:hAnsi="Times New Roman" w:cs="Times New Roman"/>
                <w:color w:val="auto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ул. </w:t>
            </w:r>
            <w:r>
              <w:rPr>
                <w:rFonts w:ascii="Times New Roman" w:hAnsi="Times New Roman" w:cs="Times New Roman"/>
                <w:color w:val="auto"/>
              </w:rPr>
              <w:t xml:space="preserve">Пионерская</w:t>
            </w:r>
            <w:r>
              <w:rPr>
                <w:rFonts w:ascii="Times New Roman" w:hAnsi="Times New Roman" w:cs="Times New Roman"/>
                <w:color w:val="auto"/>
              </w:rPr>
              <w:t xml:space="preserve">, дом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 xml:space="preserve">2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pP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184421,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Мурманская область, Печенгский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район, 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пгт</w:t>
            </w:r>
            <w:r>
              <w:rPr>
                <w:rStyle w:val="868"/>
                <w:rFonts w:ascii="Times New Roman" w:hAnsi="Times New Roman" w:cs="Times New Roman"/>
                <w:color w:val="auto"/>
                <w:shd w:val="clear" w:color="auto" w:fill="ffffff"/>
              </w:rPr>
              <w:t xml:space="preserve">. Никель</w:t>
            </w:r>
            <w:r>
              <w:rPr>
                <w:rFonts w:ascii="Times New Roman" w:hAnsi="Times New Roman" w:cs="Times New Roman"/>
                <w:color w:val="auto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</w:rPr>
            </w:r>
            <w:r>
              <w:rPr>
                <w:rFonts w:ascii="Times New Roman" w:hAnsi="Times New Roman" w:cs="Times New Roman"/>
                <w:color w:val="auto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ул. </w:t>
            </w:r>
            <w:r>
              <w:rPr>
                <w:rFonts w:ascii="Times New Roman" w:hAnsi="Times New Roman" w:cs="Times New Roman"/>
                <w:color w:val="auto"/>
              </w:rPr>
              <w:t xml:space="preserve">Пионерская</w:t>
            </w:r>
            <w:r>
              <w:rPr>
                <w:rFonts w:ascii="Times New Roman" w:hAnsi="Times New Roman" w:cs="Times New Roman"/>
                <w:color w:val="auto"/>
              </w:rPr>
              <w:t xml:space="preserve">, дом 2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szCs w:val="23"/>
              </w:rPr>
              <w:t xml:space="preserve">.09.202</w:t>
            </w:r>
            <w:r>
              <w:rPr>
                <w:rFonts w:ascii="Times New Roman" w:hAnsi="Times New Roman" w:cs="Times New Roman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szCs w:val="23"/>
              </w:rPr>
            </w:r>
            <w:r>
              <w:rPr>
                <w:rFonts w:ascii="Times New Roman" w:hAnsi="Times New Roman" w:cs="Times New Roman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23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 xml:space="preserve">-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</w:tr>
    </w:tbl>
    <w:p>
      <w:pPr>
        <w:rPr>
          <w:sz w:val="2"/>
          <w:szCs w:val="2"/>
        </w:rPr>
        <w:sectPr>
          <w:footnotePr/>
          <w:endnotePr/>
          <w:type w:val="nextPage"/>
          <w:pgSz w:w="16834" w:h="11909" w:orient="landscape"/>
          <w:pgMar w:top="709" w:right="1099" w:bottom="0" w:left="851" w:header="0" w:footer="3" w:gutter="0"/>
          <w:pgNumType w:start="1"/>
          <w:cols w:num="1" w:sep="0" w:space="720" w:equalWidth="1"/>
          <w:docGrid w:linePitch="360"/>
        </w:sect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r/>
    </w:p>
    <w:sectPr>
      <w:footnotePr/>
      <w:endnotePr/>
      <w:type w:val="nextPage"/>
      <w:pgSz w:w="11909" w:h="16834" w:orient="portrait"/>
      <w:pgMar w:top="816" w:right="994" w:bottom="851" w:left="709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7"/>
    <w:link w:val="836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5"/>
    <w:next w:val="835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37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5"/>
    <w:next w:val="835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Arial" w:hAnsi="Arial" w:eastAsia="Arial" w:cs="Arial"/>
      <w:sz w:val="30"/>
      <w:szCs w:val="30"/>
    </w:rPr>
  </w:style>
  <w:style w:type="paragraph" w:styleId="667">
    <w:name w:val="Heading 4"/>
    <w:basedOn w:val="835"/>
    <w:next w:val="835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8">
    <w:name w:val="Heading 4 Char"/>
    <w:basedOn w:val="837"/>
    <w:link w:val="66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5"/>
    <w:next w:val="835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7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5"/>
    <w:next w:val="835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7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5"/>
    <w:next w:val="835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7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5"/>
    <w:next w:val="835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7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5"/>
    <w:next w:val="835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7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5"/>
    <w:next w:val="835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7"/>
    <w:link w:val="680"/>
    <w:uiPriority w:val="10"/>
    <w:rPr>
      <w:sz w:val="48"/>
      <w:szCs w:val="48"/>
    </w:rPr>
  </w:style>
  <w:style w:type="paragraph" w:styleId="682">
    <w:name w:val="Subtitle"/>
    <w:basedOn w:val="835"/>
    <w:next w:val="835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7"/>
    <w:link w:val="682"/>
    <w:uiPriority w:val="11"/>
    <w:rPr>
      <w:sz w:val="24"/>
      <w:szCs w:val="24"/>
    </w:rPr>
  </w:style>
  <w:style w:type="paragraph" w:styleId="684">
    <w:name w:val="Quote"/>
    <w:basedOn w:val="835"/>
    <w:next w:val="835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5"/>
    <w:next w:val="835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character" w:styleId="688">
    <w:name w:val="Header Char"/>
    <w:basedOn w:val="837"/>
    <w:link w:val="856"/>
    <w:uiPriority w:val="99"/>
  </w:style>
  <w:style w:type="character" w:styleId="689">
    <w:name w:val="Footer Char"/>
    <w:basedOn w:val="837"/>
    <w:link w:val="858"/>
    <w:uiPriority w:val="99"/>
  </w:style>
  <w:style w:type="paragraph" w:styleId="690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858"/>
    <w:uiPriority w:val="99"/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7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7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rPr>
      <w:color w:val="000000"/>
    </w:rPr>
  </w:style>
  <w:style w:type="paragraph" w:styleId="836">
    <w:name w:val="Heading 1"/>
    <w:basedOn w:val="835"/>
    <w:link w:val="869"/>
    <w:uiPriority w:val="9"/>
    <w:qFormat/>
    <w:pPr>
      <w:spacing w:before="100" w:beforeAutospacing="1" w:after="100" w:afterAutospacing="1"/>
      <w:widowControl/>
      <w:outlineLvl w:val="0"/>
    </w:pPr>
    <w:rPr>
      <w:rFonts w:ascii="Times New Roman" w:hAnsi="Times New Roman" w:eastAsia="Times New Roman" w:cs="Times New Roman"/>
      <w:b/>
      <w:bCs/>
      <w:color w:val="auto"/>
      <w:sz w:val="48"/>
      <w:szCs w:val="48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>
    <w:name w:val="Hyperlink"/>
    <w:basedOn w:val="837"/>
    <w:rPr>
      <w:color w:val="0066cc"/>
      <w:u w:val="single"/>
    </w:rPr>
  </w:style>
  <w:style w:type="character" w:styleId="841" w:customStyle="1">
    <w:name w:val="Основной текст1"/>
    <w:basedOn w:val="83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42" w:customStyle="1">
    <w:name w:val="Заголовок №1_"/>
    <w:basedOn w:val="837"/>
    <w:link w:val="85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styleId="843" w:customStyle="1">
    <w:name w:val="Основной текст_"/>
    <w:basedOn w:val="837"/>
    <w:link w:val="85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44" w:customStyle="1">
    <w:name w:val="Основной текст2"/>
    <w:basedOn w:val="84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single"/>
      <w:lang w:val="ru-RU"/>
    </w:rPr>
  </w:style>
  <w:style w:type="character" w:styleId="845" w:customStyle="1">
    <w:name w:val="Колонтитул_"/>
    <w:basedOn w:val="837"/>
    <w:link w:val="85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46" w:customStyle="1">
    <w:name w:val="Колонтитул"/>
    <w:basedOn w:val="84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47" w:customStyle="1">
    <w:name w:val="Основной текст (2)_"/>
    <w:basedOn w:val="837"/>
    <w:link w:val="85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48" w:customStyle="1">
    <w:name w:val="Основной текст (3)_"/>
    <w:basedOn w:val="837"/>
    <w:link w:val="855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styleId="849" w:customStyle="1">
    <w:name w:val="Основной текст + Полужирный"/>
    <w:basedOn w:val="84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50" w:customStyle="1">
    <w:name w:val="Основной текст + 10 pt;Полужирный"/>
    <w:basedOn w:val="84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/>
    </w:rPr>
  </w:style>
  <w:style w:type="paragraph" w:styleId="851" w:customStyle="1">
    <w:name w:val="Основной текст3"/>
    <w:basedOn w:val="835"/>
    <w:link w:val="843"/>
    <w:pPr>
      <w:spacing w:line="600" w:lineRule="exac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52" w:customStyle="1">
    <w:name w:val="Заголовок №1"/>
    <w:basedOn w:val="835"/>
    <w:link w:val="842"/>
    <w:pPr>
      <w:jc w:val="center"/>
      <w:spacing w:line="600" w:lineRule="exac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31"/>
      <w:szCs w:val="31"/>
    </w:rPr>
  </w:style>
  <w:style w:type="paragraph" w:styleId="853" w:customStyle="1">
    <w:name w:val="Колонтитул"/>
    <w:basedOn w:val="835"/>
    <w:link w:val="845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54" w:customStyle="1">
    <w:name w:val="Основной текст (2)"/>
    <w:basedOn w:val="835"/>
    <w:link w:val="847"/>
    <w:pPr>
      <w:jc w:val="center"/>
      <w:spacing w:line="235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55" w:customStyle="1">
    <w:name w:val="Основной текст (3)"/>
    <w:basedOn w:val="835"/>
    <w:link w:val="848"/>
    <w:pPr>
      <w:jc w:val="center"/>
      <w:spacing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856">
    <w:name w:val="Header"/>
    <w:basedOn w:val="835"/>
    <w:link w:val="8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37"/>
    <w:link w:val="856"/>
    <w:uiPriority w:val="99"/>
    <w:rPr>
      <w:color w:val="000000"/>
    </w:rPr>
  </w:style>
  <w:style w:type="paragraph" w:styleId="858">
    <w:name w:val="Footer"/>
    <w:basedOn w:val="835"/>
    <w:link w:val="85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837"/>
    <w:link w:val="858"/>
    <w:uiPriority w:val="99"/>
    <w:rPr>
      <w:color w:val="000000"/>
    </w:rPr>
  </w:style>
  <w:style w:type="paragraph" w:styleId="860" w:customStyle="1">
    <w:name w:val="Default"/>
    <w:pPr>
      <w:widowControl/>
    </w:pPr>
    <w:rPr>
      <w:rFonts w:ascii="Times New Roman" w:hAnsi="Times New Roman" w:eastAsia="Times New Roman" w:cs="Times New Roman"/>
      <w:color w:val="000000"/>
    </w:rPr>
  </w:style>
  <w:style w:type="paragraph" w:styleId="861">
    <w:name w:val="Balloon Text"/>
    <w:basedOn w:val="835"/>
    <w:link w:val="862"/>
    <w:uiPriority w:val="99"/>
    <w:semiHidden/>
    <w:unhideWhenUsed/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37"/>
    <w:link w:val="861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863">
    <w:name w:val="List Paragraph"/>
    <w:basedOn w:val="835"/>
    <w:uiPriority w:val="34"/>
    <w:qFormat/>
    <w:pPr>
      <w:contextualSpacing/>
      <w:ind w:left="720"/>
    </w:pPr>
  </w:style>
  <w:style w:type="paragraph" w:styleId="864">
    <w:name w:val="Body Text Indent 2"/>
    <w:basedOn w:val="835"/>
    <w:link w:val="865"/>
    <w:pPr>
      <w:ind w:firstLine="851"/>
      <w:jc w:val="both"/>
      <w:widowControl/>
    </w:pPr>
    <w:rPr>
      <w:rFonts w:ascii="Times New Roman" w:hAnsi="Times New Roman" w:eastAsia="Times New Roman" w:cs="Times New Roman"/>
      <w:color w:val="auto"/>
      <w:sz w:val="28"/>
      <w:szCs w:val="20"/>
    </w:rPr>
  </w:style>
  <w:style w:type="character" w:styleId="865" w:customStyle="1">
    <w:name w:val="Основной текст с отступом 2 Знак"/>
    <w:basedOn w:val="837"/>
    <w:link w:val="864"/>
    <w:rPr>
      <w:rFonts w:ascii="Times New Roman" w:hAnsi="Times New Roman" w:eastAsia="Times New Roman" w:cs="Times New Roman"/>
      <w:sz w:val="28"/>
      <w:szCs w:val="20"/>
    </w:rPr>
  </w:style>
  <w:style w:type="paragraph" w:styleId="866">
    <w:name w:val="Normal (Web)"/>
    <w:basedOn w:val="835"/>
    <w:uiPriority w:val="99"/>
    <w:pPr>
      <w:spacing w:before="30" w:after="30"/>
      <w:widowControl/>
    </w:pPr>
    <w:rPr>
      <w:rFonts w:ascii="Times New Roman" w:hAnsi="Times New Roman" w:eastAsia="Lucida Sans Unicode" w:cs="Times New Roman"/>
      <w:color w:val="332e2d"/>
      <w:spacing w:val="2"/>
      <w:lang w:eastAsia="ar-SA"/>
    </w:rPr>
  </w:style>
  <w:style w:type="character" w:styleId="867">
    <w:name w:val="Strong"/>
    <w:basedOn w:val="837"/>
    <w:uiPriority w:val="22"/>
    <w:qFormat/>
    <w:rPr>
      <w:b/>
      <w:bCs/>
    </w:rPr>
  </w:style>
  <w:style w:type="character" w:styleId="868" w:customStyle="1">
    <w:name w:val="upper"/>
    <w:basedOn w:val="837"/>
  </w:style>
  <w:style w:type="character" w:styleId="869" w:customStyle="1">
    <w:name w:val="Заголовок 1 Знак"/>
    <w:basedOn w:val="837"/>
    <w:link w:val="836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70" w:customStyle="1">
    <w:name w:val="company-header__full-name"/>
    <w:basedOn w:val="835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</w:rPr>
  </w:style>
  <w:style w:type="character" w:styleId="871" w:customStyle="1">
    <w:name w:val="copy_target"/>
    <w:basedOn w:val="837"/>
  </w:style>
  <w:style w:type="character" w:styleId="872" w:customStyle="1">
    <w:name w:val="long_copy"/>
    <w:basedOn w:val="83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revision>16</cp:revision>
  <dcterms:created xsi:type="dcterms:W3CDTF">2024-12-25T11:00:00Z</dcterms:created>
  <dcterms:modified xsi:type="dcterms:W3CDTF">2025-01-17T07:40:19Z</dcterms:modified>
</cp:coreProperties>
</file>