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74" w:lineRule="auto"/>
        <w:rPr>
          <w:rFonts w:ascii="Times New Roman" w:hAnsi="Times New Roman" w:eastAsia="Times New Roman" w:cs="Times New Roman"/>
          <w:color w:val="000000"/>
          <w:spacing w:val="1"/>
          <w:sz w:val="26"/>
          <w:shd w:val="clear" w:color="auto" w:fill="ffffff"/>
        </w:rPr>
      </w:pPr>
      <w:r>
        <w:object w:dxaOrig="917" w:dyaOrig="1146">
          <v:shapetype type="#_x0000_t75" o:spt="75" coordsize="21600,21600" o:preferrelative="t" path="m@4@5l@4@11@9@11@9@5xe"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</v:shapetype>
          <v:shape id="_x0000_i0" o:spid="_x0000_s0" type="#_x0000_t75" style="width:45.60pt;height:57.10pt;mso-wrap-distance-left:0.00pt;mso-wrap-distance-top:0.00pt;mso-wrap-distance-right:0.00pt;mso-wrap-distance-bottom:0.00pt;" filled="f" stroked="f">
            <v:path textboxrect="0,0,0,0"/>
            <v:imagedata r:id="rId9" o:title=""/>
          </v:shape>
          <o:OLEObject DrawAspect="Content" r:id="rId10" ObjectID="_1525040" ProgID="StaticMetafile" ShapeID="_x0000_i0" Type="Embed"/>
        </w:object>
      </w:r>
      <w:r>
        <w:rPr>
          <w:rFonts w:ascii="Times New Roman" w:hAnsi="Times New Roman" w:eastAsia="Times New Roman" w:cs="Times New Roman"/>
          <w:color w:val="000000"/>
          <w:spacing w:val="1"/>
          <w:sz w:val="26"/>
          <w:shd w:val="clear" w:color="auto" w:fill="ffffff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6"/>
          <w:shd w:val="clear" w:color="auto" w:fill="ffffff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sz w:val="44"/>
        </w:rPr>
      </w:pPr>
      <w:r>
        <w:rPr>
          <w:rFonts w:ascii="Times New Roman" w:hAnsi="Times New Roman" w:eastAsia="Times New Roman" w:cs="Times New Roman"/>
          <w:b/>
          <w:sz w:val="44"/>
        </w:rPr>
        <w:t xml:space="preserve">АДМИНИСТРАЦИЯ</w:t>
      </w:r>
      <w:r>
        <w:rPr>
          <w:rFonts w:ascii="Times New Roman" w:hAnsi="Times New Roman" w:eastAsia="Times New Roman" w:cs="Times New Roman"/>
          <w:b/>
          <w:sz w:val="44"/>
        </w:rPr>
      </w:r>
      <w:r>
        <w:rPr>
          <w:rFonts w:ascii="Times New Roman" w:hAnsi="Times New Roman" w:eastAsia="Times New Roman" w:cs="Times New Roman"/>
          <w:b/>
          <w:sz w:val="4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eastAsia="Times New Roman" w:cs="Times New Roman"/>
          <w:b/>
          <w:sz w:val="28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eastAsia="Times New Roman" w:cs="Times New Roman"/>
          <w:b/>
          <w:sz w:val="28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sz w:val="24"/>
        </w:rPr>
      </w:pPr>
      <w:r>
        <w:rPr>
          <w:rFonts w:ascii="Times New Roman" w:hAnsi="Times New Roman" w:eastAsia="Times New Roman" w:cs="Times New Roman"/>
          <w:b/>
          <w:sz w:val="24"/>
        </w:rPr>
      </w:r>
      <w:r>
        <w:rPr>
          <w:rFonts w:ascii="Times New Roman" w:hAnsi="Times New Roman" w:eastAsia="Times New Roman" w:cs="Times New Roman"/>
          <w:b/>
          <w:sz w:val="24"/>
        </w:rPr>
      </w:r>
      <w:r>
        <w:rPr>
          <w:rFonts w:ascii="Times New Roman" w:hAnsi="Times New Roman" w:eastAsia="Times New Roman" w:cs="Times New Roman"/>
          <w:b/>
          <w:sz w:val="24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sz w:val="44"/>
        </w:rPr>
      </w:pPr>
      <w:r>
        <w:rPr>
          <w:rFonts w:ascii="Times New Roman" w:hAnsi="Times New Roman" w:eastAsia="Times New Roman" w:cs="Times New Roman"/>
          <w:b/>
          <w:sz w:val="44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sz w:val="44"/>
        </w:rPr>
      </w:r>
      <w:r>
        <w:rPr>
          <w:rFonts w:ascii="Times New Roman" w:hAnsi="Times New Roman" w:eastAsia="Times New Roman" w:cs="Times New Roman"/>
          <w:b/>
          <w:sz w:val="44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sz w:val="24"/>
        </w:rPr>
      </w:pPr>
      <w:r>
        <w:rPr>
          <w:rFonts w:ascii="Times New Roman" w:hAnsi="Times New Roman" w:eastAsia="Times New Roman" w:cs="Times New Roman"/>
          <w:b/>
          <w:sz w:val="24"/>
        </w:rPr>
      </w:r>
      <w:r>
        <w:rPr>
          <w:rFonts w:ascii="Times New Roman" w:hAnsi="Times New Roman" w:eastAsia="Times New Roman" w:cs="Times New Roman"/>
          <w:b/>
          <w:sz w:val="24"/>
        </w:rPr>
      </w:r>
      <w:r>
        <w:rPr>
          <w:rFonts w:ascii="Times New Roman" w:hAnsi="Times New Roman" w:eastAsia="Times New Roman" w:cs="Times New Roman"/>
          <w:b/>
          <w:sz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от 28.12.2024</w:t>
        <w:tab/>
        <w:tab/>
        <w:tab/>
        <w:tab/>
        <w:tab/>
        <w:tab/>
        <w:tab/>
        <w:tab/>
        <w:tab/>
        <w:tab/>
        <w:tab/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 № 2171</w:t>
      </w:r>
      <w:r>
        <w:rPr>
          <w:rFonts w:ascii="Times New Roman" w:hAnsi="Times New Roman" w:eastAsia="Times New Roman" w:cs="Times New Roman"/>
          <w:b/>
          <w:color w:val="000000"/>
          <w:sz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пгт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 Никель</w:t>
      </w:r>
      <w:r>
        <w:rPr>
          <w:rFonts w:ascii="Times New Roman" w:hAnsi="Times New Roman" w:eastAsia="Times New Roman" w:cs="Times New Roman"/>
          <w:b/>
          <w:color w:val="000000"/>
          <w:sz w:val="28"/>
        </w:rPr>
      </w:r>
      <w:r>
        <w:rPr>
          <w:rFonts w:ascii="Times New Roman" w:hAnsi="Times New Roman" w:eastAsia="Times New Roman" w:cs="Times New Roman"/>
          <w:b/>
          <w:color w:val="000000"/>
          <w:sz w:val="28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</w:p>
    <w:p>
      <w:pPr>
        <w:jc w:val="center"/>
        <w:spacing w:after="0" w:line="240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Об утверждении положения о порядке информирования населения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об установке дорожного знака или нанесения разметки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на автомобильных дорогах местного значения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 в 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Печенгском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 муниципальном округе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ind w:firstLine="709"/>
        <w:jc w:val="both"/>
        <w:spacing w:after="0" w:line="274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10.12.1995 № 196-ФЗ «О безопасности дорожного движения»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74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ind w:firstLine="709"/>
        <w:jc w:val="both"/>
        <w:spacing w:after="0" w:line="274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ind w:firstLine="709"/>
        <w:jc w:val="both"/>
        <w:spacing w:after="0" w:line="274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1. Утвердить Положение о порядке информирования населения об установке дорожного знака или нанесения разметки на автомобильных дорогах местного значения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согласно приложению.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74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2. Настоящее постановление вступает в силу после его опубликования в газете «Печенга».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74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3. Настоящее постановление подлежит размещению на официальном сайте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муниципального округа https://pechengamr.gov-murman.ru/.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74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4. Контроль за исполнением настоящего постановления возложить </w:t>
        <w:br/>
        <w:t xml:space="preserve">на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Пономарева А.В.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74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ind w:firstLine="709"/>
        <w:jc w:val="both"/>
        <w:spacing w:after="0" w:line="274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jc w:val="both"/>
        <w:spacing w:after="0" w:line="274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sz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Глава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муниципального округа                                                             А.В. Кузнецов</w:t>
      </w:r>
      <w:r>
        <w:rPr>
          <w:rFonts w:ascii="Times New Roman" w:hAnsi="Times New Roman" w:eastAsia="Times New Roman" w:cs="Times New Roman"/>
          <w:sz w:val="24"/>
          <w:szCs w:val="24"/>
        </w:rPr>
        <w:br/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hd w:val="clear" w:color="auto" w:fill="ffffff"/>
        </w:rPr>
        <w:t xml:space="preserve">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</w:p>
    <w:p>
      <w:pPr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</w:p>
    <w:p>
      <w:pPr>
        <w:ind w:left="0"/>
        <w:jc w:val="left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color w:val="111111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left="0"/>
        <w:jc w:val="left"/>
        <w:spacing w:after="0" w:line="240" w:lineRule="auto"/>
        <w:rPr>
          <w:rFonts w:ascii="Times New Roman" w:hAnsi="Times New Roman" w:eastAsia="Times New Roman" w:cs="Times New Roman"/>
          <w:color w:val="111111"/>
          <w:sz w:val="20"/>
          <w:szCs w:val="20"/>
          <w:highlight w:val="none"/>
          <w:shd w:val="clear" w:color="auto" w:fill="ffffff"/>
        </w:rPr>
      </w:pPr>
      <w:r>
        <w:rPr>
          <w:rFonts w:ascii="Times New Roman" w:hAnsi="Times New Roman" w:eastAsia="Times New Roman" w:cs="Times New Roman"/>
          <w:sz w:val="20"/>
          <w:szCs w:val="20"/>
          <w:shd w:val="clear" w:color="auto" w:fill="ffffff"/>
        </w:rPr>
        <w:t xml:space="preserve">Самойлов С.А. </w:t>
      </w:r>
      <w:r>
        <w:rPr>
          <w:rFonts w:ascii="Times New Roman" w:hAnsi="Times New Roman" w:eastAsia="Times New Roman" w:cs="Times New Roman"/>
          <w:color w:val="111111"/>
          <w:sz w:val="20"/>
          <w:szCs w:val="20"/>
          <w:highlight w:val="none"/>
        </w:rPr>
        <w:t xml:space="preserve">62479</w:t>
      </w:r>
      <w:r>
        <w:rPr>
          <w:rFonts w:ascii="Times New Roman" w:hAnsi="Times New Roman" w:eastAsia="Times New Roman" w:cs="Times New Roman"/>
          <w:color w:val="111111"/>
          <w:sz w:val="20"/>
          <w:szCs w:val="20"/>
          <w:highlight w:val="none"/>
          <w:shd w:val="clear" w:color="auto" w:fill="ffffff"/>
        </w:rPr>
      </w:r>
      <w:r>
        <w:rPr>
          <w:rFonts w:ascii="Times New Roman" w:hAnsi="Times New Roman" w:eastAsia="Times New Roman" w:cs="Times New Roman"/>
          <w:color w:val="111111"/>
          <w:sz w:val="20"/>
          <w:szCs w:val="20"/>
          <w:highlight w:val="none"/>
          <w:shd w:val="clear" w:color="auto" w:fill="ffffff"/>
        </w:rPr>
      </w:r>
    </w:p>
    <w:p>
      <w:pPr>
        <w:pStyle w:val="850"/>
        <w:ind w:left="4820"/>
        <w:jc w:val="right"/>
        <w:spacing w:before="0" w:beforeAutospacing="0" w:after="0" w:afterAutospacing="0" w:line="240" w:lineRule="exact"/>
      </w:pPr>
      <w:r/>
      <w:r/>
    </w:p>
    <w:p>
      <w:pPr>
        <w:pStyle w:val="850"/>
        <w:ind w:left="4820"/>
        <w:jc w:val="right"/>
        <w:spacing w:before="0" w:beforeAutospacing="0" w:after="0" w:afterAutospacing="0" w:line="240" w:lineRule="exact"/>
      </w:pPr>
      <w:r/>
      <w:r/>
    </w:p>
    <w:p>
      <w:pPr>
        <w:pStyle w:val="850"/>
        <w:ind w:left="4820"/>
        <w:jc w:val="right"/>
        <w:spacing w:before="0" w:beforeAutospacing="0" w:after="0" w:afterAutospacing="0" w:line="240" w:lineRule="exact"/>
      </w:pPr>
      <w:r>
        <w:t xml:space="preserve">Приложение  </w:t>
      </w:r>
      <w:r/>
    </w:p>
    <w:p>
      <w:pPr>
        <w:pStyle w:val="850"/>
        <w:ind w:left="4820"/>
        <w:jc w:val="right"/>
        <w:spacing w:before="0" w:beforeAutospacing="0" w:after="0" w:afterAutospacing="0" w:line="240" w:lineRule="exact"/>
      </w:pPr>
      <w:r>
        <w:t xml:space="preserve">Утверждено постановлением администрации </w:t>
      </w:r>
      <w:r>
        <w:t xml:space="preserve">Печенгского</w:t>
      </w:r>
      <w:r>
        <w:t xml:space="preserve"> муниципального округа </w:t>
        <w:br/>
        <w:t xml:space="preserve">от 28.12.2024  № 2171 </w:t>
      </w:r>
      <w:r/>
    </w:p>
    <w:p>
      <w:pPr>
        <w:pStyle w:val="850"/>
        <w:jc w:val="right"/>
        <w:spacing w:before="0" w:beforeAutospacing="0" w:after="0" w:afterAutospacing="0" w:line="240" w:lineRule="exact"/>
      </w:pPr>
      <w:r/>
      <w:r/>
    </w:p>
    <w:p>
      <w:pPr>
        <w:pStyle w:val="850"/>
        <w:jc w:val="center"/>
        <w:spacing w:before="0" w:beforeAutospacing="0" w:after="0" w:afterAutospacing="0"/>
        <w:rPr>
          <w:b/>
        </w:rPr>
      </w:pPr>
      <w:r>
        <w:rPr>
          <w:b/>
        </w:rPr>
        <w:t xml:space="preserve">П</w:t>
      </w:r>
      <w:r>
        <w:rPr>
          <w:b/>
        </w:rPr>
        <w:t xml:space="preserve">оложение о порядке информирования населения об установке дорожного знака или нанесения разметки на автомобильных дорогах местного значения </w:t>
      </w:r>
      <w:r>
        <w:rPr>
          <w:b/>
        </w:rPr>
      </w:r>
      <w:r>
        <w:rPr>
          <w:b/>
        </w:rPr>
      </w:r>
    </w:p>
    <w:p>
      <w:pPr>
        <w:pStyle w:val="850"/>
        <w:jc w:val="center"/>
        <w:spacing w:before="0" w:beforeAutospacing="0" w:after="0" w:afterAutospacing="0"/>
        <w:rPr>
          <w:b/>
        </w:rPr>
      </w:pPr>
      <w:r>
        <w:rPr>
          <w:b/>
        </w:rPr>
        <w:t xml:space="preserve">П</w:t>
      </w:r>
      <w:r>
        <w:rPr>
          <w:b/>
        </w:rPr>
        <w:t xml:space="preserve">еченгского</w:t>
      </w:r>
      <w:r>
        <w:rPr>
          <w:b/>
        </w:rPr>
        <w:t xml:space="preserve"> муниципального округа </w:t>
      </w:r>
      <w:r>
        <w:rPr>
          <w:b/>
        </w:rPr>
      </w:r>
      <w:r>
        <w:rPr>
          <w:b/>
        </w:rPr>
      </w:r>
    </w:p>
    <w:p>
      <w:pPr>
        <w:pStyle w:val="850"/>
        <w:ind w:firstLine="709"/>
        <w:jc w:val="both"/>
        <w:spacing w:before="0" w:beforeAutospacing="0" w:after="0" w:afterAutospacing="0"/>
      </w:pPr>
      <w:r/>
      <w:r/>
    </w:p>
    <w:p>
      <w:pPr>
        <w:pStyle w:val="850"/>
        <w:ind w:firstLine="709"/>
        <w:jc w:val="both"/>
        <w:spacing w:before="0" w:beforeAutospacing="0" w:after="0" w:afterAutospacing="0"/>
      </w:pPr>
      <w:r>
        <w:t xml:space="preserve">1. Порядок информирования населения об установке дорожных знаков или нанесения разметки на автомобильных дорогах местного значения </w:t>
      </w:r>
      <w:r>
        <w:t xml:space="preserve">Печенгского</w:t>
      </w:r>
      <w:r>
        <w:t xml:space="preserve"> муниципального округа Мурманской области, запрещающих въезд всех т</w:t>
      </w:r>
      <w:r>
        <w:t xml:space="preserve">ранспортных средств в данном направлении, остановку или стоянку транспортных средств, либо обозначающих дорогу или проезжую часть с односторонним движением либо выезд на такую дорогу или проезжую часть, разработан в целях обеспечения безопасности дорожного</w:t>
      </w:r>
      <w:r>
        <w:t xml:space="preserve"> движения на указанных дорогах на основании Федерального закона от 06.10.2003 № 131-ФЗ «Об общих принципах организации местного самоуправления в Российской Федерации», а также Федерального закона от 10.12.1995 № 196-ФЗ «О безопасности дорожного движения». </w:t>
      </w:r>
      <w:r/>
    </w:p>
    <w:p>
      <w:pPr>
        <w:pStyle w:val="850"/>
        <w:ind w:firstLine="709"/>
        <w:jc w:val="both"/>
        <w:spacing w:before="0" w:beforeAutospacing="0" w:after="0" w:afterAutospacing="0"/>
      </w:pPr>
      <w:r>
        <w:t xml:space="preserve">2. Задачами настоящего Порядка являются: охрана жизни, здоровья и имущест</w:t>
      </w:r>
      <w:r>
        <w:t xml:space="preserve">ва граждан, участников дорожного движения, защита их прав и законных интересов, а также защита интересов общества путем предупреждения дорожно-транспортных происшествий, снижения тяжести их последствий на автомобильных дорогах местного значения в границах </w:t>
      </w:r>
      <w:r>
        <w:t xml:space="preserve">Печенгского</w:t>
      </w:r>
      <w:r>
        <w:t xml:space="preserve"> муниципального округа. </w:t>
      </w:r>
      <w:r/>
    </w:p>
    <w:p>
      <w:pPr>
        <w:pStyle w:val="850"/>
        <w:ind w:firstLine="709"/>
        <w:jc w:val="both"/>
        <w:spacing w:before="0" w:beforeAutospacing="0" w:after="0" w:afterAutospacing="0"/>
      </w:pPr>
      <w:r>
        <w:t xml:space="preserve">3. Не позднее чем за двадцать дней до установки дорожных знаков (утверждены постановлением Правительства РФ от 23.10.1993 № 1090 «О Правилах дорожного движения») или нанесения разметки (выполняющей функции</w:t>
      </w:r>
      <w:r>
        <w:t xml:space="preserve"> этих знаков), запрещающих въезд всех транспортных средств в данном направлении (знак 3.1), остановку или стоянку транспортных средств (знаки: 3.27, 3.28, 3.29, 3.30) либо обозначающих дорогу или проезжую часть с односторонним движением либо выезд на такую</w:t>
      </w:r>
      <w:r>
        <w:t xml:space="preserve"> дорогу или проезжую часть (знаки: 5.5, 5.7.1, 5.7.2), граждане информируются о введении соответствующего запрета и (или) изменении схемы организации дорожного движения, а также о причинах принятия такого решения на автомобильных дорогах местного значения </w:t>
      </w:r>
      <w:r>
        <w:t xml:space="preserve">Печенгского</w:t>
      </w:r>
      <w:r>
        <w:t xml:space="preserve"> муниципального округа. </w:t>
      </w:r>
      <w:r/>
    </w:p>
    <w:p>
      <w:pPr>
        <w:pStyle w:val="850"/>
        <w:ind w:firstLine="709"/>
        <w:jc w:val="both"/>
        <w:spacing w:before="0" w:beforeAutospacing="0" w:after="0" w:afterAutospacing="0"/>
      </w:pPr>
      <w:r>
        <w:t xml:space="preserve">4. Информирование осуществляется в установленные п. 3 настоящего Порядка сроки посредством:</w:t>
      </w:r>
      <w:r/>
    </w:p>
    <w:p>
      <w:pPr>
        <w:pStyle w:val="850"/>
        <w:ind w:firstLine="709"/>
        <w:jc w:val="both"/>
        <w:spacing w:before="0" w:beforeAutospacing="0" w:after="0" w:afterAutospacing="0"/>
      </w:pPr>
      <w:r>
        <w:t xml:space="preserve"> - размещения информации на официальном сайте </w:t>
      </w:r>
      <w:r>
        <w:t xml:space="preserve">Печенгского</w:t>
      </w:r>
      <w:r>
        <w:t xml:space="preserve"> муниципального округа в информационно – телекоммуникационной сети Интернет; </w:t>
      </w:r>
      <w:r/>
    </w:p>
    <w:p>
      <w:pPr>
        <w:pStyle w:val="850"/>
        <w:ind w:firstLine="709"/>
        <w:jc w:val="both"/>
        <w:spacing w:before="0" w:beforeAutospacing="0" w:after="0" w:afterAutospacing="0"/>
      </w:pPr>
      <w:r>
        <w:t xml:space="preserve">- опубликования информации в газете </w:t>
      </w:r>
      <w:r>
        <w:t xml:space="preserve">«</w:t>
      </w:r>
      <w:r>
        <w:t xml:space="preserve">Печенга</w:t>
      </w:r>
      <w:r>
        <w:t xml:space="preserve">»</w:t>
      </w:r>
      <w:r>
        <w:t xml:space="preserve">. </w:t>
      </w:r>
      <w:r/>
    </w:p>
    <w:p>
      <w:pPr>
        <w:pStyle w:val="850"/>
        <w:ind w:firstLine="709"/>
        <w:jc w:val="both"/>
        <w:spacing w:before="0" w:beforeAutospacing="0" w:after="0" w:afterAutospacing="0"/>
      </w:pPr>
      <w:r>
        <w:t xml:space="preserve">5. В качестве дополнительных источников могут использоваться иные источники, способствующие информированию населения об установке дорожного знака или нанесения разметки.</w:t>
      </w:r>
      <w:r/>
    </w:p>
    <w:p>
      <w:pPr>
        <w:pStyle w:val="850"/>
        <w:ind w:firstLine="709"/>
        <w:jc w:val="both"/>
        <w:spacing w:before="0" w:beforeAutospacing="0" w:after="0" w:afterAutospacing="0"/>
      </w:pPr>
      <w:r/>
      <w:r/>
    </w:p>
    <w:p>
      <w:pPr>
        <w:pStyle w:val="850"/>
        <w:ind w:firstLine="709"/>
        <w:jc w:val="both"/>
        <w:spacing w:before="0" w:beforeAutospacing="0" w:after="0" w:afterAutospacing="0"/>
      </w:pPr>
      <w:r/>
      <w:r/>
    </w:p>
    <w:p>
      <w:pPr>
        <w:pStyle w:val="850"/>
        <w:ind w:firstLine="709"/>
        <w:jc w:val="both"/>
        <w:spacing w:before="0" w:beforeAutospacing="0" w:after="0" w:afterAutospacing="0"/>
      </w:pPr>
      <w:r/>
      <w:r/>
    </w:p>
    <w:p>
      <w:pPr>
        <w:pStyle w:val="850"/>
        <w:ind w:firstLine="709"/>
        <w:jc w:val="both"/>
        <w:spacing w:before="0" w:beforeAutospacing="0" w:after="0" w:afterAutospacing="0"/>
      </w:pPr>
      <w:r/>
      <w:r/>
    </w:p>
    <w:p>
      <w:pPr>
        <w:pStyle w:val="850"/>
        <w:ind w:firstLine="709"/>
        <w:jc w:val="both"/>
        <w:spacing w:before="0" w:beforeAutospacing="0" w:after="0" w:afterAutospacing="0"/>
      </w:pPr>
      <w:r/>
      <w:r/>
    </w:p>
    <w:p>
      <w:pPr>
        <w:pStyle w:val="850"/>
        <w:ind w:firstLine="709"/>
        <w:jc w:val="both"/>
        <w:spacing w:before="0" w:beforeAutospacing="0" w:after="0" w:afterAutospacing="0"/>
      </w:pPr>
      <w:r/>
      <w:r/>
    </w:p>
    <w:p>
      <w:pPr>
        <w:pStyle w:val="850"/>
        <w:ind w:firstLine="709"/>
        <w:jc w:val="both"/>
        <w:spacing w:before="0" w:beforeAutospacing="0" w:after="0" w:afterAutospacing="0"/>
      </w:pPr>
      <w:r/>
      <w:r/>
    </w:p>
    <w:p>
      <w:pPr>
        <w:pStyle w:val="850"/>
        <w:ind w:firstLine="709"/>
        <w:jc w:val="both"/>
        <w:spacing w:before="0" w:beforeAutospacing="0" w:after="0" w:afterAutospacing="0"/>
      </w:pPr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•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•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81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3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5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7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9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41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3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5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•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•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81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3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5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7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9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41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3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5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8">
    <w:name w:val="Heading 1"/>
    <w:basedOn w:val="846"/>
    <w:next w:val="846"/>
    <w:link w:val="66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9">
    <w:name w:val="Heading 1 Char"/>
    <w:basedOn w:val="847"/>
    <w:link w:val="668"/>
    <w:uiPriority w:val="9"/>
    <w:rPr>
      <w:rFonts w:ascii="Arial" w:hAnsi="Arial" w:eastAsia="Arial" w:cs="Arial"/>
      <w:sz w:val="40"/>
      <w:szCs w:val="40"/>
    </w:rPr>
  </w:style>
  <w:style w:type="paragraph" w:styleId="670">
    <w:name w:val="Heading 2"/>
    <w:basedOn w:val="846"/>
    <w:next w:val="846"/>
    <w:link w:val="67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1">
    <w:name w:val="Heading 2 Char"/>
    <w:basedOn w:val="847"/>
    <w:link w:val="670"/>
    <w:uiPriority w:val="9"/>
    <w:rPr>
      <w:rFonts w:ascii="Arial" w:hAnsi="Arial" w:eastAsia="Arial" w:cs="Arial"/>
      <w:sz w:val="34"/>
    </w:rPr>
  </w:style>
  <w:style w:type="paragraph" w:styleId="672">
    <w:name w:val="Heading 3"/>
    <w:basedOn w:val="846"/>
    <w:next w:val="846"/>
    <w:link w:val="67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3">
    <w:name w:val="Heading 3 Char"/>
    <w:basedOn w:val="847"/>
    <w:link w:val="672"/>
    <w:uiPriority w:val="9"/>
    <w:rPr>
      <w:rFonts w:ascii="Arial" w:hAnsi="Arial" w:eastAsia="Arial" w:cs="Arial"/>
      <w:sz w:val="30"/>
      <w:szCs w:val="30"/>
    </w:rPr>
  </w:style>
  <w:style w:type="paragraph" w:styleId="674">
    <w:name w:val="Heading 4"/>
    <w:basedOn w:val="846"/>
    <w:next w:val="846"/>
    <w:link w:val="67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5">
    <w:name w:val="Heading 4 Char"/>
    <w:basedOn w:val="847"/>
    <w:link w:val="674"/>
    <w:uiPriority w:val="9"/>
    <w:rPr>
      <w:rFonts w:ascii="Arial" w:hAnsi="Arial" w:eastAsia="Arial" w:cs="Arial"/>
      <w:b/>
      <w:bCs/>
      <w:sz w:val="26"/>
      <w:szCs w:val="26"/>
    </w:rPr>
  </w:style>
  <w:style w:type="paragraph" w:styleId="676">
    <w:name w:val="Heading 5"/>
    <w:basedOn w:val="846"/>
    <w:next w:val="846"/>
    <w:link w:val="67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7">
    <w:name w:val="Heading 5 Char"/>
    <w:basedOn w:val="847"/>
    <w:link w:val="676"/>
    <w:uiPriority w:val="9"/>
    <w:rPr>
      <w:rFonts w:ascii="Arial" w:hAnsi="Arial" w:eastAsia="Arial" w:cs="Arial"/>
      <w:b/>
      <w:bCs/>
      <w:sz w:val="24"/>
      <w:szCs w:val="24"/>
    </w:rPr>
  </w:style>
  <w:style w:type="paragraph" w:styleId="678">
    <w:name w:val="Heading 6"/>
    <w:basedOn w:val="846"/>
    <w:next w:val="846"/>
    <w:link w:val="67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9">
    <w:name w:val="Heading 6 Char"/>
    <w:basedOn w:val="847"/>
    <w:link w:val="678"/>
    <w:uiPriority w:val="9"/>
    <w:rPr>
      <w:rFonts w:ascii="Arial" w:hAnsi="Arial" w:eastAsia="Arial" w:cs="Arial"/>
      <w:b/>
      <w:bCs/>
      <w:sz w:val="22"/>
      <w:szCs w:val="22"/>
    </w:rPr>
  </w:style>
  <w:style w:type="paragraph" w:styleId="680">
    <w:name w:val="Heading 7"/>
    <w:basedOn w:val="846"/>
    <w:next w:val="846"/>
    <w:link w:val="68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1">
    <w:name w:val="Heading 7 Char"/>
    <w:basedOn w:val="847"/>
    <w:link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2">
    <w:name w:val="Heading 8"/>
    <w:basedOn w:val="846"/>
    <w:next w:val="846"/>
    <w:link w:val="68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3">
    <w:name w:val="Heading 8 Char"/>
    <w:basedOn w:val="847"/>
    <w:link w:val="682"/>
    <w:uiPriority w:val="9"/>
    <w:rPr>
      <w:rFonts w:ascii="Arial" w:hAnsi="Arial" w:eastAsia="Arial" w:cs="Arial"/>
      <w:i/>
      <w:iCs/>
      <w:sz w:val="22"/>
      <w:szCs w:val="22"/>
    </w:rPr>
  </w:style>
  <w:style w:type="paragraph" w:styleId="684">
    <w:name w:val="Heading 9"/>
    <w:basedOn w:val="846"/>
    <w:next w:val="846"/>
    <w:link w:val="68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5">
    <w:name w:val="Heading 9 Char"/>
    <w:basedOn w:val="847"/>
    <w:link w:val="684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List Paragraph"/>
    <w:basedOn w:val="846"/>
    <w:uiPriority w:val="34"/>
    <w:qFormat/>
    <w:pPr>
      <w:contextualSpacing/>
      <w:ind w:left="720"/>
    </w:pPr>
  </w:style>
  <w:style w:type="paragraph" w:styleId="687">
    <w:name w:val="No Spacing"/>
    <w:uiPriority w:val="1"/>
    <w:qFormat/>
    <w:pPr>
      <w:spacing w:before="0" w:after="0" w:line="240" w:lineRule="auto"/>
    </w:pPr>
  </w:style>
  <w:style w:type="paragraph" w:styleId="688">
    <w:name w:val="Title"/>
    <w:basedOn w:val="846"/>
    <w:next w:val="846"/>
    <w:link w:val="68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9">
    <w:name w:val="Title Char"/>
    <w:basedOn w:val="847"/>
    <w:link w:val="688"/>
    <w:uiPriority w:val="10"/>
    <w:rPr>
      <w:sz w:val="48"/>
      <w:szCs w:val="48"/>
    </w:rPr>
  </w:style>
  <w:style w:type="paragraph" w:styleId="690">
    <w:name w:val="Subtitle"/>
    <w:basedOn w:val="846"/>
    <w:next w:val="846"/>
    <w:link w:val="691"/>
    <w:uiPriority w:val="11"/>
    <w:qFormat/>
    <w:pPr>
      <w:spacing w:before="200" w:after="200"/>
    </w:pPr>
    <w:rPr>
      <w:sz w:val="24"/>
      <w:szCs w:val="24"/>
    </w:rPr>
  </w:style>
  <w:style w:type="character" w:styleId="691">
    <w:name w:val="Subtitle Char"/>
    <w:basedOn w:val="847"/>
    <w:link w:val="690"/>
    <w:uiPriority w:val="11"/>
    <w:rPr>
      <w:sz w:val="24"/>
      <w:szCs w:val="24"/>
    </w:rPr>
  </w:style>
  <w:style w:type="paragraph" w:styleId="692">
    <w:name w:val="Quote"/>
    <w:basedOn w:val="846"/>
    <w:next w:val="846"/>
    <w:link w:val="693"/>
    <w:uiPriority w:val="29"/>
    <w:qFormat/>
    <w:pPr>
      <w:ind w:left="720" w:right="720"/>
    </w:pPr>
    <w:rPr>
      <w:i/>
    </w:rPr>
  </w:style>
  <w:style w:type="character" w:styleId="693">
    <w:name w:val="Quote Char"/>
    <w:link w:val="692"/>
    <w:uiPriority w:val="29"/>
    <w:rPr>
      <w:i/>
    </w:rPr>
  </w:style>
  <w:style w:type="paragraph" w:styleId="694">
    <w:name w:val="Intense Quote"/>
    <w:basedOn w:val="846"/>
    <w:next w:val="846"/>
    <w:link w:val="69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>
    <w:name w:val="Intense Quote Char"/>
    <w:link w:val="694"/>
    <w:uiPriority w:val="30"/>
    <w:rPr>
      <w:i/>
    </w:rPr>
  </w:style>
  <w:style w:type="paragraph" w:styleId="696">
    <w:name w:val="Header"/>
    <w:basedOn w:val="846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>
    <w:name w:val="Header Char"/>
    <w:basedOn w:val="847"/>
    <w:link w:val="696"/>
    <w:uiPriority w:val="99"/>
  </w:style>
  <w:style w:type="paragraph" w:styleId="698">
    <w:name w:val="Footer"/>
    <w:basedOn w:val="846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>
    <w:name w:val="Footer Char"/>
    <w:basedOn w:val="847"/>
    <w:link w:val="698"/>
    <w:uiPriority w:val="99"/>
  </w:style>
  <w:style w:type="paragraph" w:styleId="700">
    <w:name w:val="Caption"/>
    <w:basedOn w:val="846"/>
    <w:next w:val="84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1">
    <w:name w:val="Caption Char"/>
    <w:basedOn w:val="700"/>
    <w:link w:val="698"/>
    <w:uiPriority w:val="99"/>
  </w:style>
  <w:style w:type="table" w:styleId="702">
    <w:name w:val="Table Grid"/>
    <w:basedOn w:val="84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3">
    <w:name w:val="Table Grid Light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4">
    <w:name w:val="Plain Table 1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2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7">
    <w:name w:val="Plain Table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Plain Table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9">
    <w:name w:val="Grid Table 1 Light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4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1">
    <w:name w:val="Grid Table 4 - Accent 1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2">
    <w:name w:val="Grid Table 4 - Accent 2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3">
    <w:name w:val="Grid Table 4 - Accent 3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4">
    <w:name w:val="Grid Table 4 - Accent 4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5">
    <w:name w:val="Grid Table 4 - Accent 5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6">
    <w:name w:val="Grid Table 4 - Accent 6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7">
    <w:name w:val="Grid Table 5 Dark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8">
    <w:name w:val="Grid Table 5 Dark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44">
    <w:name w:val="Grid Table 6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5">
    <w:name w:val="Grid Table 6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6">
    <w:name w:val="Grid Table 6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7">
    <w:name w:val="Grid Table 6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8">
    <w:name w:val="Grid Table 6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9">
    <w:name w:val="Grid Table 6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0">
    <w:name w:val="Grid Table 6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1">
    <w:name w:val="Grid Table 7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6">
    <w:name w:val="List Table 2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7">
    <w:name w:val="List Table 2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8">
    <w:name w:val="List Table 2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9">
    <w:name w:val="List Table 2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0">
    <w:name w:val="List Table 2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1">
    <w:name w:val="List Table 2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2">
    <w:name w:val="List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5 Dark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6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4">
    <w:name w:val="List Table 6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5">
    <w:name w:val="List Table 6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List Table 6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7">
    <w:name w:val="List Table 6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List Table 6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9">
    <w:name w:val="List Table 6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0">
    <w:name w:val="List Table 7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1">
    <w:name w:val="List Table 7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802">
    <w:name w:val="List Table 7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03">
    <w:name w:val="List Table 7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04">
    <w:name w:val="List Table 7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05">
    <w:name w:val="List Table 7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806">
    <w:name w:val="List Table 7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07">
    <w:name w:val="Lined - Accent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8">
    <w:name w:val="Lined - Accent 1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09">
    <w:name w:val="Lined - Accent 2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0">
    <w:name w:val="Lined - Accent 3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1">
    <w:name w:val="Lined - Accent 4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2">
    <w:name w:val="Lined - Accent 5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13">
    <w:name w:val="Lined - Accent 6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4">
    <w:name w:val="Bordered &amp; Lined - Accent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5">
    <w:name w:val="Bordered &amp; Lined - Accent 1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16">
    <w:name w:val="Bordered &amp; Lined - Accent 2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7">
    <w:name w:val="Bordered &amp; Lined - Accent 3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8">
    <w:name w:val="Bordered &amp; Lined - Accent 4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9">
    <w:name w:val="Bordered &amp; Lined - Accent 5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20">
    <w:name w:val="Bordered &amp; Lined - Accent 6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1">
    <w:name w:val="Bordered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2">
    <w:name w:val="Bordered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3">
    <w:name w:val="Bordered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4">
    <w:name w:val="Bordered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5">
    <w:name w:val="Bordered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6">
    <w:name w:val="Bordered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7">
    <w:name w:val="Bordered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8">
    <w:name w:val="Hyperlink"/>
    <w:uiPriority w:val="99"/>
    <w:unhideWhenUsed/>
    <w:rPr>
      <w:color w:val="0000ff" w:themeColor="hyperlink"/>
      <w:u w:val="single"/>
    </w:rPr>
  </w:style>
  <w:style w:type="paragraph" w:styleId="829">
    <w:name w:val="footnote text"/>
    <w:basedOn w:val="846"/>
    <w:link w:val="830"/>
    <w:uiPriority w:val="99"/>
    <w:semiHidden/>
    <w:unhideWhenUsed/>
    <w:pPr>
      <w:spacing w:after="40" w:line="240" w:lineRule="auto"/>
    </w:pPr>
    <w:rPr>
      <w:sz w:val="18"/>
    </w:rPr>
  </w:style>
  <w:style w:type="character" w:styleId="830">
    <w:name w:val="Footnote Text Char"/>
    <w:link w:val="829"/>
    <w:uiPriority w:val="99"/>
    <w:rPr>
      <w:sz w:val="18"/>
    </w:rPr>
  </w:style>
  <w:style w:type="character" w:styleId="831">
    <w:name w:val="footnote reference"/>
    <w:basedOn w:val="847"/>
    <w:uiPriority w:val="99"/>
    <w:unhideWhenUsed/>
    <w:rPr>
      <w:vertAlign w:val="superscript"/>
    </w:rPr>
  </w:style>
  <w:style w:type="paragraph" w:styleId="832">
    <w:name w:val="endnote text"/>
    <w:basedOn w:val="846"/>
    <w:link w:val="833"/>
    <w:uiPriority w:val="99"/>
    <w:semiHidden/>
    <w:unhideWhenUsed/>
    <w:pPr>
      <w:spacing w:after="0" w:line="240" w:lineRule="auto"/>
    </w:pPr>
    <w:rPr>
      <w:sz w:val="20"/>
    </w:rPr>
  </w:style>
  <w:style w:type="character" w:styleId="833">
    <w:name w:val="Endnote Text Char"/>
    <w:link w:val="832"/>
    <w:uiPriority w:val="99"/>
    <w:rPr>
      <w:sz w:val="20"/>
    </w:rPr>
  </w:style>
  <w:style w:type="character" w:styleId="834">
    <w:name w:val="endnote reference"/>
    <w:basedOn w:val="847"/>
    <w:uiPriority w:val="99"/>
    <w:semiHidden/>
    <w:unhideWhenUsed/>
    <w:rPr>
      <w:vertAlign w:val="superscript"/>
    </w:rPr>
  </w:style>
  <w:style w:type="paragraph" w:styleId="835">
    <w:name w:val="toc 1"/>
    <w:basedOn w:val="846"/>
    <w:next w:val="846"/>
    <w:uiPriority w:val="39"/>
    <w:unhideWhenUsed/>
    <w:pPr>
      <w:ind w:left="0" w:right="0" w:firstLine="0"/>
      <w:spacing w:after="57"/>
    </w:pPr>
  </w:style>
  <w:style w:type="paragraph" w:styleId="836">
    <w:name w:val="toc 2"/>
    <w:basedOn w:val="846"/>
    <w:next w:val="846"/>
    <w:uiPriority w:val="39"/>
    <w:unhideWhenUsed/>
    <w:pPr>
      <w:ind w:left="283" w:right="0" w:firstLine="0"/>
      <w:spacing w:after="57"/>
    </w:pPr>
  </w:style>
  <w:style w:type="paragraph" w:styleId="837">
    <w:name w:val="toc 3"/>
    <w:basedOn w:val="846"/>
    <w:next w:val="846"/>
    <w:uiPriority w:val="39"/>
    <w:unhideWhenUsed/>
    <w:pPr>
      <w:ind w:left="567" w:right="0" w:firstLine="0"/>
      <w:spacing w:after="57"/>
    </w:pPr>
  </w:style>
  <w:style w:type="paragraph" w:styleId="838">
    <w:name w:val="toc 4"/>
    <w:basedOn w:val="846"/>
    <w:next w:val="846"/>
    <w:uiPriority w:val="39"/>
    <w:unhideWhenUsed/>
    <w:pPr>
      <w:ind w:left="850" w:right="0" w:firstLine="0"/>
      <w:spacing w:after="57"/>
    </w:pPr>
  </w:style>
  <w:style w:type="paragraph" w:styleId="839">
    <w:name w:val="toc 5"/>
    <w:basedOn w:val="846"/>
    <w:next w:val="846"/>
    <w:uiPriority w:val="39"/>
    <w:unhideWhenUsed/>
    <w:pPr>
      <w:ind w:left="1134" w:right="0" w:firstLine="0"/>
      <w:spacing w:after="57"/>
    </w:pPr>
  </w:style>
  <w:style w:type="paragraph" w:styleId="840">
    <w:name w:val="toc 6"/>
    <w:basedOn w:val="846"/>
    <w:next w:val="846"/>
    <w:uiPriority w:val="39"/>
    <w:unhideWhenUsed/>
    <w:pPr>
      <w:ind w:left="1417" w:right="0" w:firstLine="0"/>
      <w:spacing w:after="57"/>
    </w:pPr>
  </w:style>
  <w:style w:type="paragraph" w:styleId="841">
    <w:name w:val="toc 7"/>
    <w:basedOn w:val="846"/>
    <w:next w:val="846"/>
    <w:uiPriority w:val="39"/>
    <w:unhideWhenUsed/>
    <w:pPr>
      <w:ind w:left="1701" w:right="0" w:firstLine="0"/>
      <w:spacing w:after="57"/>
    </w:pPr>
  </w:style>
  <w:style w:type="paragraph" w:styleId="842">
    <w:name w:val="toc 8"/>
    <w:basedOn w:val="846"/>
    <w:next w:val="846"/>
    <w:uiPriority w:val="39"/>
    <w:unhideWhenUsed/>
    <w:pPr>
      <w:ind w:left="1984" w:right="0" w:firstLine="0"/>
      <w:spacing w:after="57"/>
    </w:pPr>
  </w:style>
  <w:style w:type="paragraph" w:styleId="843">
    <w:name w:val="toc 9"/>
    <w:basedOn w:val="846"/>
    <w:next w:val="846"/>
    <w:uiPriority w:val="39"/>
    <w:unhideWhenUsed/>
    <w:pPr>
      <w:ind w:left="2268" w:right="0" w:firstLine="0"/>
      <w:spacing w:after="57"/>
    </w:pPr>
  </w:style>
  <w:style w:type="paragraph" w:styleId="844">
    <w:name w:val="TOC Heading"/>
    <w:uiPriority w:val="39"/>
    <w:unhideWhenUsed/>
  </w:style>
  <w:style w:type="paragraph" w:styleId="845">
    <w:name w:val="table of figures"/>
    <w:basedOn w:val="846"/>
    <w:next w:val="846"/>
    <w:uiPriority w:val="99"/>
    <w:unhideWhenUsed/>
    <w:pPr>
      <w:spacing w:after="0" w:afterAutospacing="0"/>
    </w:pPr>
  </w:style>
  <w:style w:type="paragraph" w:styleId="846" w:default="1">
    <w:name w:val="Normal"/>
    <w:qFormat/>
  </w:style>
  <w:style w:type="character" w:styleId="847" w:default="1">
    <w:name w:val="Default Paragraph Font"/>
    <w:uiPriority w:val="1"/>
    <w:semiHidden/>
    <w:unhideWhenUsed/>
  </w:style>
  <w:style w:type="table" w:styleId="84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9" w:default="1">
    <w:name w:val="No List"/>
    <w:uiPriority w:val="99"/>
    <w:semiHidden/>
    <w:unhideWhenUsed/>
  </w:style>
  <w:style w:type="paragraph" w:styleId="850">
    <w:name w:val="Normal (Web)"/>
    <w:basedOn w:val="846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851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oleObject" Target="embeddings/oleObject1.bin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Прокуратура РФ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Гагина Яна Сергеевна</dc:creator>
  <cp:revision>7</cp:revision>
  <dcterms:created xsi:type="dcterms:W3CDTF">2024-12-26T12:36:00Z</dcterms:created>
  <dcterms:modified xsi:type="dcterms:W3CDTF">2025-01-17T07:44:27Z</dcterms:modified>
</cp:coreProperties>
</file>