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74" w:lineRule="auto"/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pPr>
      <w:r>
        <w:object w:dxaOrig="917" w:dyaOrig="1146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width:45.60pt;height:57.10pt;mso-wrap-distance-left:0.00pt;mso-wrap-distance-top:0.00pt;mso-wrap-distance-right:0.00pt;mso-wrap-distance-bottom:0.00pt;" filled="f" stroked="f">
            <v:path textboxrect="0,0,0,0"/>
            <v:imagedata r:id="rId9" o:title=""/>
          </v:shape>
          <o:OLEObject DrawAspect="Content" r:id="rId10" ObjectID="_1525040" ProgID="StaticMetafile" ShapeID="_x0000_i0" Type="Embed"/>
        </w:object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АДМИНИСТРАЦИЯ</w:t>
      </w:r>
      <w:r>
        <w:rPr>
          <w:rFonts w:ascii="Times New Roman" w:hAnsi="Times New Roman" w:eastAsia="Times New Roman" w:cs="Times New Roman"/>
          <w:b/>
          <w:sz w:val="44"/>
        </w:rPr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</w:rPr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 28.12.2024</w:t>
        <w:tab/>
        <w:tab/>
        <w:tab/>
        <w:tab/>
        <w:tab/>
        <w:tab/>
        <w:tab/>
        <w:tab/>
        <w:tab/>
        <w:tab/>
        <w:tab/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№ 2173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пгт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Никель</w:t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и условий заключения соглашений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 защите и поощрении капиталовложений со стороны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both"/>
        <w:spacing w:after="0" w:line="240" w:lineRule="auto"/>
        <w:tabs>
          <w:tab w:val="left" w:pos="840" w:leader="none"/>
          <w:tab w:val="left" w:pos="2520" w:leader="none"/>
        </w:tabs>
        <w:rPr>
          <w:rFonts w:ascii="Times New Roman" w:hAnsi="Times New Roman" w:eastAsia="Times New Roman" w:cs="Times New Roman"/>
          <w:color w:val="ff0000"/>
        </w:rPr>
      </w:pPr>
      <w:r>
        <w:rPr>
          <w:rFonts w:ascii="Times New Roman" w:hAnsi="Times New Roman" w:eastAsia="Times New Roman" w:cs="Times New Roman"/>
          <w:color w:val="ff0000"/>
        </w:rPr>
      </w:r>
      <w:r>
        <w:rPr>
          <w:rFonts w:ascii="Times New Roman" w:hAnsi="Times New Roman" w:eastAsia="Times New Roman" w:cs="Times New Roman"/>
          <w:color w:val="ff0000"/>
        </w:rPr>
      </w:r>
      <w:r>
        <w:rPr>
          <w:rFonts w:ascii="Times New Roman" w:hAnsi="Times New Roman" w:eastAsia="Times New Roman" w:cs="Times New Roman"/>
          <w:color w:val="ff0000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частью 8 статьи 4 Федерального закона от 1 апреля 2020 года                             № 69-ФЗ «О защите и поощрении капиталовложений в Российской Федерации», в целях создания благоприятных условий для развития инвестиционной деятельности на территории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руководствуясь статьями 29, 37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</w:t>
      </w:r>
      <w:bookmarkStart w:id="0" w:name="_Hlk185945028"/>
      <w:r>
        <w:rPr>
          <w:rFonts w:ascii="Times New Roman" w:hAnsi="Times New Roman" w:eastAsia="Times New Roman" w:cs="Times New Roman"/>
          <w:sz w:val="24"/>
          <w:szCs w:val="24"/>
        </w:rPr>
        <w:t xml:space="preserve">Утвердить прилагаемый Порядок и условия заключения соглашений о защите и поощрении капиталовложений со стороны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вступает в силу после его опубликования в газете «Печенга».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</w:t>
      </w:r>
      <w:hyperlink r:id="rId11" w:tooltip="https://pechengamr.gov-murman.ru/" w:history="1">
        <w:r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Контроль за исполнением настоящего постановления возложить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Ахметову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М.Ю.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  <w:tab w:val="left" w:pos="949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pStyle w:val="850"/>
        <w:jc w:val="right"/>
        <w:spacing w:before="168" w:beforeAutospacing="0" w:after="0" w:afterAutospacing="0" w:line="288" w:lineRule="atLeast"/>
      </w:pPr>
      <w:r/>
      <w:r/>
    </w:p>
    <w:p>
      <w:pPr>
        <w:pStyle w:val="850"/>
        <w:jc w:val="left"/>
        <w:spacing w:before="168" w:beforeAutospacing="0" w:after="0" w:afterAutospacing="0" w:line="288" w:lineRule="atLeast"/>
        <w:rPr>
          <w:sz w:val="20"/>
          <w:szCs w:val="20"/>
        </w:rPr>
      </w:pPr>
      <w:r>
        <w:rPr>
          <w:sz w:val="20"/>
          <w:szCs w:val="20"/>
        </w:rPr>
        <w:t xml:space="preserve">Самойлов С.А. 62479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0"/>
        <w:jc w:val="right"/>
        <w:spacing w:before="168" w:beforeAutospacing="0" w:after="0" w:afterAutospacing="0" w:line="288" w:lineRule="atLeast"/>
      </w:pPr>
      <w:r>
        <w:t xml:space="preserve">Утвержден</w:t>
      </w:r>
      <w:r/>
    </w:p>
    <w:p>
      <w:pPr>
        <w:pStyle w:val="850"/>
        <w:jc w:val="right"/>
        <w:spacing w:before="0" w:beforeAutospacing="0" w:after="0" w:afterAutospacing="0" w:line="288" w:lineRule="atLeast"/>
      </w:pPr>
      <w:r>
        <w:t xml:space="preserve">Постановлением </w:t>
      </w:r>
      <w:r/>
    </w:p>
    <w:p>
      <w:pPr>
        <w:pStyle w:val="850"/>
        <w:jc w:val="right"/>
        <w:spacing w:before="0" w:beforeAutospacing="0" w:after="0" w:afterAutospacing="0" w:line="288" w:lineRule="atLeast"/>
      </w:pPr>
      <w:r>
        <w:t xml:space="preserve">администрации </w:t>
      </w:r>
      <w:r>
        <w:t xml:space="preserve">Печенгского</w:t>
      </w:r>
      <w:r>
        <w:t xml:space="preserve"> муниципального округа</w:t>
      </w:r>
      <w:r/>
    </w:p>
    <w:p>
      <w:pPr>
        <w:pStyle w:val="850"/>
        <w:jc w:val="right"/>
        <w:spacing w:before="0" w:beforeAutospacing="0" w:after="0" w:afterAutospacing="0" w:line="288" w:lineRule="atLeast"/>
      </w:pPr>
      <w:r>
        <w:t xml:space="preserve">от 28.12.2024 </w:t>
      </w:r>
      <w:r>
        <w:t xml:space="preserve">№ 2173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jc w:val="center"/>
        <w:spacing w:before="0" w:beforeAutospacing="0" w:after="0" w:afterAutospacing="0" w:line="312" w:lineRule="auto"/>
        <w:rPr>
          <w:b/>
          <w:bCs/>
        </w:rPr>
      </w:pPr>
      <w:r>
        <w:rPr>
          <w:b/>
          <w:bCs/>
        </w:rPr>
        <w:t xml:space="preserve">ПОРЯДОК </w:t>
      </w:r>
      <w:r>
        <w:rPr>
          <w:b/>
          <w:bCs/>
        </w:rPr>
      </w:r>
      <w:r>
        <w:rPr>
          <w:b/>
          <w:bCs/>
        </w:rPr>
      </w:r>
    </w:p>
    <w:p>
      <w:pPr>
        <w:pStyle w:val="850"/>
        <w:jc w:val="center"/>
        <w:spacing w:before="0" w:beforeAutospacing="0" w:after="0" w:afterAutospacing="0" w:line="312" w:lineRule="auto"/>
        <w:rPr>
          <w:b/>
          <w:bCs/>
        </w:rPr>
      </w:pPr>
      <w:r>
        <w:rPr>
          <w:b/>
          <w:bCs/>
        </w:rPr>
        <w:t xml:space="preserve">И УСЛОВИЯ ЗАКЛЮЧЕНИЯ СОГЛАШЕНИЙ О ЗАЩИТЕ И ПООЩРЕНИИ </w:t>
      </w:r>
      <w:r>
        <w:rPr>
          <w:b/>
          <w:bCs/>
        </w:rPr>
      </w:r>
      <w:r>
        <w:rPr>
          <w:b/>
          <w:bCs/>
        </w:rPr>
      </w:r>
    </w:p>
    <w:p>
      <w:pPr>
        <w:pStyle w:val="850"/>
        <w:jc w:val="center"/>
        <w:spacing w:before="0" w:beforeAutospacing="0" w:after="0" w:afterAutospacing="0" w:line="312" w:lineRule="auto"/>
        <w:rPr>
          <w:b/>
          <w:bCs/>
        </w:rPr>
      </w:pPr>
      <w:r>
        <w:rPr>
          <w:b/>
          <w:bCs/>
        </w:rPr>
        <w:t xml:space="preserve">КАПИТАЛОВЛОЖЕНИЙ СО СТОРОНЫ ПЕЧЕНГСК</w:t>
      </w:r>
      <w:r>
        <w:rPr>
          <w:b/>
          <w:bCs/>
        </w:rPr>
        <w:t xml:space="preserve">ОГО </w:t>
      </w:r>
      <w:r>
        <w:rPr>
          <w:b/>
          <w:bCs/>
        </w:rPr>
        <w:t xml:space="preserve">МУНИЦИПАЛЬН</w:t>
      </w:r>
      <w:r>
        <w:rPr>
          <w:b/>
          <w:bCs/>
        </w:rPr>
        <w:t xml:space="preserve">ОГО</w:t>
      </w:r>
      <w:r>
        <w:rPr>
          <w:b/>
          <w:bCs/>
        </w:rPr>
        <w:t xml:space="preserve"> ОКРУГ</w:t>
      </w:r>
      <w:r>
        <w:rPr>
          <w:b/>
          <w:bCs/>
        </w:rPr>
        <w:t xml:space="preserve">А</w:t>
      </w:r>
      <w:r>
        <w:rPr>
          <w:b/>
          <w:bCs/>
        </w:rP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jc w:val="center"/>
        <w:spacing w:before="0" w:beforeAutospacing="0" w:after="0" w:afterAutospacing="0"/>
      </w:pPr>
      <w:r>
        <w:rPr>
          <w:b/>
          <w:bCs/>
        </w:rPr>
        <w:t xml:space="preserve">I. Общие положения</w:t>
      </w:r>
      <w:r>
        <w:t xml:space="preserve">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1. Настоящий Порядок разработан в соответствии с частью 8</w:t>
      </w:r>
      <w:r>
        <w:t xml:space="preserve"> статьи 4 Федерального закона от 1 апреля 2020 года № 69-ФЗ «О защите и поощрении капиталовложений в Российской Федерации2 (далее - Федеральный закон № 69-ФЗ) и устанавливает порядок и условия заключения соглашений о защите и поощрении капиталовложений со </w:t>
      </w:r>
      <w:r>
        <w:t xml:space="preserve">стороны 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 </w:t>
      </w:r>
      <w:r>
        <w:t xml:space="preserve"> (далее соответственно - Соглашения, муниципальное образование).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2. Уполномоченным органом на заключение Соглашений является Администрация </w:t>
      </w:r>
      <w:r>
        <w:t xml:space="preserve">Печенгского</w:t>
      </w:r>
      <w:r>
        <w:t xml:space="preserve"> муниципального округа Мурманской области.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3. К отношениям, во</w:t>
      </w:r>
      <w:r>
        <w:t xml:space="preserve">зникающим в связи с заключением, изменением и расторжением Соглашений, а также в связи с исполнением обязанностей по указанным Соглашениям, применяются правила гражданского законодательства с учетом особенностей, установленных Федеральным законом № 69-ФЗ.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jc w:val="center"/>
        <w:spacing w:before="0" w:beforeAutospacing="0" w:after="0" w:afterAutospacing="0"/>
      </w:pPr>
      <w:r>
        <w:rPr>
          <w:b/>
          <w:bCs/>
        </w:rPr>
        <w:t xml:space="preserve">II. Порядок заключения Соглашений</w:t>
      </w:r>
      <w:r>
        <w:t xml:space="preserve">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4. Соглашения могут заключаться с использованием государственной информационной системы </w:t>
      </w:r>
      <w:r>
        <w:t xml:space="preserve">«</w:t>
      </w:r>
      <w:r>
        <w:t xml:space="preserve">Капиталовложения</w:t>
      </w:r>
      <w:r>
        <w:t xml:space="preserve">»</w:t>
      </w:r>
      <w:r>
        <w:t xml:space="preserve"> (но не ранее ввода в эксплуатацию указанной государственной информационной системы) в порядке, предусмотренном статьями 7 и 8 Федерального закона N 69-ФЗ.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Для подписания Соглашений в государственной информационной системе </w:t>
      </w:r>
      <w:r>
        <w:t xml:space="preserve">«</w:t>
      </w:r>
      <w:r>
        <w:t xml:space="preserve">Капиталовложения</w:t>
      </w:r>
      <w:r>
        <w:t xml:space="preserve">»</w:t>
      </w:r>
      <w:r>
        <w:t xml:space="preserve"> используется электронная подпись.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5. Соглашения заключаются не позднее 1 января 2030 года.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6. Муниципальное образование может быть стороной Соглашений, если одновременно стороной таких Соглашений является </w:t>
      </w:r>
      <w:r>
        <w:t xml:space="preserve">Мурманская область</w:t>
      </w:r>
      <w:r>
        <w:t xml:space="preserve">, на территории которой реализуется соответствующий инвестиционный проект.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7. Соглашения должны содержать условия, установленные статьей 10 Федерального закона </w:t>
      </w:r>
      <w:r>
        <w:t xml:space="preserve">№</w:t>
      </w:r>
      <w:r>
        <w:t xml:space="preserve"> 69-ФЗ.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8. Решения о заключении Соглашений принимаются в форме распоряжений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9. От имени муниципального образования Соглашения подлежат подписанию лицом, исполняющим полномочия </w:t>
      </w:r>
      <w:r>
        <w:t xml:space="preserve">главы </w:t>
      </w:r>
      <w:r>
        <w:t xml:space="preserve">Печенгского</w:t>
      </w:r>
      <w:r>
        <w:t xml:space="preserve"> муниципального округа Мурманской области</w:t>
      </w:r>
      <w:r>
        <w:t xml:space="preserve">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10. Соглашения (дополнительные соглашения к ним) подлежат включению в Рее</w:t>
      </w:r>
      <w:r>
        <w:t xml:space="preserve">стр соглашений о защите и поощрении капиталовложений (далее - Реестр соглашений) в соответствии с Правилами заключения соглашений о защите и поощрении капиталовложений, изменения и прекращения действия таких соглашений, ведения реестра соглашений о защите </w:t>
      </w:r>
      <w:r>
        <w:t xml:space="preserve">и поощрении капиталовложений, утвержденными постановлением Правительства Российской Федерации от 13 сентября 2022 года </w:t>
      </w:r>
      <w:r>
        <w:t xml:space="preserve">№</w:t>
      </w:r>
      <w:r>
        <w:t xml:space="preserve"> 1602.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11. Соглашения (дополнительные соглашения к ним) признаются заключенными с даты регистрации соответствующего Соглашения (внесения в Реестр соглашений) в Реестре соглашений.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jc w:val="center"/>
        <w:spacing w:before="0" w:beforeAutospacing="0" w:after="0" w:afterAutospacing="0"/>
      </w:pPr>
      <w:r>
        <w:rPr>
          <w:b/>
          <w:bCs/>
        </w:rPr>
        <w:t xml:space="preserve">III. Условия заключения Соглашений</w:t>
      </w:r>
      <w:r>
        <w:t xml:space="preserve">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12. Соглашение заключается с организацией, реализующей проект, при условии, что такое Соглашение предусматривает реализацию нового инвестиционного проекта в одной из сфер российской экономики, за исключением следующих сфер и видов деятельности: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а) игорный бизнес;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б) производс</w:t>
      </w:r>
      <w:r>
        <w:t xml:space="preserve">тво табачных изделий, алкогольной продукции, жидкого топлива (ограничение неприменимо к жидкому топливу, полученному из угля, а также на установках вторичной переработки нефтяного сырья согласно перечню, утверждаемому Правительством Российской Федерации);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в) добыча сырой нефти и природного газа, в том числе попутного нефтяного газа (ограничение неприменимо к инвестиционным проектам по сжижению природного газа);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г) оптовая и розничная торговля;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д) деятельность финансовых организаций, поднадзорных Центральному банку Российской Федерации (ограничение неприменимо к случаям выпуска ценных бумаг в целях финансирования инвестиционного проекта);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е) создание (строительство) либо реконструкция и </w:t>
      </w:r>
      <w:r>
        <w:t xml:space="preserve">(или) модернизация административно-деловых центров и торговых центров (комплексов) (кроме аэровокзалов (терминалов), а также многоквартирных домов, жилых домов (кроме строительства таких домов в соответствии с договором о комплексном развитии территории).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13. Соглашения заключаются по результатам осуществления процедур, предусмотренных статьей 7 (частная проектная инициатива) или статьей 8 (публичная проектная инициатива) Федерального закона </w:t>
      </w:r>
      <w:r>
        <w:t xml:space="preserve">№</w:t>
      </w:r>
      <w:r>
        <w:t xml:space="preserve"> 69</w:t>
      </w:r>
      <w:r>
        <w:t xml:space="preserve">-ФЗ</w:t>
      </w:r>
      <w:r>
        <w:t xml:space="preserve">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14. По Соглашениям муниципальное образование, являющееся их стороной, обязует</w:t>
      </w:r>
      <w:r>
        <w:t xml:space="preserve">ся в период действия Соглашений, обеспечить организациям, реализующим инвестиционные проекты, неприменение в отношении них актов (решений) органов местного самоуправления, ухудшающих условия ведения предпринимательской и (или) иной деятельности, а именно: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а) увеличивающих сроки осуществления процедур, необходимых для реализации инвестиционного проекта;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б) увеличивающих количество процедур, необходимых для реализации инвестиционного проекта;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в) увеличивающих размер, взимаемых с организации, реализующей инвестиционный проект, платежей, уплачиваемых в целях реализации инвестиционного проекта;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г) устанавливающих дополнительные требования к условиям реализации инвестиционного проекта, в том числе требования о предоставлении дополнительных документов;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д) устанавливающих дополнительные запреты, препятствующие реализации инвестиционного проекта.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При этом организация, реализующая инвестиционный проект, имеет право требовать неприменения таких актов (решений) при реализации инвестиционного проекта от муниципального образования.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15. Муниципальное образование, заключившее Соглашения, не принимает на себя обязанностей по реализации инвестиционных проектов или каких-либо иных обязанностей, </w:t>
      </w:r>
      <w:r>
        <w:t xml:space="preserve">связанных с ведением инвестиционной и (или) хозяйственной деятельности, в том числе совместно с организацией, реализующей инвестиционный проект.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jc w:val="center"/>
        <w:spacing w:before="0" w:beforeAutospacing="0" w:after="0" w:afterAutospacing="0"/>
      </w:pPr>
      <w:r>
        <w:rPr>
          <w:b/>
          <w:bCs/>
        </w:rPr>
        <w:t xml:space="preserve">IV. Заключительные положения</w:t>
      </w:r>
      <w:r>
        <w:t xml:space="preserve">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16. Положения об ответственности за нарушение условий Соглашений установлены статьей 12 Федерального закона </w:t>
      </w:r>
      <w:r>
        <w:t xml:space="preserve">№</w:t>
      </w:r>
      <w:r>
        <w:t xml:space="preserve"> 69-ФЗ.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17. Рассмотрение споров по Соглашениям осуществляется в порядке, установленном статьей 13 Федерального закона </w:t>
      </w:r>
      <w:r>
        <w:t xml:space="preserve">№</w:t>
      </w:r>
      <w:r>
        <w:t xml:space="preserve"> 69-ФЗ. </w:t>
      </w:r>
      <w:r/>
    </w:p>
    <w:p>
      <w:pPr>
        <w:pStyle w:val="850"/>
        <w:ind w:firstLine="540"/>
        <w:jc w:val="both"/>
        <w:spacing w:before="0" w:beforeAutospacing="0" w:after="0" w:afterAutospacing="0" w:line="288" w:lineRule="atLeast"/>
      </w:pPr>
      <w:r>
        <w:t xml:space="preserve">18. Положения, касающиеся связанных договоров, определены статьей 14 Федерального закона </w:t>
      </w:r>
      <w:r>
        <w:t xml:space="preserve">№</w:t>
      </w:r>
      <w:r>
        <w:t xml:space="preserve"> 69-ФЗ. </w:t>
      </w:r>
      <w:r/>
    </w:p>
    <w:p>
      <w:pPr>
        <w:pStyle w:val="850"/>
        <w:jc w:val="both"/>
        <w:spacing w:before="0" w:beforeAutospacing="0" w:after="0" w:afterAutospacing="0" w:line="288" w:lineRule="atLeast"/>
      </w:pPr>
      <w:r>
        <w:t xml:space="preserve">  </w:t>
      </w:r>
      <w:r/>
    </w:p>
    <w:sectPr>
      <w:footnotePr/>
      <w:endnotePr/>
      <w:type w:val="nextPage"/>
      <w:pgSz w:w="11906" w:h="16838" w:orient="portrait"/>
      <w:pgMar w:top="1134" w:right="851" w:bottom="1134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6"/>
    <w:next w:val="84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9">
    <w:name w:val="Heading 1 Char"/>
    <w:basedOn w:val="847"/>
    <w:link w:val="668"/>
    <w:uiPriority w:val="9"/>
    <w:rPr>
      <w:rFonts w:ascii="Arial" w:hAnsi="Arial" w:eastAsia="Arial" w:cs="Arial"/>
      <w:sz w:val="40"/>
      <w:szCs w:val="40"/>
    </w:rPr>
  </w:style>
  <w:style w:type="paragraph" w:styleId="670">
    <w:name w:val="Heading 2"/>
    <w:basedOn w:val="846"/>
    <w:next w:val="846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1">
    <w:name w:val="Heading 2 Char"/>
    <w:basedOn w:val="847"/>
    <w:link w:val="670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6"/>
    <w:next w:val="846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7"/>
    <w:link w:val="672"/>
    <w:uiPriority w:val="9"/>
    <w:rPr>
      <w:rFonts w:ascii="Arial" w:hAnsi="Arial" w:eastAsia="Arial" w:cs="Arial"/>
      <w:sz w:val="30"/>
      <w:szCs w:val="30"/>
    </w:rPr>
  </w:style>
  <w:style w:type="paragraph" w:styleId="674">
    <w:name w:val="Heading 4"/>
    <w:basedOn w:val="846"/>
    <w:next w:val="846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5">
    <w:name w:val="Heading 4 Char"/>
    <w:basedOn w:val="847"/>
    <w:link w:val="67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6"/>
    <w:next w:val="846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7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7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7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7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7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List Paragraph"/>
    <w:basedOn w:val="846"/>
    <w:uiPriority w:val="34"/>
    <w:qFormat/>
    <w:pPr>
      <w:contextualSpacing/>
      <w:ind w:left="720"/>
    </w:p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6"/>
    <w:next w:val="846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7"/>
    <w:link w:val="688"/>
    <w:uiPriority w:val="10"/>
    <w:rPr>
      <w:sz w:val="48"/>
      <w:szCs w:val="48"/>
    </w:rPr>
  </w:style>
  <w:style w:type="paragraph" w:styleId="690">
    <w:name w:val="Subtitle"/>
    <w:basedOn w:val="846"/>
    <w:next w:val="846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basedOn w:val="847"/>
    <w:link w:val="690"/>
    <w:uiPriority w:val="11"/>
    <w:rPr>
      <w:sz w:val="24"/>
      <w:szCs w:val="24"/>
    </w:rPr>
  </w:style>
  <w:style w:type="paragraph" w:styleId="692">
    <w:name w:val="Quote"/>
    <w:basedOn w:val="846"/>
    <w:next w:val="846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6"/>
    <w:next w:val="846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6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basedOn w:val="847"/>
    <w:link w:val="696"/>
    <w:uiPriority w:val="99"/>
  </w:style>
  <w:style w:type="paragraph" w:styleId="698">
    <w:name w:val="Footer"/>
    <w:basedOn w:val="846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basedOn w:val="847"/>
    <w:link w:val="698"/>
    <w:uiPriority w:val="99"/>
  </w:style>
  <w:style w:type="paragraph" w:styleId="700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698"/>
    <w:uiPriority w:val="99"/>
  </w:style>
  <w:style w:type="table" w:styleId="702">
    <w:name w:val="Table Grid"/>
    <w:basedOn w:val="8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Normal (Web)"/>
    <w:basedOn w:val="84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851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oleObject" Target="embeddings/oleObject1.bin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Прокуратура РФ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Гагина Яна Сергеевна</dc:creator>
  <cp:revision>6</cp:revision>
  <dcterms:created xsi:type="dcterms:W3CDTF">2024-12-26T12:47:00Z</dcterms:created>
  <dcterms:modified xsi:type="dcterms:W3CDTF">2025-01-17T07:45:24Z</dcterms:modified>
</cp:coreProperties>
</file>