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15.01.2025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 xml:space="preserve">     № 19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проведении общественных обсуждений (в форме опроса)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9 Федерального закона от 23.11.1995 № 174-ФЗ </w:t>
      </w:r>
      <w:r>
        <w:rPr>
          <w:sz w:val="24"/>
          <w:szCs w:val="24"/>
        </w:rPr>
        <w:br/>
        <w:t xml:space="preserve">«Об экологической экспертизе», статьей 16 Федерального закона от 06.10.2003 № 131-ФЗ «Об общих принципах организации местного самоуправления в Российской Федерации», постановлением </w:t>
      </w:r>
      <w:bookmarkStart w:id="0" w:name="_Hlk157510370"/>
      <w:r>
        <w:rPr>
          <w:sz w:val="24"/>
          <w:szCs w:val="24"/>
        </w:rPr>
        <w:t xml:space="preserve">администрации муниципального образования Печенгский район Мурманской области </w:t>
      </w:r>
      <w:bookmarkEnd w:id="0"/>
      <w:r>
        <w:rPr>
          <w:sz w:val="24"/>
          <w:szCs w:val="24"/>
        </w:rPr>
        <w:t xml:space="preserve">от 18.12.2012 № 1394 «О</w:t>
      </w:r>
      <w:r>
        <w:rPr>
          <w:sz w:val="24"/>
          <w:szCs w:val="24"/>
        </w:rPr>
        <w:t xml:space="preserve">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 образования Печенгский район», на основании заявления </w:t>
      </w:r>
      <w:r>
        <w:rPr>
          <w:sz w:val="24"/>
          <w:szCs w:val="24"/>
        </w:rPr>
        <w:t xml:space="preserve">генерального директора  общества </w:t>
      </w:r>
      <w:r>
        <w:rPr>
          <w:sz w:val="24"/>
          <w:szCs w:val="24"/>
        </w:rPr>
        <w:t xml:space="preserve"> с ограниченной ответственностью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Научно-производственный центр «ЭКОПРОМСЕРТИФИКА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В.М. Шереметьева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26.12.2024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24/26-12/4495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Организовать общественные обсуждения (в форме опроса) объекта государственной экологической экспертизы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«Проекта технической документации проведения испытаний ракетно-космического комплекса 14К256», включая предварительные материалы оценки воздействия на окружающую среду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Заказчик работ:</w:t>
      </w:r>
      <w:bookmarkStart w:id="1" w:name="_Hlk179468569"/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Федеральное государственное унитарное предприятие «Центральный научно-исследовательский институт химии и механики».</w:t>
      </w:r>
      <w:bookmarkEnd w:id="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ind w:firstLine="709"/>
        <w:jc w:val="both"/>
      </w:pPr>
      <w:r>
        <w:t xml:space="preserve">Исполнитель работ по оценке воздействия на окружающую среду: </w:t>
      </w:r>
      <w:r>
        <w:rPr>
          <w:rFonts w:eastAsia="Calibri"/>
          <w:color w:val="auto"/>
        </w:rPr>
        <w:t xml:space="preserve">Общество с ограниченной ответственностью «Научно-производственный центр «ЭКОПРОМСЕРТИФИКА»</w:t>
      </w:r>
      <w:r>
        <w:rPr>
          <w:rFonts w:eastAsia="Calibri"/>
          <w:color w:val="auto"/>
        </w:rPr>
        <w:t xml:space="preserve"> (ООО «НПЦ «ЭКОПРОМСЕРТИФИКА»).</w:t>
      </w:r>
      <w:r/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Наименование планируемой (намечаемой) хозяйственной и иной деятельности: </w:t>
      </w:r>
      <w:r>
        <w:rPr>
          <w:sz w:val="24"/>
          <w:szCs w:val="24"/>
        </w:rPr>
        <w:t xml:space="preserve">проведение испытаний РКК 14К256 на космодроме «Плесецк».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Цель планируемой (намечаемой) хозяйственной и иной деятельности:</w:t>
      </w:r>
      <w:r>
        <w:rPr>
          <w:rFonts w:ascii="Arial" w:hAnsi="Arial" w:eastAsia="Calibri" w:cs="Arial"/>
          <w:color w:val="auto"/>
          <w:sz w:val="24"/>
          <w:szCs w:val="24"/>
        </w:rPr>
        <w:t xml:space="preserve"> </w:t>
      </w:r>
      <w:r>
        <w:rPr>
          <w:rFonts w:eastAsia="Calibri"/>
          <w:color w:val="auto"/>
          <w:sz w:val="24"/>
          <w:szCs w:val="24"/>
          <w:lang w:eastAsia="en-US"/>
        </w:rPr>
        <w:t xml:space="preserve">выведение космических аппаратов посредством космического ракетного комплекса (КРК) «Ангара» с ракетой-носителем (РН) «Ангара-1.2» и модернизированного РКК «Рокот» с модернизированной РКН «Рокот». </w:t>
      </w:r>
      <w:r>
        <w:rPr>
          <w:rFonts w:eastAsia="Calibri"/>
          <w:color w:val="auto"/>
          <w:sz w:val="24"/>
          <w:szCs w:val="24"/>
          <w:lang w:eastAsia="en-US"/>
        </w:rPr>
      </w:r>
      <w:r>
        <w:rPr>
          <w:rFonts w:eastAsia="Calibri"/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Предварительное место реализации планируемой (намечаемой) хозяйственной и иной деятельности: </w:t>
      </w:r>
      <w:r>
        <w:rPr>
          <w:sz w:val="24"/>
          <w:szCs w:val="24"/>
        </w:rPr>
        <w:t xml:space="preserve">Космодром «Плесецк» (1-й Государственный испытательный </w:t>
      </w:r>
      <w:r>
        <w:rPr>
          <w:sz w:val="24"/>
          <w:szCs w:val="24"/>
        </w:rPr>
        <w:t xml:space="preserve">космодром), расположенный в центральной части Архангельской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bCs/>
          <w:sz w:val="24"/>
          <w:szCs w:val="24"/>
        </w:rPr>
      </w:pPr>
      <w:r>
        <w:rPr>
          <w:sz w:val="24"/>
          <w:szCs w:val="24"/>
        </w:rPr>
        <w:t xml:space="preserve">Планируемые сроки проведения оценки воздействия на окружающую среду: </w:t>
      </w:r>
      <w:r>
        <w:rPr>
          <w:bCs/>
          <w:sz w:val="24"/>
          <w:szCs w:val="24"/>
        </w:rPr>
        <w:t xml:space="preserve">июль 2022 г. – январь 2025 г.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Установить продолжительность общественных обсуждений (в форме опроса) с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 по </w:t>
      </w:r>
      <w:r>
        <w:rPr>
          <w:sz w:val="24"/>
          <w:szCs w:val="24"/>
        </w:rPr>
        <w:t xml:space="preserve">18 февраля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 итогам проведения общественных обсуждений составить протокол и разместить </w:t>
      </w:r>
      <w:r>
        <w:rPr>
          <w:color w:val="auto"/>
          <w:sz w:val="24"/>
          <w:szCs w:val="24"/>
        </w:rPr>
        <w:t xml:space="preserve">в сети Интернет </w:t>
      </w:r>
      <w:r>
        <w:rPr>
          <w:sz w:val="24"/>
          <w:szCs w:val="24"/>
        </w:rPr>
        <w:t xml:space="preserve">на официальном сайте </w:t>
      </w:r>
      <w:bookmarkStart w:id="2" w:name="_Hlk157506068"/>
      <w:r>
        <w:rPr>
          <w:sz w:val="24"/>
          <w:szCs w:val="24"/>
        </w:rPr>
        <w:t xml:space="preserve">Печенгского муниципального округа https://pechengamr.gov-murman.ru/ в разделе Главная/Открытая Администрация/Общественные обсуждения (ссылка: https://pechengamr.gov-murman.ru/PublicDiscussion/). </w:t>
      </w:r>
      <w:bookmarkEnd w:id="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Журнал учета замечаний и предложений общественности, протокол общественных обсуждений в форме опроса, опросные листы направить </w:t>
      </w:r>
      <w:r>
        <w:rPr>
          <w:sz w:val="24"/>
          <w:szCs w:val="24"/>
        </w:rPr>
        <w:t xml:space="preserve">ОО</w:t>
      </w:r>
      <w:r>
        <w:rPr>
          <w:sz w:val="24"/>
          <w:szCs w:val="24"/>
        </w:rPr>
        <w:t xml:space="preserve">О «</w:t>
      </w:r>
      <w:r>
        <w:rPr>
          <w:sz w:val="24"/>
          <w:szCs w:val="24"/>
        </w:rPr>
        <w:t xml:space="preserve">НПЦ «ЭКОПРОМСЕРТИФИКА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09240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РФ,</w:t>
      </w:r>
      <w:r>
        <w:rPr>
          <w:sz w:val="24"/>
          <w:szCs w:val="24"/>
        </w:rPr>
        <w:t xml:space="preserve"> г. </w:t>
      </w:r>
      <w:r>
        <w:rPr>
          <w:sz w:val="24"/>
          <w:szCs w:val="24"/>
        </w:rPr>
        <w:t xml:space="preserve">Москва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улица Верхняя Радищевская, д. 4, стр. 3, пом. </w:t>
      </w:r>
      <w:r>
        <w:rPr>
          <w:sz w:val="24"/>
          <w:szCs w:val="24"/>
          <w:lang w:val="en-US"/>
        </w:rPr>
        <w:t xml:space="preserve">III</w:t>
      </w:r>
      <w:r>
        <w:rPr>
          <w:sz w:val="24"/>
          <w:szCs w:val="24"/>
        </w:rPr>
        <w:t xml:space="preserve">, ком. 1И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e-mail: info@npc-eco.ru.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 Утвердить состав комиссии подведения итогов общественных обсуждений (в форме опроса) (далее – комиссия) согласно приложению № 1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 Подведение итогов общественных обсуждений (в форме опроса) поручить комиссии, указанной в пункте 3 настоящего постановления.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 Разместить опросный лист </w:t>
      </w:r>
      <w:r>
        <w:rPr>
          <w:color w:val="auto"/>
          <w:sz w:val="24"/>
          <w:szCs w:val="24"/>
        </w:rPr>
        <w:t xml:space="preserve">в сети Интернет </w:t>
      </w:r>
      <w:r>
        <w:rPr>
          <w:sz w:val="24"/>
          <w:szCs w:val="24"/>
        </w:rPr>
        <w:t xml:space="preserve">на официальном сайте Печенгского муниципального округа </w:t>
      </w:r>
      <w:hyperlink r:id="rId11" w:tooltip="http://www.pechengamr.gov-murman.ru/" w:history="1">
        <w:r>
          <w:rPr>
            <w:rStyle w:val="865"/>
            <w:color w:val="auto"/>
            <w:sz w:val="24"/>
            <w:szCs w:val="24"/>
            <w:u w:val="none"/>
          </w:rPr>
          <w:t xml:space="preserve">http://www.pechengamr.gov-murman.ru/</w:t>
        </w:r>
      </w:hyperlink>
      <w:r>
        <w:rPr>
          <w:color w:val="auto"/>
        </w:rPr>
        <w:t xml:space="preserve"> </w:t>
      </w:r>
      <w:r>
        <w:rPr>
          <w:rStyle w:val="865"/>
          <w:color w:val="auto"/>
          <w:sz w:val="24"/>
          <w:szCs w:val="24"/>
          <w:u w:val="none"/>
        </w:rPr>
        <w:t xml:space="preserve">в разделе Главная/Открытая Администрация/Общественные обсуждения</w:t>
      </w:r>
      <w:r>
        <w:rPr>
          <w:sz w:val="24"/>
          <w:szCs w:val="24"/>
        </w:rPr>
        <w:t xml:space="preserve"> (ссылка: </w:t>
      </w:r>
      <w:hyperlink r:id="rId12" w:tooltip="https://pechengamr.gov-murman.ru/PublicDiscussion/" w:history="1">
        <w:r>
          <w:rPr>
            <w:rStyle w:val="865"/>
            <w:sz w:val="24"/>
            <w:szCs w:val="24"/>
          </w:rPr>
          <w:t xml:space="preserve">https://pechengamr.gov-murman.ru/PublicDiscussion/</w:t>
        </w:r>
      </w:hyperlink>
      <w:r>
        <w:rPr>
          <w:sz w:val="24"/>
          <w:szCs w:val="24"/>
        </w:rPr>
        <w:t xml:space="preserve">) согласно приложению № 2 к настоящему постановлению.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Рекомендовать </w:t>
      </w:r>
      <w:r>
        <w:rPr>
          <w:sz w:val="24"/>
          <w:szCs w:val="24"/>
        </w:rPr>
        <w:t xml:space="preserve">ОО</w:t>
      </w:r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«НПЦ «ЭКОПРОМСЕРТИФИКА»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 не позднее чем за 3 календарных дня до начала проведения об</w:t>
      </w:r>
      <w:r>
        <w:rPr>
          <w:sz w:val="24"/>
          <w:szCs w:val="24"/>
        </w:rPr>
        <w:t xml:space="preserve">щественных обсуждений обеспечить информирование общественности и других участников общественных обсуждений по объекту государственной экологической экспертизы проектной документации, включая предварительные материалы оценки воздействия на окружающую среду: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муниципальном уровне – официальный сайт Печенгского муниципального </w:t>
      </w:r>
      <w:r>
        <w:rPr>
          <w:sz w:val="24"/>
          <w:szCs w:val="24"/>
        </w:rPr>
        <w:t xml:space="preserve">округа </w:t>
      </w:r>
      <w:hyperlink r:id="rId13" w:tooltip="https://pechengamr.gov-murman.ru/" w:history="1">
        <w:r>
          <w:rPr>
            <w:rStyle w:val="865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 в разделе Главная/Открытая Администрация/Общественные обсуждения (ссылка: https://pechengamr.gov-murman.ru/PublicDiscussion/);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- на региональном уровне - </w:t>
      </w:r>
      <w:r>
        <w:rPr>
          <w:color w:val="auto"/>
          <w:sz w:val="24"/>
          <w:szCs w:val="24"/>
        </w:rPr>
        <w:t xml:space="preserve">на официальном сайте территориального органа Росприроднадзора (Балтийско-Арктическое межрегиональное управление Росприроднадзора) </w:t>
      </w:r>
      <w:hyperlink r:id="rId14" w:tooltip="https://rpn.gov.ru/regions/51" w:history="1">
        <w:r>
          <w:rPr>
            <w:rStyle w:val="865"/>
            <w:color w:val="auto"/>
            <w:sz w:val="24"/>
            <w:szCs w:val="24"/>
          </w:rPr>
          <w:t xml:space="preserve">https://rpn.gov.ru/regions/51</w:t>
        </w:r>
      </w:hyperlink>
      <w:r>
        <w:rPr>
          <w:color w:val="auto"/>
          <w:sz w:val="24"/>
          <w:szCs w:val="24"/>
        </w:rPr>
        <w:t xml:space="preserve"> и на официальном сайте органа исполнительной власти соответствующего субъекта Российской Федерации в области охраны окружающей среды Министерства природных ресурсов, экологии и рыбного хозяйства Мурманской области </w:t>
      </w:r>
      <w:r>
        <w:rPr>
          <w:color w:val="auto"/>
          <w:sz w:val="24"/>
          <w:szCs w:val="24"/>
          <w:u w:val="single"/>
        </w:rPr>
        <w:t xml:space="preserve"> </w:t>
      </w:r>
      <w:hyperlink r:id="rId15" w:tooltip="https://mpr.gov-murman.ru/" w:history="1">
        <w:r>
          <w:rPr>
            <w:color w:val="auto"/>
            <w:sz w:val="24"/>
            <w:szCs w:val="24"/>
            <w:u w:val="single"/>
          </w:rPr>
          <w:t xml:space="preserve">https://mpr.gov-murman.ru/</w:t>
        </w:r>
      </w:hyperlink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b/>
          <w:i/>
          <w:color w:val="auto"/>
          <w:sz w:val="24"/>
          <w:szCs w:val="24"/>
        </w:rPr>
      </w:pPr>
      <w:r>
        <w:rPr>
          <w:sz w:val="24"/>
          <w:szCs w:val="24"/>
        </w:rPr>
        <w:t xml:space="preserve">- на федеральном уровне - </w:t>
      </w:r>
      <w:r>
        <w:rPr>
          <w:color w:val="auto"/>
          <w:sz w:val="24"/>
          <w:szCs w:val="24"/>
        </w:rPr>
        <w:t xml:space="preserve">на официальном сайте Росприроднадзора </w:t>
      </w:r>
      <w:r>
        <w:rPr>
          <w:bCs/>
          <w:iCs/>
          <w:color w:val="auto"/>
          <w:sz w:val="24"/>
          <w:szCs w:val="24"/>
          <w:u w:val="single"/>
        </w:rPr>
        <w:t xml:space="preserve">https://rpn.gov.ru.</w:t>
      </w:r>
      <w:r>
        <w:rPr>
          <w:b/>
          <w:i/>
          <w:color w:val="auto"/>
          <w:sz w:val="24"/>
          <w:szCs w:val="24"/>
        </w:rPr>
      </w:r>
      <w:r>
        <w:rPr>
          <w:b/>
          <w:i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на официальном сайте </w:t>
      </w:r>
      <w:r>
        <w:rPr>
          <w:color w:val="auto"/>
          <w:sz w:val="24"/>
          <w:szCs w:val="24"/>
        </w:rPr>
        <w:t xml:space="preserve">заказчика</w:t>
      </w:r>
      <w:r>
        <w:rPr>
          <w:color w:val="auto"/>
          <w:sz w:val="24"/>
          <w:szCs w:val="24"/>
        </w:rPr>
        <w:t xml:space="preserve"> (исполнителя)</w:t>
      </w:r>
      <w:r>
        <w:rPr>
          <w:color w:val="auto"/>
          <w:sz w:val="24"/>
          <w:szCs w:val="24"/>
        </w:rPr>
        <w:t xml:space="preserve"> - </w:t>
      </w:r>
      <w:r>
        <w:rPr>
          <w:color w:val="auto"/>
          <w:sz w:val="24"/>
          <w:szCs w:val="24"/>
        </w:rPr>
        <w:t xml:space="preserve">Общество с ограниченной ответственностью «Научно-производственный центр «ЭКОПРОМСЕРТИФИКА»</w:t>
      </w: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http://www.npc-eco.ru/news-69.html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  <w:highlight w:val="yellow"/>
        </w:rPr>
      </w:r>
      <w:r>
        <w:rPr>
          <w:color w:val="auto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7. Место и сроки доступности объекта общественных обсуждений: ознакомиться с проектной документацией, включая предварительные </w:t>
      </w:r>
      <w:r>
        <w:rPr>
          <w:sz w:val="24"/>
          <w:szCs w:val="24"/>
        </w:rPr>
        <w:t xml:space="preserve">материалы </w:t>
      </w:r>
      <w:r>
        <w:rPr>
          <w:sz w:val="24"/>
          <w:szCs w:val="24"/>
        </w:rPr>
        <w:t xml:space="preserve">оценки воздействия на окружающую среду</w:t>
      </w:r>
      <w:r>
        <w:rPr>
          <w:sz w:val="24"/>
          <w:szCs w:val="24"/>
        </w:rPr>
        <w:t xml:space="preserve">, можно с </w:t>
      </w:r>
      <w:r>
        <w:rPr>
          <w:sz w:val="24"/>
          <w:szCs w:val="24"/>
        </w:rPr>
        <w:t xml:space="preserve">20.01.2025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18.02.2025</w:t>
      </w:r>
      <w:r>
        <w:rPr>
          <w:sz w:val="24"/>
          <w:szCs w:val="24"/>
        </w:rPr>
        <w:t xml:space="preserve">, а</w:t>
      </w:r>
      <w:r>
        <w:rPr>
          <w:sz w:val="24"/>
          <w:szCs w:val="24"/>
        </w:rPr>
        <w:t xml:space="preserve"> также в течение 10 дней после окончания срока общественных обсуждений с </w:t>
      </w:r>
      <w:r>
        <w:rPr>
          <w:sz w:val="24"/>
          <w:szCs w:val="24"/>
        </w:rPr>
        <w:t xml:space="preserve">19.02.2025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28.02.2025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сети Интернет: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официальном сайте Печенгского муниципального округа https://pechengamr.gov-murman.ru, в разделе Главная/Открытая Администрация/Общественные обсуждения (ссылка: https://pechengamr.g</w:t>
      </w:r>
      <w:r>
        <w:rPr>
          <w:sz w:val="24"/>
          <w:szCs w:val="24"/>
        </w:rPr>
        <w:t xml:space="preserve">ov-murman.ru/PublicDiscussion/).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амечания, предложения и комментарии общественности в отношении материалов обсуждений, принимаются администрацией Печенгского муниципального округа Мурманской области в письменном виде с </w:t>
      </w:r>
      <w:r>
        <w:rPr>
          <w:sz w:val="24"/>
          <w:szCs w:val="24"/>
        </w:rPr>
        <w:t xml:space="preserve">20.01.2025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18.02.2025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в течение 10 </w:t>
      </w:r>
      <w:r>
        <w:rPr>
          <w:sz w:val="24"/>
          <w:szCs w:val="24"/>
        </w:rPr>
        <w:t xml:space="preserve">дней после окончания срока общественных обсуждений с </w:t>
      </w:r>
      <w:r>
        <w:rPr>
          <w:sz w:val="24"/>
          <w:szCs w:val="24"/>
        </w:rPr>
        <w:t xml:space="preserve">19.02.2025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28.02.2025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пометкой «К общественным обсуждениям» по следующим адресам: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посредством почтового отправления по адресу: 1844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Мурманская область, </w:t>
      </w:r>
      <w:r>
        <w:rPr>
          <w:sz w:val="24"/>
          <w:szCs w:val="24"/>
        </w:rPr>
        <w:t xml:space="preserve">п. Никель</w:t>
      </w:r>
      <w:r>
        <w:rPr>
          <w:sz w:val="24"/>
          <w:szCs w:val="24"/>
        </w:rPr>
        <w:t xml:space="preserve">, ул. </w:t>
      </w:r>
      <w:r>
        <w:rPr>
          <w:sz w:val="24"/>
          <w:szCs w:val="24"/>
        </w:rPr>
        <w:t xml:space="preserve">Пионерская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электронную почту:</w:t>
      </w:r>
      <w:bookmarkStart w:id="3" w:name="_Hlk157505793"/>
      <w:r>
        <w:rPr>
          <w:sz w:val="24"/>
          <w:szCs w:val="24"/>
        </w:rPr>
        <w:t xml:space="preserve"> </w:t>
      </w:r>
      <w:bookmarkEnd w:id="3"/>
      <w:r>
        <w:fldChar w:fldCharType="begin"/>
      </w:r>
      <w:r>
        <w:instrText xml:space="preserve"> HYPERLINK "mailto:adm_pech@mail.ru" </w:instrText>
      </w:r>
      <w:r>
        <w:fldChar w:fldCharType="separate"/>
      </w:r>
      <w:r>
        <w:rPr>
          <w:rStyle w:val="865"/>
          <w:sz w:val="24"/>
          <w:szCs w:val="24"/>
        </w:rPr>
        <w:t xml:space="preserve">adm_pech@mail.ru</w:t>
      </w:r>
      <w:r>
        <w:rPr>
          <w:rStyle w:val="865"/>
          <w:sz w:val="24"/>
          <w:szCs w:val="24"/>
        </w:rPr>
        <w:fldChar w:fldCharType="end"/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электронную почту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e-mail: info@npc-eco.ru.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9.Форма проведения общественных обсуждений: опрос.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Форма сбора замечаний и предложений – письменная.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Прием опросных листов осуществляется в течение всего срока общественных обсуждений с </w:t>
      </w:r>
      <w:r>
        <w:rPr>
          <w:sz w:val="24"/>
          <w:szCs w:val="24"/>
        </w:rPr>
        <w:t xml:space="preserve">20.01.2025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18.02.2025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бумажном носителе по адресу: </w:t>
      </w:r>
      <w:r>
        <w:rPr>
          <w:sz w:val="24"/>
          <w:szCs w:val="24"/>
        </w:rPr>
        <w:t xml:space="preserve">1844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0, Мурманская область, </w:t>
      </w:r>
      <w:r>
        <w:rPr>
          <w:sz w:val="24"/>
          <w:szCs w:val="24"/>
        </w:rPr>
        <w:t xml:space="preserve">п. Никель</w:t>
      </w:r>
      <w:r>
        <w:rPr>
          <w:sz w:val="24"/>
          <w:szCs w:val="24"/>
        </w:rPr>
        <w:t xml:space="preserve">, ул. </w:t>
      </w:r>
      <w:r>
        <w:rPr>
          <w:sz w:val="24"/>
          <w:szCs w:val="24"/>
        </w:rPr>
        <w:t xml:space="preserve">Пионерская, д. 2 </w:t>
      </w:r>
      <w:r>
        <w:rPr>
          <w:sz w:val="24"/>
          <w:szCs w:val="24"/>
        </w:rPr>
        <w:t xml:space="preserve">(Администрация Печенгского муниципального округа Мурманской области);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 электронном виде по адресу электронной почты: adm_pech@mail.ru. (Администрация Печенгского муниципального округа Мурманской области);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 электронном ви</w:t>
      </w:r>
      <w:r>
        <w:rPr>
          <w:sz w:val="24"/>
          <w:szCs w:val="24"/>
        </w:rPr>
        <w:t xml:space="preserve">де по адресу электронной почты: </w:t>
      </w:r>
      <w:r>
        <w:rPr>
          <w:sz w:val="24"/>
          <w:szCs w:val="24"/>
        </w:rPr>
        <w:t xml:space="preserve">e-mail: info@npc-eco.ru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ОО</w:t>
      </w:r>
      <w:r>
        <w:rPr>
          <w:sz w:val="24"/>
          <w:szCs w:val="24"/>
        </w:rPr>
        <w:t xml:space="preserve">О «</w:t>
      </w:r>
      <w:r>
        <w:rPr>
          <w:sz w:val="24"/>
          <w:szCs w:val="24"/>
        </w:rPr>
        <w:t xml:space="preserve">НПЦ «ЭКОПРОМСЕРТИФИКА</w:t>
      </w:r>
      <w:r>
        <w:rPr>
          <w:sz w:val="24"/>
          <w:szCs w:val="24"/>
        </w:rPr>
        <w:t xml:space="preserve">»).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Замечания, комментарии и предложения общественности также можно оставлять в «Журнале учета замечаний и предложений общественности», который размещен по адресу: </w:t>
      </w:r>
      <w:r>
        <w:rPr>
          <w:sz w:val="24"/>
          <w:szCs w:val="24"/>
        </w:rPr>
        <w:t xml:space="preserve">1844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0, Мурманская область, </w:t>
      </w:r>
      <w:r>
        <w:rPr>
          <w:sz w:val="24"/>
          <w:szCs w:val="24"/>
        </w:rPr>
        <w:t xml:space="preserve">п. Никель,</w:t>
      </w:r>
      <w:r>
        <w:rPr>
          <w:sz w:val="24"/>
          <w:szCs w:val="24"/>
        </w:rPr>
        <w:t xml:space="preserve"> ул. </w:t>
      </w:r>
      <w:r>
        <w:rPr>
          <w:sz w:val="24"/>
          <w:szCs w:val="24"/>
        </w:rPr>
        <w:t xml:space="preserve">Пионерская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д. 2</w:t>
      </w:r>
      <w:r>
        <w:rPr>
          <w:sz w:val="24"/>
          <w:szCs w:val="24"/>
        </w:rPr>
        <w:t xml:space="preserve"> (Администрация Печенгского муниципального округа Мурманской области</w:t>
      </w:r>
      <w:bookmarkStart w:id="4" w:name="_Hlk180401382"/>
      <w:r>
        <w:rPr>
          <w:sz w:val="24"/>
          <w:szCs w:val="24"/>
        </w:rPr>
        <w:t xml:space="preserve">, время работы: понедельник-пятница с 09-00 до 17-00 часов (обед с 13-00 до 14-00, тел. 8 (81554) </w:t>
      </w:r>
      <w:r>
        <w:rPr>
          <w:sz w:val="24"/>
          <w:szCs w:val="24"/>
        </w:rPr>
        <w:t xml:space="preserve">5-07-38</w:t>
      </w:r>
      <w:r>
        <w:rPr>
          <w:sz w:val="24"/>
          <w:szCs w:val="24"/>
        </w:rPr>
        <w:t xml:space="preserve">).</w:t>
      </w:r>
      <w:bookmarkEnd w:id="4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Прием замечаний и предложений общественности осуществляется в течение всего срока общественных обсуждений с </w:t>
      </w:r>
      <w:r>
        <w:rPr>
          <w:sz w:val="24"/>
          <w:szCs w:val="24"/>
        </w:rPr>
        <w:t xml:space="preserve">20.01.2025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18.02.2025</w:t>
      </w:r>
      <w:r>
        <w:rPr>
          <w:sz w:val="24"/>
          <w:szCs w:val="24"/>
        </w:rPr>
        <w:t xml:space="preserve">, а также и в течение 10 дней после окончания срока общественных обсуждений с </w:t>
      </w:r>
      <w:r>
        <w:rPr>
          <w:sz w:val="24"/>
          <w:szCs w:val="24"/>
        </w:rPr>
        <w:t xml:space="preserve">19.02.2025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28.02.2025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10.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11.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12. 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                     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t xml:space="preserve">Щукина Л.Я., 60718</w:t>
      </w:r>
      <w:r>
        <w:rPr>
          <w:highlight w:val="none"/>
        </w:rPr>
      </w:r>
      <w:r>
        <w:rPr>
          <w:highlight w:val="none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15.01.2025 </w:t>
      </w:r>
      <w:r>
        <w:rPr>
          <w:sz w:val="24"/>
          <w:szCs w:val="24"/>
        </w:rPr>
        <w:t xml:space="preserve">№ 19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комиссии по подведению итогов общественных обсуждений (в форме опроса)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277"/>
        <w:gridCol w:w="347"/>
        <w:gridCol w:w="6481"/>
      </w:tblGrid>
      <w:tr>
        <w:tblPrEx/>
        <w:trPr>
          <w:trHeight w:val="782"/>
        </w:trPr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Игоревна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/>
            <w:bookmarkStart w:id="5" w:name="_Hlk157505759"/>
            <w:r>
              <w:rPr>
                <w:sz w:val="24"/>
                <w:szCs w:val="24"/>
              </w:rPr>
              <w:t xml:space="preserve">Заведующий</w:t>
            </w:r>
            <w:r>
              <w:rPr>
                <w:sz w:val="24"/>
                <w:szCs w:val="24"/>
              </w:rPr>
              <w:t xml:space="preserve"> сектор</w:t>
            </w:r>
            <w:r>
              <w:rPr>
                <w:sz w:val="24"/>
                <w:szCs w:val="24"/>
              </w:rPr>
              <w:t xml:space="preserve">ом</w:t>
            </w:r>
            <w:r>
              <w:rPr>
                <w:sz w:val="24"/>
                <w:szCs w:val="24"/>
              </w:rPr>
              <w:t xml:space="preserve"> правовой работы юридического отдела администрации Печенгского муниципального округа, секретарь комиссии;</w:t>
            </w:r>
            <w:bookmarkEnd w:id="5"/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Лаврущик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Жулидова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Натали</w:t>
            </w:r>
            <w:r>
              <w:rPr>
                <w:sz w:val="24"/>
                <w:szCs w:val="24"/>
              </w:rPr>
              <w:t xml:space="preserve">я 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Рязанов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Валерий Игоревич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строительства и ЖКХ администрации Печенгского муниципального округа;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ООО «НПЦ «ЭКОПРОМСЕРТИФИКА»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Долгалев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 Валентинович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экологического мониторинга</w:t>
            </w:r>
            <w:r>
              <w:rPr>
                <w:sz w:val="24"/>
                <w:szCs w:val="24"/>
              </w:rPr>
              <w:t xml:space="preserve"> ООО «НПЦ «ЭКОПРОМСЕРТИФИКА»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Бабоян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Нина Григоровна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Ведущий специалист</w:t>
            </w:r>
            <w:r>
              <w:rPr>
                <w:sz w:val="24"/>
                <w:szCs w:val="24"/>
              </w:rPr>
              <w:t xml:space="preserve"> отдела экологической безопасности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ООО «НПЦ «ЭКОПРОМСЕРТИФИКА»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 xml:space="preserve">     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</w:tr>
    </w:tbl>
    <w:p>
      <w:pPr>
        <w:widowControl w:val="off"/>
        <w:rPr>
          <w:sz w:val="25"/>
          <w:szCs w:val="25"/>
        </w:rPr>
      </w:pPr>
      <w:r>
        <w:rPr>
          <w:sz w:val="25"/>
          <w:szCs w:val="25"/>
        </w:rPr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spacing w:after="200" w:line="276" w:lineRule="auto"/>
        <w:rPr>
          <w:sz w:val="25"/>
          <w:szCs w:val="25"/>
        </w:rPr>
      </w:pPr>
      <w:r>
        <w:rPr>
          <w:sz w:val="25"/>
          <w:szCs w:val="25"/>
        </w:rPr>
        <w:br w:type="page" w:clear="all"/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ind w:left="5529"/>
        <w:jc w:val="both"/>
        <w:widowControl w:val="off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15.01.2025 </w:t>
      </w:r>
      <w:r>
        <w:rPr>
          <w:sz w:val="24"/>
          <w:szCs w:val="24"/>
        </w:rPr>
        <w:t xml:space="preserve">№ 19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Администрация Печенгского муниципального округа Мурманской области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(наименование органа муниципального образования)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hanging="567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Опросный лист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hanging="567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 изучению общественного мнения при проведении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hanging="567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общественных обсуждений «Проекта технической документации проведения испытаний ракетно-космического комплекса 14К256», включая предварительные материалы оценки воздействия на окружающую среду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hanging="567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left="-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Место проведения опроса: 184420, Мурманская область, п. Никель, ул. Пионерская, д. 2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-567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Срок проведения опроса: с 20.01.2025 г. по 18.02.2025 </w:t>
      </w:r>
      <w:r>
        <w:rPr>
          <w:bCs/>
          <w:color w:val="auto"/>
          <w:sz w:val="24"/>
          <w:szCs w:val="24"/>
        </w:rPr>
        <w:t xml:space="preserve">г.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-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Фамилия, имя, отчество (при наличии) 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tabs>
          <w:tab w:val="left" w:pos="935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Место жительства, адрес (название улицы, № дома, № кв.) 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ff0000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Контактный номер телефона, </w:t>
      </w:r>
      <w:r>
        <w:rPr>
          <w:color w:val="auto"/>
          <w:sz w:val="24"/>
          <w:szCs w:val="24"/>
          <w:lang w:val="en-US"/>
        </w:rPr>
        <w:t xml:space="preserve">e</w:t>
      </w: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  <w:lang w:val="en-US"/>
        </w:rPr>
        <w:t xml:space="preserve">mail</w:t>
      </w:r>
      <w:r>
        <w:rPr>
          <w:color w:val="auto"/>
          <w:sz w:val="24"/>
          <w:szCs w:val="24"/>
        </w:rPr>
        <w:t xml:space="preserve"> 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 Наименование организации, адрес, телефон 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(заполняется в случае, если участник опроса представляет общественную организацию)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 Вопросы, выносимые на общественные обсуждения: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5.1. Ознакомились ли Вы с документацией, выносимой на общественные обсуждения?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tabs>
          <w:tab w:val="left" w:pos="159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2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5274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61312;o:allowoverlap:true;o:allowincell:true;mso-position-horizontal-relative:text;margin-left:10.20pt;mso-position-horizontal:absolute;mso-position-vertical-relative:text;margin-top:1.20pt;mso-position-vertical:absolute;width:23.25pt;height:13.50pt;mso-wrap-distance-left:9.00pt;mso-wrap-distance-top:0.00pt;mso-wrap-distance-right:9.00pt;mso-wrap-distance-bottom:0.00pt;visibility:visible;" fillcolor="#FFFFFF" strokecolor="#70AD47" strokeweight="1.00pt">
                <v:stroke dashstyle="solid"/>
              </v:shape>
            </w:pict>
          </mc:Fallback>
        </mc:AlternateContent>
      </w:r>
      <w:r>
        <w:rPr>
          <w:color w:val="auto"/>
          <w:sz w:val="24"/>
          <w:szCs w:val="24"/>
        </w:rPr>
        <w:t xml:space="preserve">А) ДА               Б) НЕТ </w:t>
      </w:r>
      <w:r>
        <w:rPr>
          <w:color w:val="auto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190500"/>
                <wp:effectExtent l="0" t="0" r="0" b="0"/>
                <wp:docPr id="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4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4.00pt;height:15.0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5.2. Считаете ли Вы, что информация о планируемой деятельности представлена в достаточном объеме?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23495</wp:posOffset>
                </wp:positionV>
                <wp:extent cx="295275" cy="171450"/>
                <wp:effectExtent l="0" t="0" r="28575" b="19050"/>
                <wp:wrapNone/>
                <wp:docPr id="4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5274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3" o:spt="1" type="#_x0000_t1" style="position:absolute;z-index:251662336;o:allowoverlap:true;o:allowincell:true;mso-position-horizontal-relative:text;margin-left:10.20pt;mso-position-horizontal:absolute;mso-position-vertical-relative:text;margin-top:1.85pt;mso-position-vertical:absolute;width:23.25pt;height:13.50pt;mso-wrap-distance-left:9.00pt;mso-wrap-distance-top:0.00pt;mso-wrap-distance-right:9.00pt;mso-wrap-distance-bottom:0.00pt;visibility:visible;" fillcolor="#FFFFFF" strokecolor="#70AD47" strokeweight="1.00pt">
                <v:stroke dashstyle="solid"/>
              </v:shape>
            </w:pict>
          </mc:Fallback>
        </mc:AlternateContent>
      </w:r>
      <w:r>
        <w:rPr>
          <w:color w:val="auto"/>
          <w:sz w:val="24"/>
          <w:szCs w:val="24"/>
        </w:rPr>
        <w:t xml:space="preserve">А) ДА  </w:t>
      </w:r>
      <w:r>
        <w:rPr>
          <w:color w:val="auto"/>
          <w:sz w:val="24"/>
          <w:szCs w:val="24"/>
        </w:rPr>
        <w:tab/>
        <w:t xml:space="preserve">     Б) НЕТ </w:t>
      </w:r>
      <w:r>
        <w:rPr>
          <w:color w:val="auto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190500"/>
                <wp:effectExtent l="0" t="0" r="0" b="0"/>
                <wp:docPr id="5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4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24.00pt;height:15.0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5.3. Считаете ли Вы, что представленная документация в полной мере позволяет оценить воздействие на окружающую среду объекта государственной экологической экспертизы?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23495</wp:posOffset>
                </wp:positionV>
                <wp:extent cx="295275" cy="171450"/>
                <wp:effectExtent l="0" t="0" r="28575" b="19050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5274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5" o:spt="1" type="#_x0000_t1" style="position:absolute;z-index:251663360;o:allowoverlap:true;o:allowincell:true;mso-position-horizontal-relative:text;margin-left:10.20pt;mso-position-horizontal:absolute;mso-position-vertical-relative:text;margin-top:1.85pt;mso-position-vertical:absolute;width:23.25pt;height:13.50pt;mso-wrap-distance-left:9.00pt;mso-wrap-distance-top:0.00pt;mso-wrap-distance-right:9.00pt;mso-wrap-distance-bottom:0.00pt;visibility:visible;" fillcolor="#FFFFFF" strokecolor="#70AD47" strokeweight="1.00pt">
                <v:stroke dashstyle="solid"/>
              </v:shape>
            </w:pict>
          </mc:Fallback>
        </mc:AlternateContent>
      </w:r>
      <w:r>
        <w:rPr>
          <w:color w:val="auto"/>
          <w:sz w:val="24"/>
          <w:szCs w:val="24"/>
        </w:rPr>
        <w:t xml:space="preserve">А) ДА  </w:t>
      </w:r>
      <w:r>
        <w:rPr>
          <w:color w:val="auto"/>
          <w:sz w:val="24"/>
          <w:szCs w:val="24"/>
        </w:rPr>
        <w:tab/>
        <w:t xml:space="preserve">     Б) НЕТ </w:t>
      </w:r>
      <w:r>
        <w:rPr>
          <w:color w:val="auto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190500"/>
                <wp:effectExtent l="0" t="0" r="0" b="0"/>
                <wp:docPr id="7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4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24.00pt;height:15.0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5.4. Есть ли у Вас предложения и комментарии к документации, выносимой на общественные обсуждения?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8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5274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7" o:spid="_x0000_s7" o:spt="1" type="#_x0000_t1" style="position:absolute;z-index:251664384;o:allowoverlap:true;o:allowincell:true;mso-position-horizontal-relative:text;margin-left:10.20pt;mso-position-horizontal:absolute;mso-position-vertical-relative:text;margin-top:1.20pt;mso-position-vertical:absolute;width:23.25pt;height:13.50pt;mso-wrap-distance-left:9.00pt;mso-wrap-distance-top:0.00pt;mso-wrap-distance-right:9.00pt;mso-wrap-distance-bottom:0.00pt;visibility:visible;" fillcolor="#FFFFFF" strokecolor="#70AD47" strokeweight="1.00pt">
                <v:stroke dashstyle="solid"/>
              </v:shape>
            </w:pict>
          </mc:Fallback>
        </mc:AlternateContent>
      </w:r>
      <w:r>
        <w:rPr>
          <w:color w:val="auto"/>
          <w:sz w:val="24"/>
          <w:szCs w:val="24"/>
        </w:rPr>
        <w:t xml:space="preserve">А) ДА  </w:t>
      </w:r>
      <w:r>
        <w:rPr>
          <w:color w:val="auto"/>
          <w:sz w:val="24"/>
          <w:szCs w:val="24"/>
        </w:rPr>
        <w:tab/>
        <w:t xml:space="preserve">     Б) НЕТ </w:t>
      </w:r>
      <w:r>
        <w:rPr>
          <w:color w:val="auto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190500"/>
                <wp:effectExtent l="0" t="0" r="0" b="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4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24.00pt;height:15.0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6. Предложения и комментарии к вынесенной на обсуждение документации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(заполняется при ответе «Да» на вопрос № 5.4) 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7. Дата___________ Подпись_________________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-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Участник общественных обсуждений, заполняя настоящий опросный лист, дает свое согласие на включение своих персональных данных в протокол общественных обсуждений в форме опроса и приложений к нему согласно статье 9 Федерального закона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«О персональных данных». Протокол общественных обсуждений в форме опроса и приложения к нему будут включены ООО «НПЦ «ЭКОПРОМСЕРТИФИКА» в документацию, которая будет передана на государственну</w:t>
      </w:r>
      <w:r>
        <w:rPr>
          <w:color w:val="auto"/>
          <w:sz w:val="24"/>
          <w:szCs w:val="24"/>
        </w:rPr>
        <w:t xml:space="preserve">ю экологическую экспертизу. Данное согласие на обработку персональных данных действует бессрочно. Отзыв данного согласия на обработку персональных данных осуществляется в порядке, установленном частью 2 статьи 9 Федерального закона «О персональных данных».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Style w:val="874"/>
        <w:tblW w:w="10060" w:type="dxa"/>
        <w:tblInd w:w="-56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57"/>
        <w:gridCol w:w="5103"/>
      </w:tblGrid>
      <w:tr>
        <w:tblPrEx/>
        <w:trPr>
          <w:trHeight w:val="1343"/>
        </w:trPr>
        <w:tc>
          <w:tcPr>
            <w:tcW w:w="4957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Подпись представителя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ООО «НПЦ «ЭКОПРОМСЕРТИФИКА»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-567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____________________________________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2"/>
                <w:szCs w:val="22"/>
              </w:rPr>
              <w:t xml:space="preserve">(Ф.И.О.)</w:t>
            </w:r>
            <w:r>
              <w:rPr>
                <w:color w:val="auto"/>
                <w:sz w:val="22"/>
                <w:szCs w:val="22"/>
              </w:rPr>
              <w:tab/>
            </w:r>
            <w:r>
              <w:rPr>
                <w:color w:val="auto"/>
                <w:sz w:val="22"/>
                <w:szCs w:val="22"/>
              </w:rPr>
              <w:tab/>
              <w:t xml:space="preserve">(подпись)</w:t>
            </w:r>
            <w:r>
              <w:rPr>
                <w:color w:val="auto"/>
                <w:sz w:val="22"/>
                <w:szCs w:val="22"/>
              </w:rPr>
              <w:tab/>
            </w:r>
            <w:r>
              <w:rPr>
                <w:color w:val="auto"/>
              </w:rPr>
              <w:tab/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Подпись представителя Администрации муниципального образования Печенгский муниципальный округ Мурманской области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____________________________________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(Ф.И.О.)</w:t>
            </w:r>
            <w:r>
              <w:rPr>
                <w:color w:val="auto"/>
                <w:sz w:val="22"/>
                <w:szCs w:val="22"/>
              </w:rPr>
              <w:tab/>
            </w:r>
            <w:r>
              <w:rPr>
                <w:color w:val="auto"/>
                <w:sz w:val="22"/>
                <w:szCs w:val="22"/>
              </w:rPr>
              <w:tab/>
              <w:t xml:space="preserve">(подпись)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</w:tr>
    </w:tbl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8. Порядок заполнения опросного листа: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Строки 1-7 листа заполняются участником опроса. 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hanging="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Применение карандашей при заполнении опросного листа не допускается.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hanging="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В строках 5.1. – 5.4. Поставьте любой знак. 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В строке 6 изложите (при наличии) в свободной форме позицию (замечание, предложение и/или комментарий) по объекту общественного обсуждения.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Листы неустановленного образца, в которых отсутствует следующая информация: фамилия, имя, отчество (при наличии), адрес м</w:t>
      </w:r>
      <w:r>
        <w:rPr>
          <w:i/>
          <w:iCs/>
          <w:color w:val="auto"/>
          <w:sz w:val="24"/>
          <w:szCs w:val="24"/>
        </w:rPr>
        <w:t xml:space="preserve">еста жительства, контактный номер телефона, личная подпись опрашиваемого (за исключением случаев заполнения в дистанционном формате), а также опросные листы, по которым невозможно достоверно установить мнение участников опроса признаются недействительными.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В случае заполнения в дистанционном формате, опросный лист распечатывается опрашиваемым самостоятельно или заполняется в электронной форме и направляется: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- по адресу 184420, Мурманская область, п. Никель, ул. Пионерская, д. 2, т. +7 (81554) 50738.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- в электронной формате на адрес электронной почты - </w:t>
      </w:r>
      <w:hyperlink r:id="rId17" w:tooltip="mailto:info@npc-eco.ru" w:history="1">
        <w:r>
          <w:rPr>
            <w:i/>
            <w:iCs/>
            <w:color w:val="auto"/>
            <w:sz w:val="24"/>
            <w:szCs w:val="24"/>
          </w:rPr>
          <w:t xml:space="preserve">info@npc-eco.ru</w:t>
        </w:r>
      </w:hyperlink>
      <w:r>
        <w:rPr>
          <w:i/>
          <w:iCs/>
          <w:color w:val="auto"/>
          <w:sz w:val="24"/>
          <w:szCs w:val="24"/>
        </w:rPr>
        <w:t xml:space="preserve">, </w:t>
      </w:r>
      <w:hyperlink r:id="rId18" w:tooltip="mailto:adm_pech@mail.ru" w:history="1">
        <w:r>
          <w:rPr>
            <w:rStyle w:val="865"/>
            <w:i/>
            <w:iCs/>
            <w:sz w:val="24"/>
            <w:szCs w:val="24"/>
          </w:rPr>
          <w:t xml:space="preserve">adm_pech@mail.ru</w:t>
        </w:r>
      </w:hyperlink>
      <w:r>
        <w:rPr>
          <w:i/>
          <w:iCs/>
          <w:color w:val="auto"/>
          <w:sz w:val="24"/>
          <w:szCs w:val="24"/>
        </w:rPr>
        <w:t xml:space="preserve">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"/>
      <w:lvlJc w:val="left"/>
      <w:pPr>
        <w:ind w:left="750" w:hanging="39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800" w:hanging="144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3"/>
    <w:link w:val="685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5 Char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71">
    <w:name w:val="Heading 6 Char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72">
    <w:name w:val="Heading 7 Char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8 Char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674">
    <w:name w:val="Heading 9 Char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675">
    <w:name w:val="Title Char"/>
    <w:basedOn w:val="693"/>
    <w:link w:val="706"/>
    <w:uiPriority w:val="10"/>
    <w:rPr>
      <w:sz w:val="48"/>
      <w:szCs w:val="48"/>
    </w:rPr>
  </w:style>
  <w:style w:type="character" w:styleId="676">
    <w:name w:val="Subtitle Char"/>
    <w:basedOn w:val="693"/>
    <w:link w:val="708"/>
    <w:uiPriority w:val="11"/>
    <w:rPr>
      <w:sz w:val="24"/>
      <w:szCs w:val="24"/>
    </w:rPr>
  </w:style>
  <w:style w:type="character" w:styleId="677">
    <w:name w:val="Quote Char"/>
    <w:link w:val="710"/>
    <w:uiPriority w:val="29"/>
    <w:rPr>
      <w:i/>
    </w:rPr>
  </w:style>
  <w:style w:type="character" w:styleId="678">
    <w:name w:val="Intense Quote Char"/>
    <w:link w:val="712"/>
    <w:uiPriority w:val="30"/>
    <w:rPr>
      <w:i/>
    </w:rPr>
  </w:style>
  <w:style w:type="character" w:styleId="679">
    <w:name w:val="Header Char"/>
    <w:basedOn w:val="693"/>
    <w:link w:val="714"/>
    <w:uiPriority w:val="99"/>
  </w:style>
  <w:style w:type="character" w:styleId="680">
    <w:name w:val="Caption Char"/>
    <w:basedOn w:val="718"/>
    <w:link w:val="716"/>
    <w:uiPriority w:val="99"/>
  </w:style>
  <w:style w:type="character" w:styleId="681">
    <w:name w:val="Footnote Text Char"/>
    <w:link w:val="845"/>
    <w:uiPriority w:val="99"/>
    <w:rPr>
      <w:sz w:val="18"/>
    </w:rPr>
  </w:style>
  <w:style w:type="character" w:styleId="682">
    <w:name w:val="Endnote Text Char"/>
    <w:link w:val="848"/>
    <w:uiPriority w:val="99"/>
    <w:rPr>
      <w:sz w:val="20"/>
    </w:rPr>
  </w:style>
  <w:style w:type="paragraph" w:styleId="68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4">
    <w:name w:val="Heading 1"/>
    <w:basedOn w:val="683"/>
    <w:next w:val="683"/>
    <w:link w:val="69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683"/>
    <w:next w:val="683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6">
    <w:name w:val="Heading 3"/>
    <w:basedOn w:val="683"/>
    <w:next w:val="683"/>
    <w:link w:val="69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7">
    <w:name w:val="Heading 4"/>
    <w:basedOn w:val="683"/>
    <w:next w:val="683"/>
    <w:link w:val="862"/>
    <w:qFormat/>
    <w:pPr>
      <w:ind w:firstLine="709"/>
      <w:keepNext/>
      <w:outlineLvl w:val="3"/>
    </w:pPr>
    <w:rPr>
      <w:sz w:val="28"/>
    </w:rPr>
  </w:style>
  <w:style w:type="paragraph" w:styleId="688">
    <w:name w:val="Heading 5"/>
    <w:basedOn w:val="683"/>
    <w:next w:val="683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9">
    <w:name w:val="Heading 6"/>
    <w:basedOn w:val="683"/>
    <w:next w:val="68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683"/>
    <w:next w:val="68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683"/>
    <w:next w:val="683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683"/>
    <w:next w:val="683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Заголовок 1 Знак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Заголовок 2 Знак"/>
    <w:basedOn w:val="693"/>
    <w:link w:val="685"/>
    <w:uiPriority w:val="9"/>
    <w:rPr>
      <w:rFonts w:ascii="Arial" w:hAnsi="Arial" w:eastAsia="Arial" w:cs="Arial"/>
      <w:sz w:val="34"/>
    </w:rPr>
  </w:style>
  <w:style w:type="character" w:styleId="698" w:customStyle="1">
    <w:name w:val="Заголовок 3 Знак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Heading 4 Char"/>
    <w:basedOn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00" w:customStyle="1">
    <w:name w:val="Заголовок 5 Знак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701" w:customStyle="1">
    <w:name w:val="Заголовок 6 Знак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02" w:customStyle="1">
    <w:name w:val="Заголовок 7 Знак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 w:customStyle="1">
    <w:name w:val="Заголовок 8 Знак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Заголовок 9 Знак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No Spacing"/>
    <w:uiPriority w:val="1"/>
    <w:qFormat/>
    <w:pPr>
      <w:spacing w:after="0" w:line="240" w:lineRule="auto"/>
    </w:pPr>
  </w:style>
  <w:style w:type="paragraph" w:styleId="706">
    <w:name w:val="Title"/>
    <w:basedOn w:val="683"/>
    <w:next w:val="683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 w:customStyle="1">
    <w:name w:val="Название Знак"/>
    <w:basedOn w:val="693"/>
    <w:link w:val="706"/>
    <w:uiPriority w:val="10"/>
    <w:rPr>
      <w:sz w:val="48"/>
      <w:szCs w:val="48"/>
    </w:rPr>
  </w:style>
  <w:style w:type="paragraph" w:styleId="708">
    <w:name w:val="Subtitle"/>
    <w:basedOn w:val="683"/>
    <w:next w:val="683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 w:customStyle="1">
    <w:name w:val="Подзаголовок Знак"/>
    <w:basedOn w:val="693"/>
    <w:link w:val="708"/>
    <w:uiPriority w:val="11"/>
    <w:rPr>
      <w:sz w:val="24"/>
      <w:szCs w:val="24"/>
    </w:rPr>
  </w:style>
  <w:style w:type="paragraph" w:styleId="710">
    <w:name w:val="Quote"/>
    <w:basedOn w:val="683"/>
    <w:next w:val="683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3"/>
    <w:next w:val="683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3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3"/>
    <w:link w:val="714"/>
    <w:uiPriority w:val="99"/>
  </w:style>
  <w:style w:type="paragraph" w:styleId="716">
    <w:name w:val="Footer"/>
    <w:basedOn w:val="683"/>
    <w:link w:val="71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3"/>
    <w:uiPriority w:val="99"/>
  </w:style>
  <w:style w:type="paragraph" w:styleId="718">
    <w:name w:val="Caption"/>
    <w:basedOn w:val="683"/>
    <w:next w:val="6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Plain Table 1"/>
    <w:basedOn w:val="69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3"/>
    <w:link w:val="846"/>
    <w:uiPriority w:val="99"/>
    <w:semiHidden/>
    <w:unhideWhenUsed/>
    <w:pPr>
      <w:spacing w:after="40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3"/>
    <w:uiPriority w:val="99"/>
    <w:unhideWhenUsed/>
    <w:rPr>
      <w:vertAlign w:val="superscript"/>
    </w:rPr>
  </w:style>
  <w:style w:type="paragraph" w:styleId="848">
    <w:name w:val="endnote text"/>
    <w:basedOn w:val="683"/>
    <w:link w:val="849"/>
    <w:uiPriority w:val="99"/>
    <w:semiHidden/>
    <w:unhideWhenUsed/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3"/>
    <w:uiPriority w:val="99"/>
    <w:semiHidden/>
    <w:unhideWhenUsed/>
    <w:rPr>
      <w:vertAlign w:val="superscript"/>
    </w:rPr>
  </w:style>
  <w:style w:type="paragraph" w:styleId="851">
    <w:name w:val="toc 1"/>
    <w:basedOn w:val="683"/>
    <w:next w:val="683"/>
    <w:uiPriority w:val="39"/>
    <w:unhideWhenUsed/>
    <w:pPr>
      <w:spacing w:after="57"/>
    </w:pPr>
  </w:style>
  <w:style w:type="paragraph" w:styleId="852">
    <w:name w:val="toc 2"/>
    <w:basedOn w:val="683"/>
    <w:next w:val="683"/>
    <w:uiPriority w:val="39"/>
    <w:unhideWhenUsed/>
    <w:pPr>
      <w:ind w:left="283"/>
      <w:spacing w:after="57"/>
    </w:pPr>
  </w:style>
  <w:style w:type="paragraph" w:styleId="853">
    <w:name w:val="toc 3"/>
    <w:basedOn w:val="683"/>
    <w:next w:val="683"/>
    <w:uiPriority w:val="39"/>
    <w:unhideWhenUsed/>
    <w:pPr>
      <w:ind w:left="567"/>
      <w:spacing w:after="57"/>
    </w:pPr>
  </w:style>
  <w:style w:type="paragraph" w:styleId="854">
    <w:name w:val="toc 4"/>
    <w:basedOn w:val="683"/>
    <w:next w:val="683"/>
    <w:uiPriority w:val="39"/>
    <w:unhideWhenUsed/>
    <w:pPr>
      <w:ind w:left="850"/>
      <w:spacing w:after="57"/>
    </w:pPr>
  </w:style>
  <w:style w:type="paragraph" w:styleId="855">
    <w:name w:val="toc 5"/>
    <w:basedOn w:val="683"/>
    <w:next w:val="683"/>
    <w:uiPriority w:val="39"/>
    <w:unhideWhenUsed/>
    <w:pPr>
      <w:ind w:left="1134"/>
      <w:spacing w:after="57"/>
    </w:pPr>
  </w:style>
  <w:style w:type="paragraph" w:styleId="856">
    <w:name w:val="toc 6"/>
    <w:basedOn w:val="683"/>
    <w:next w:val="683"/>
    <w:uiPriority w:val="39"/>
    <w:unhideWhenUsed/>
    <w:pPr>
      <w:ind w:left="1417"/>
      <w:spacing w:after="57"/>
    </w:pPr>
  </w:style>
  <w:style w:type="paragraph" w:styleId="857">
    <w:name w:val="toc 7"/>
    <w:basedOn w:val="683"/>
    <w:next w:val="683"/>
    <w:uiPriority w:val="39"/>
    <w:unhideWhenUsed/>
    <w:pPr>
      <w:ind w:left="1701"/>
      <w:spacing w:after="57"/>
    </w:pPr>
  </w:style>
  <w:style w:type="paragraph" w:styleId="858">
    <w:name w:val="toc 8"/>
    <w:basedOn w:val="683"/>
    <w:next w:val="683"/>
    <w:uiPriority w:val="39"/>
    <w:unhideWhenUsed/>
    <w:pPr>
      <w:ind w:left="1984"/>
      <w:spacing w:after="57"/>
    </w:pPr>
  </w:style>
  <w:style w:type="paragraph" w:styleId="859">
    <w:name w:val="toc 9"/>
    <w:basedOn w:val="683"/>
    <w:next w:val="683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3"/>
    <w:next w:val="683"/>
    <w:uiPriority w:val="99"/>
    <w:unhideWhenUsed/>
  </w:style>
  <w:style w:type="character" w:styleId="862" w:customStyle="1">
    <w:name w:val="Заголовок 4 Знак"/>
    <w:basedOn w:val="693"/>
    <w:link w:val="68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63">
    <w:name w:val="Table Grid"/>
    <w:basedOn w:val="694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4">
    <w:name w:val="List Paragraph"/>
    <w:basedOn w:val="683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865">
    <w:name w:val="Hyperlink"/>
    <w:basedOn w:val="693"/>
    <w:uiPriority w:val="99"/>
    <w:unhideWhenUsed/>
    <w:rPr>
      <w:color w:val="0000ff" w:themeColor="hyperlink"/>
      <w:u w:val="single"/>
    </w:rPr>
  </w:style>
  <w:style w:type="character" w:styleId="866" w:customStyle="1">
    <w:name w:val="Неразрешенное упоминание1"/>
    <w:basedOn w:val="693"/>
    <w:uiPriority w:val="99"/>
    <w:semiHidden/>
    <w:unhideWhenUsed/>
    <w:rPr>
      <w:color w:val="605e5c"/>
      <w:shd w:val="clear" w:color="auto" w:fill="e1dfdd"/>
    </w:rPr>
  </w:style>
  <w:style w:type="paragraph" w:styleId="867">
    <w:name w:val="Balloon Text"/>
    <w:basedOn w:val="683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basedOn w:val="693"/>
    <w:link w:val="86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69" w:customStyle="1">
    <w:name w:val="Неразрешенное упоминание2"/>
    <w:basedOn w:val="693"/>
    <w:uiPriority w:val="99"/>
    <w:semiHidden/>
    <w:unhideWhenUsed/>
    <w:rPr>
      <w:color w:val="605e5c"/>
      <w:shd w:val="clear" w:color="auto" w:fill="e1dfdd"/>
    </w:rPr>
  </w:style>
  <w:style w:type="character" w:styleId="870" w:customStyle="1">
    <w:name w:val="Неразрешенное упоминание3"/>
    <w:basedOn w:val="693"/>
    <w:uiPriority w:val="99"/>
    <w:semiHidden/>
    <w:unhideWhenUsed/>
    <w:rPr>
      <w:color w:val="605e5c"/>
      <w:shd w:val="clear" w:color="auto" w:fill="e1dfdd"/>
    </w:rPr>
  </w:style>
  <w:style w:type="table" w:styleId="871" w:customStyle="1">
    <w:name w:val="Сетка таблицы1"/>
    <w:basedOn w:val="694"/>
    <w:next w:val="86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72" w:customStyle="1">
    <w:name w:val="Неразрешенное упоминание4"/>
    <w:basedOn w:val="693"/>
    <w:uiPriority w:val="99"/>
    <w:semiHidden/>
    <w:unhideWhenUsed/>
    <w:rPr>
      <w:color w:val="605e5c"/>
      <w:shd w:val="clear" w:color="auto" w:fill="e1dfdd"/>
    </w:rPr>
  </w:style>
  <w:style w:type="paragraph" w:styleId="873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874" w:customStyle="1">
    <w:name w:val="Сетка таблицы2"/>
    <w:basedOn w:val="694"/>
    <w:next w:val="863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pechengamr.gov-murman.ru/" TargetMode="External"/><Relationship Id="rId12" Type="http://schemas.openxmlformats.org/officeDocument/2006/relationships/hyperlink" Target="https://pechengamr.gov-murman.ru/PublicDiscussion/" TargetMode="External"/><Relationship Id="rId13" Type="http://schemas.openxmlformats.org/officeDocument/2006/relationships/hyperlink" Target="https://pechengamr.gov-murman.ru/" TargetMode="External"/><Relationship Id="rId14" Type="http://schemas.openxmlformats.org/officeDocument/2006/relationships/hyperlink" Target="https://rpn.gov.ru/regions/51" TargetMode="External"/><Relationship Id="rId15" Type="http://schemas.openxmlformats.org/officeDocument/2006/relationships/hyperlink" Target="https://mpr.gov-murman.ru/" TargetMode="External"/><Relationship Id="rId16" Type="http://schemas.openxmlformats.org/officeDocument/2006/relationships/image" Target="media/image2.png"/><Relationship Id="rId17" Type="http://schemas.openxmlformats.org/officeDocument/2006/relationships/hyperlink" Target="mailto:info@npc-eco.ru" TargetMode="External"/><Relationship Id="rId18" Type="http://schemas.openxmlformats.org/officeDocument/2006/relationships/hyperlink" Target="mailto:adm_pech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C0084-688D-4880-8D95-50CDA86E6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42</cp:revision>
  <dcterms:created xsi:type="dcterms:W3CDTF">2024-01-30T09:26:00Z</dcterms:created>
  <dcterms:modified xsi:type="dcterms:W3CDTF">2025-01-30T12:12:15Z</dcterms:modified>
</cp:coreProperties>
</file>