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4083074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/>
          <w:b/>
          <w:sz w:val="44"/>
          <w:szCs w:val="44"/>
        </w:rPr>
      </w:r>
      <w:r>
        <w:rPr>
          <w:rFonts w:ascii="Times New Roman" w:hAnsi="Times New Roman"/>
          <w:b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МУРМАНСКОЙ ОБЛАСТИ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</w:r>
      <w:r>
        <w:rPr>
          <w:rFonts w:ascii="Times New Roman" w:hAnsi="Times New Roman"/>
          <w:b/>
          <w:sz w:val="16"/>
          <w:szCs w:val="16"/>
        </w:rPr>
      </w:r>
      <w:r>
        <w:rPr>
          <w:rFonts w:ascii="Times New Roman" w:hAnsi="Times New Roman"/>
          <w:b/>
          <w:sz w:val="16"/>
          <w:szCs w:val="1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/>
          <w:b/>
          <w:sz w:val="44"/>
          <w:szCs w:val="44"/>
        </w:rPr>
      </w:r>
      <w:r>
        <w:rPr>
          <w:rFonts w:ascii="Times New Roman" w:hAnsi="Times New Roman"/>
          <w:b/>
          <w:sz w:val="44"/>
          <w:szCs w:val="4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от</w:t>
      </w:r>
      <w:r>
        <w:rPr>
          <w:rFonts w:ascii="Times New Roman" w:hAnsi="Times New Roman"/>
          <w:b/>
          <w:sz w:val="24"/>
        </w:rPr>
        <w:t xml:space="preserve"> 03.02.2025 </w:t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№ 152</w:t>
      </w: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п.г.т</w:t>
      </w:r>
      <w:r>
        <w:rPr>
          <w:rFonts w:ascii="Times New Roman" w:hAnsi="Times New Roman"/>
          <w:b/>
          <w:sz w:val="24"/>
        </w:rPr>
        <w:t xml:space="preserve">. Никель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5"/>
        <w:jc w:val="center"/>
      </w:pPr>
      <w:r>
        <w:t xml:space="preserve">Об управлении капитальными вложениями, финансовое обеспечение которых осуществляется (планируется осуществлять) за счет средств бюджета Печенгского муниципального округа</w:t>
      </w:r>
      <w:r/>
    </w:p>
    <w:p>
      <w:pPr>
        <w:pStyle w:val="865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spacing w:before="0" w:line="240" w:lineRule="auto"/>
        <w:shd w:val="clear" w:color="auto" w:fill="auto"/>
        <w:widowControl w:val="off"/>
        <w:rPr>
          <w:rFonts w:eastAsia="Times New Roman"/>
          <w:i/>
          <w:sz w:val="24"/>
          <w:szCs w:val="24"/>
        </w:rPr>
      </w:pPr>
      <w:r>
        <w:rPr>
          <w:rFonts w:eastAsia="Times New Roman"/>
          <w:i/>
          <w:sz w:val="24"/>
          <w:szCs w:val="24"/>
        </w:rPr>
      </w:r>
      <w:r>
        <w:rPr>
          <w:rFonts w:eastAsia="Times New Roman"/>
          <w:i/>
          <w:sz w:val="24"/>
          <w:szCs w:val="24"/>
        </w:rPr>
      </w:r>
      <w:r>
        <w:rPr>
          <w:rFonts w:eastAsia="Times New Roman"/>
          <w:i/>
          <w:sz w:val="24"/>
          <w:szCs w:val="24"/>
        </w:rPr>
      </w:r>
    </w:p>
    <w:p>
      <w:pPr>
        <w:pStyle w:val="865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Руководствуясь статьями 78.2, 79 Бюджетного кодекса Российской Федерации, 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59"/>
        <w:ind w:firstLine="709"/>
        <w:spacing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spacing w:before="0" w:after="0" w:line="240" w:lineRule="auto"/>
        <w:shd w:val="clear" w:color="auto" w:fill="auto"/>
        <w:widowControl w:val="off"/>
        <w:rPr>
          <w:b/>
          <w:sz w:val="24"/>
          <w:szCs w:val="24"/>
        </w:rPr>
      </w:pPr>
      <w:r/>
      <w:bookmarkStart w:id="0" w:name="bookmark4"/>
      <w:r>
        <w:rPr>
          <w:b/>
          <w:sz w:val="24"/>
          <w:szCs w:val="24"/>
        </w:rPr>
        <w:t xml:space="preserve">ПОСТАНОВЛЯЮ:</w:t>
      </w:r>
      <w:bookmarkEnd w:id="0"/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2"/>
        <w:spacing w:before="0" w:after="0" w:line="240" w:lineRule="auto"/>
        <w:shd w:val="clear" w:color="auto" w:fill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ab/>
        <w:t xml:space="preserve">Утвердить: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Правила принятия решений об осуществлени</w:t>
      </w:r>
      <w:r>
        <w:rPr>
          <w:sz w:val="24"/>
          <w:szCs w:val="24"/>
        </w:rPr>
        <w:t xml:space="preserve">и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</w:t>
      </w: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 согласно приложению № 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Правила осущ</w:t>
      </w:r>
      <w:r>
        <w:rPr>
          <w:sz w:val="24"/>
          <w:szCs w:val="24"/>
        </w:rPr>
        <w:t xml:space="preserve">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бюджета </w:t>
      </w: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 согласно приложению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  <w:t xml:space="preserve">Установить, что: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внесение изменений в ранее принятые в форме правовых акт</w:t>
      </w:r>
      <w:r>
        <w:rPr>
          <w:sz w:val="24"/>
          <w:szCs w:val="24"/>
        </w:rPr>
        <w:t xml:space="preserve">ов главных распорядителей решения о предоставлении субсидий из бюджета Печенгского муниципального округа на осуществление капитальных вложений в объекты капитального строительства муниципальной собственности Печенгского муниципального округа, не требуется;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внесение изменений в принятое решение об осуществлении за счет средств бюджета Печенгского муниципального округа капитальных вложений не требуется в случае изменения (увеличения) стоимости объекта в связи с увеличением цен</w:t>
      </w:r>
      <w:r>
        <w:rPr>
          <w:sz w:val="24"/>
          <w:szCs w:val="24"/>
        </w:rPr>
        <w:t xml:space="preserve"> на строительные ресурсы и обусловленного им изменения (увеличения) цены контракта, а также изменения общего (предельного) объема капитальных вложений и (или) распределения сметной стоимости объекта по годам реализации инвестиционного проекта, связанного с</w:t>
      </w:r>
      <w:r>
        <w:rPr>
          <w:sz w:val="24"/>
          <w:szCs w:val="24"/>
        </w:rPr>
        <w:t xml:space="preserve"> изменением цены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</w:r>
      <w:r>
        <w:rPr>
          <w:sz w:val="24"/>
          <w:szCs w:val="24"/>
          <w:lang w:eastAsia="ru-RU"/>
        </w:rPr>
        <w:t xml:space="preserve">Признать утратившим</w:t>
      </w:r>
      <w:r>
        <w:rPr>
          <w:sz w:val="24"/>
          <w:szCs w:val="24"/>
          <w:lang w:eastAsia="ru-RU"/>
        </w:rPr>
        <w:t xml:space="preserve">и</w:t>
      </w:r>
      <w:r>
        <w:rPr>
          <w:sz w:val="24"/>
          <w:szCs w:val="24"/>
          <w:lang w:eastAsia="ru-RU"/>
        </w:rPr>
        <w:t xml:space="preserve"> силу: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-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  <w:lang w:eastAsia="ru-RU"/>
        </w:rPr>
        <w:br/>
        <w:t xml:space="preserve">от </w:t>
      </w:r>
      <w:r>
        <w:rPr>
          <w:sz w:val="24"/>
          <w:szCs w:val="24"/>
          <w:lang w:eastAsia="ru-RU"/>
        </w:rPr>
        <w:t xml:space="preserve">23.03.2021 № 216 «</w:t>
      </w:r>
      <w:r>
        <w:rPr>
          <w:color w:val="000000"/>
          <w:spacing w:val="1"/>
          <w:sz w:val="24"/>
          <w:szCs w:val="24"/>
          <w:lang w:eastAsia="ru-RU"/>
        </w:rPr>
        <w:t xml:space="preserve">Об утверждении порядка осуществления капитальных вложений в объекты муниципальной собственности муниципального образования Печенгский муниципальный округ за счет средств бюджета округа</w:t>
      </w:r>
      <w:r>
        <w:rPr>
          <w:sz w:val="24"/>
          <w:szCs w:val="24"/>
          <w:lang w:eastAsia="ru-RU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-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  <w:lang w:eastAsia="ru-RU"/>
        </w:rPr>
        <w:t xml:space="preserve">от 14.04.2021 № 307 «</w:t>
      </w:r>
      <w:r>
        <w:rPr>
          <w:sz w:val="24"/>
          <w:szCs w:val="24"/>
        </w:rPr>
        <w:t xml:space="preserve">Об утверждении правил принятия решений о предоставлении субсидии из бюджета Печенгского муниципально</w:t>
      </w:r>
      <w:r>
        <w:rPr>
          <w:sz w:val="24"/>
          <w:szCs w:val="24"/>
        </w:rPr>
        <w:t xml:space="preserve">го округа на осуществление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</w:t>
      </w:r>
      <w:r>
        <w:rPr>
          <w:sz w:val="24"/>
          <w:szCs w:val="24"/>
          <w:lang w:eastAsia="ru-RU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4.</w:t>
      </w:r>
      <w:r>
        <w:rPr>
          <w:sz w:val="24"/>
          <w:szCs w:val="24"/>
          <w:lang w:eastAsia="ru-RU"/>
        </w:rPr>
        <w:tab/>
      </w:r>
      <w:r>
        <w:rPr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опубликования </w:t>
      </w:r>
      <w:r>
        <w:rPr>
          <w:sz w:val="24"/>
          <w:szCs w:val="24"/>
          <w:lang w:eastAsia="ru-RU"/>
        </w:rPr>
        <w:t xml:space="preserve">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5.</w:t>
      </w:r>
      <w:r>
        <w:rPr>
          <w:sz w:val="24"/>
          <w:szCs w:val="24"/>
          <w:lang w:eastAsia="ru-RU"/>
        </w:rPr>
        <w:tab/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color w:val="0000ff"/>
            <w:sz w:val="24"/>
            <w:szCs w:val="24"/>
            <w:u w:val="single"/>
            <w:lang w:eastAsia="ru-RU"/>
          </w:rPr>
          <w:t xml:space="preserve">https://pechengamr.gov-murman.ru/</w:t>
        </w:r>
      </w:hyperlink>
      <w:r>
        <w:rPr>
          <w:sz w:val="24"/>
          <w:szCs w:val="24"/>
          <w:lang w:eastAsia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pStyle w:val="859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</w:r>
      <w:r>
        <w:rPr>
          <w:rFonts w:ascii="Times New Roman" w:hAnsi="Times New Roman" w:eastAsia="Calibri"/>
          <w:sz w:val="24"/>
          <w:szCs w:val="24"/>
        </w:rPr>
        <w:tab/>
        <w:t xml:space="preserve"> А.В. Кузнецов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/>
          <w:sz w:val="20"/>
          <w:szCs w:val="20"/>
          <w:lang w:eastAsia="ru-RU"/>
        </w:rPr>
        <w:t xml:space="preserve"> О.В.,50270</w:t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 №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03.02.2025 № 152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  <w:outlineLvl w:val="0"/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ПРАВИЛА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принятия решений об осуществлени</w:t>
      </w:r>
      <w:r>
        <w:rPr>
          <w:rFonts w:ascii="Times New Roman" w:hAnsi="Times New Roman"/>
          <w:sz w:val="24"/>
          <w:szCs w:val="24"/>
        </w:rPr>
        <w:t xml:space="preserve">и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widowControl w:val="off"/>
        <w:tabs>
          <w:tab w:val="left" w:pos="2410" w:leader="none"/>
          <w:tab w:val="left" w:pos="3261" w:leader="none"/>
          <w:tab w:val="left" w:pos="4111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  <w:outlineLvl w:val="0"/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Настоящие Правила </w:t>
      </w:r>
      <w:r>
        <w:rPr>
          <w:rFonts w:ascii="Times New Roman" w:hAnsi="Times New Roman"/>
          <w:sz w:val="24"/>
          <w:szCs w:val="24"/>
        </w:rPr>
        <w:t xml:space="preserve">принятия решений об осуществлени</w:t>
      </w:r>
      <w:r>
        <w:rPr>
          <w:rFonts w:ascii="Times New Roman" w:hAnsi="Times New Roman"/>
          <w:sz w:val="24"/>
          <w:szCs w:val="24"/>
        </w:rPr>
        <w:t xml:space="preserve">и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 (далее - Правила)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устанавливают порядок принятия решений об осуществлении за счет средств бюджета Печенгского муниципального округа (далее – бюджет округа) капитальных вложений в целях строительства (реконструкции, в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том числе с э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лементами реставрации, технического перевооружения) (далее - строительство) объектов капитального строительства или приобретения объектов недвижимого имущества на территории Печенгского муниципального округа (далее соответственно - объекты, решения) путем: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  <w:outlineLvl w:val="0"/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осуществления бюджетных инвестиций или предоставления субсидий муниципальным бюджетным, а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втономным учреждениям (далее - 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чреждения), муниципальным унитарным предприятиям, в том числе казенным (далее -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редприятия), на осуществление капитальных вложений в объекты муниципальной собственности в соответствии со </w:t>
      </w:r>
      <w:hyperlink r:id="rId12" w:tooltip="&quot;Бюджетный кодекс Российской Федерации&quot; от 31.07.1998 N 145-ФЗ (ред. от 13.07.2024, с изм. от 30.09.2024) (с изм. и доп., вступ. в силу с 01.09.2024){КонсультантПлюс}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статьями 78.2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и </w:t>
      </w:r>
      <w:hyperlink r:id="rId13" w:tooltip="&quot;Бюджетный кодекс Российской Федерации&quot; от 31.07.1998 N 145-ФЗ (ред. от 13.07.2024, с изм. от 30.09.2024) (с изм. и доп., вступ. в силу с 01.09.2024){КонсультантПлюс}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79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Бюджетного кодекса Российской Федерации, а также в целях подготовки обоснования инвестиций и проведения его технологического и ценового аудита.</w:t>
      </w:r>
      <w:bookmarkStart w:id="1" w:name="Par202"/>
      <w:r/>
      <w:bookmarkEnd w:id="1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  <w:outlineLvl w:val="0"/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Инициатором подготовки проекта решения выступает главный распорядитель средств бюджета округа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(далее – главный распорядитель)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ответственный за реализацию мероприятий муниципальной программы Печенгского муниципального округа (далее – муниципальная программа)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Не допускается при исполнении бюджета округа предоставление субсидии, если в отношении объекта капитального строительства или объекта недвижимого имущества принято решение о подготовке и реализации бюджетных инвестиций, за исключением случая, указанного в </w:t>
      </w:r>
      <w:hyperlink w:tooltip="#P58" w:anchor="P58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абзаце втором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настоящего пункта.</w:t>
      </w:r>
      <w:bookmarkStart w:id="2" w:name="P58"/>
      <w:r/>
      <w:bookmarkEnd w:id="2"/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 исполнении бюджета округа допускается предоставление субсидии в отношении объекта капитального строительства или объекта недвижи</w:t>
      </w:r>
      <w:r>
        <w:rPr>
          <w:rFonts w:ascii="Times New Roman" w:hAnsi="Times New Roman"/>
          <w:sz w:val="24"/>
          <w:szCs w:val="24"/>
          <w:lang w:eastAsia="ru-RU"/>
        </w:rPr>
        <w:t xml:space="preserve">мого имущества, по которым принято решение о подготовке и реализации бюджетных инвестиций, в случае изменения в установленном порядке типа муниципального казенного учреждения, являющегося муниципальным заказчиком при осуществлении бюджетных инвестиций, на </w:t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чреждение или изменения его организационно-правовой формы на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редприятие после внесения соответствующих изменений в указанное решение о</w:t>
      </w:r>
      <w:r>
        <w:rPr>
          <w:rFonts w:ascii="Times New Roman" w:hAnsi="Times New Roman"/>
          <w:sz w:val="24"/>
          <w:szCs w:val="24"/>
          <w:lang w:eastAsia="ru-RU"/>
        </w:rPr>
        <w:t xml:space="preserve"> подготовке и реализации бюджетных инвестиций с внесением изменений в ранее закл</w:t>
      </w:r>
      <w:r>
        <w:rPr>
          <w:rFonts w:ascii="Times New Roman" w:hAnsi="Times New Roman"/>
          <w:sz w:val="24"/>
          <w:szCs w:val="24"/>
          <w:lang w:eastAsia="ru-RU"/>
        </w:rPr>
        <w:t xml:space="preserve">юченные муниципальным казенным 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чреждением муниципальные контракты в части замены стороны договора - муниципа</w:t>
      </w:r>
      <w:r>
        <w:rPr>
          <w:rFonts w:ascii="Times New Roman" w:hAnsi="Times New Roman"/>
          <w:sz w:val="24"/>
          <w:szCs w:val="24"/>
          <w:lang w:eastAsia="ru-RU"/>
        </w:rPr>
        <w:t xml:space="preserve">льного казенного учреждения на 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чреждение,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редприятие и вида договора – муниципального контракта на гражданско-правовой договор </w:t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чреждения,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редприятия.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Принятие решения в отношении объектов капитального строительства или объектов недвижимого имущества, по которым было принят</w:t>
      </w:r>
      <w:r>
        <w:rPr>
          <w:rFonts w:ascii="Times New Roman" w:hAnsi="Times New Roman"/>
          <w:sz w:val="24"/>
          <w:szCs w:val="24"/>
          <w:lang w:eastAsia="ru-RU"/>
        </w:rPr>
        <w:t xml:space="preserve">о решение о подготовке и реализации бюджетных инвестиций, осуществляется после признания этого решения утратившим силу либо путем внесения в него изменений, связанных с изменением формы предоставления бюджетных средств (с бюджетных инвестиций на субсидии).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Отбор объектов капитального строительства либо объектов недвижимого имущества производится с учетом: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приоритетов и целей развития Печенгского муниципального округа исходя из прогнозов и стратегии социально-экономического развития Печенгского муниципального округа, плана мероприятий по реализации данной стратегии, муниципальных программ;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поручений и указаний Президента Российской Федерации, поручений Правительства Российской Федерации, Губернатора Мурманской области, Правительства Мурманской области, </w:t>
      </w:r>
      <w:r>
        <w:rPr>
          <w:rFonts w:ascii="Times New Roman" w:hAnsi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/>
          <w:sz w:val="24"/>
          <w:szCs w:val="24"/>
          <w:lang w:eastAsia="ru-RU"/>
        </w:rPr>
        <w:t xml:space="preserve">лавы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 xml:space="preserve">5.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Бюджетные инвестиции, субсиди</w:t>
      </w:r>
      <w:r>
        <w:rPr>
          <w:rFonts w:ascii="Times New Roman" w:hAnsi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/>
          <w:sz w:val="24"/>
          <w:szCs w:val="24"/>
          <w:lang w:eastAsia="ru-RU"/>
        </w:rPr>
        <w:t xml:space="preserve">, предоставляемые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редприятию </w:t>
      </w:r>
      <w:r>
        <w:rPr>
          <w:rFonts w:ascii="Times New Roman" w:hAnsi="Times New Roman"/>
          <w:sz w:val="24"/>
          <w:szCs w:val="24"/>
          <w:lang w:eastAsia="ru-RU"/>
        </w:rPr>
        <w:t xml:space="preserve">не могут  быть направлены </w:t>
      </w:r>
      <w:r>
        <w:rPr>
          <w:rFonts w:ascii="Times New Roman" w:hAnsi="Times New Roman"/>
          <w:sz w:val="24"/>
          <w:szCs w:val="24"/>
          <w:lang w:eastAsia="ru-RU"/>
        </w:rPr>
        <w:t xml:space="preserve">на</w:t>
      </w:r>
      <w:r>
        <w:rPr>
          <w:rFonts w:ascii="Times New Roman" w:hAnsi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финансовое обеспечение работ (услуг), предшествующих строительству, в том числе на разработку проектной документации на объекты капитального строительства и проведение инженерных изысканий, выполняемых для подготовки такой проектной документации;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проведение технологического и ценового аудита инвестиционных проектов в отношении объектов капитального строительства;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проведение государственной экспертизы проектной документации и результатов инженерных изысканий;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проведение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проверки достоверности определения сметной стоимости объектов капитального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строительства, финансовое обеспечение строительства которых планируется осуществлять с использованием субсидии на капитальные вложения;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tabs>
          <w:tab w:val="left" w:pos="1134" w:leader="none"/>
        </w:tabs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проведение аудита проектной документации.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spacing w:after="0" w:line="240" w:lineRule="atLeas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widowControl w:val="off"/>
        <w:tabs>
          <w:tab w:val="left" w:pos="3119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2. Подготовка проекта решения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tLeast"/>
        <w:widowControl w:val="off"/>
        <w:tabs>
          <w:tab w:val="left" w:pos="3119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Проект решения подготавливается и утверждается в форме распоряжения (приказа) главного распорядителя.</w:t>
      </w:r>
      <w:bookmarkStart w:id="3" w:name="P86"/>
      <w:r/>
      <w:bookmarkEnd w:id="3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Проектом решения могут предусматриваться несколько объектов капитального строительства или объекто</w:t>
      </w:r>
      <w:r>
        <w:rPr>
          <w:rFonts w:ascii="Times New Roman" w:hAnsi="Times New Roman"/>
          <w:sz w:val="24"/>
          <w:szCs w:val="24"/>
          <w:lang w:eastAsia="ru-RU"/>
        </w:rPr>
        <w:t xml:space="preserve">в недвижимого имущества одного 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 (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редприятия), а в случае, если объекты капитального строительства или объекты недвижимого имущества включены в муниципальную программу, - несколько объектов капитального строительства или объектов недвижимого имущества одного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 (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редприятия), строительство или приобретение которых предусмотрено в рамках одного мероприятия муниципальной программы.</w:t>
      </w:r>
      <w:bookmarkStart w:id="4" w:name="P89"/>
      <w:r/>
      <w:bookmarkEnd w:id="4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В решении в отношении каждого объекта предусматриваются: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наименование объекта капитального строительства согласно утвержденной проектной документации (согласно утвержденному заданию на проектирование в случае отсутствия утвержденной проектной документации), наименование объекта недвижимого имущества;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направление инвестирования (строительство, реконструкция, в том числе с элементами реставрации, техническое перевооружение, приобретение);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наименование муниц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ипальной программы (мероприятия)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наименование главного распорядителя;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наименования застройщика, заказчика;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мощность (прирост мощности) объекта;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год ввода в эксплуатацию, приобретения объекта;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сметная стоимость объекта капитального строительства (при наличии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утвержденной проектной д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окументации) или предполагаемая (предельная) стоимость объекта капитального строительства и (или) стоимость приобретения объекта недвижимого имущества согласно паспорту инвестиционного проекта в ценах соответствующих лет реализации инвестиционного проекта;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общий объем средств бюджета округа на весь срок реализации инвестиционного проекта;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распределение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по годам общего объема средств бюджета округа на реализацию инвестиционного проекта с указанием в отношении объекта капитального строительства объема средств на разработку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проектной документации (если на разработку проектной документации предусматриваются средства бюджета округа);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объем иных, кроме бюджета округа, источников финансового обеспечения на реализацию инвестиционного проекта.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2.4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Проект решения направляется главным распорядителем одновременно с предложениями о планируемых объемах бюджетных ассигнований на очередной финансовый год и на плановый период на расс</w:t>
      </w:r>
      <w:r>
        <w:rPr>
          <w:rFonts w:ascii="Times New Roman" w:hAnsi="Times New Roman"/>
          <w:sz w:val="24"/>
          <w:szCs w:val="24"/>
          <w:lang w:eastAsia="ru-RU"/>
        </w:rPr>
        <w:t xml:space="preserve">мотрение в финансовое управление администрации Печенгского муниципального округа (далее – финансовое управление) в сроки, установленные постановлением администрации Печенгского муниципального округа, регулирующим порядок составления проекта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Для принятия решения в отношении каждого объекта в зависимости от его типа (объе</w:t>
      </w:r>
      <w:r>
        <w:rPr>
          <w:rFonts w:ascii="Times New Roman" w:hAnsi="Times New Roman"/>
          <w:sz w:val="24"/>
          <w:szCs w:val="24"/>
          <w:lang w:eastAsia="ru-RU"/>
        </w:rPr>
        <w:t xml:space="preserve">кт стр</w:t>
      </w:r>
      <w:r>
        <w:rPr>
          <w:rFonts w:ascii="Times New Roman" w:hAnsi="Times New Roman"/>
          <w:sz w:val="24"/>
          <w:szCs w:val="24"/>
          <w:lang w:eastAsia="ru-RU"/>
        </w:rPr>
        <w:t xml:space="preserve">оительства, объект недвижимого имущества) главный распорядитель представляет информацию по форме приложения к настоящим Правилам и следующие документы (сведения):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паспорт инвестиционного проекта;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техническое задание на проектирование, предусмотренное частью 12.4 статьи 48 Градостроительного кодекса Российской Федерации, или проект указанного задания с указанием предполагаемой (предельной) сметной стоимости объекта;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документ об утверждении проектной документации на объект капитального строительства</w:t>
      </w:r>
      <w:r>
        <w:rPr>
          <w:rFonts w:ascii="Times New Roman" w:hAnsi="Times New Roman"/>
          <w:sz w:val="24"/>
          <w:szCs w:val="24"/>
          <w:lang w:eastAsia="ru-RU"/>
        </w:rPr>
        <w:t xml:space="preserve"> (при наличии</w:t>
      </w:r>
      <w:r>
        <w:rPr>
          <w:rFonts w:ascii="Times New Roman" w:hAnsi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положительное заключение государственной экспертизы проектной д</w:t>
      </w:r>
      <w:r>
        <w:rPr>
          <w:rFonts w:ascii="Times New Roman" w:hAnsi="Times New Roman"/>
          <w:sz w:val="24"/>
          <w:szCs w:val="24"/>
          <w:lang w:eastAsia="ru-RU"/>
        </w:rPr>
        <w:t xml:space="preserve">окументации, содержащее оценку достоверности определения сметной стоимости строительства объекта, и положительное заключение государственной экспертизы результатов инженерных изысканий, выполненных для подготовки такой проектной документации (при наличии);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отчет об оценке приобретаемого объекта, составленный оценщиком (оценщиками) в соответствии с требованиями Федерального закона «Об оценочной деятельности в Российской Федерации»;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копии правоустанавливающих документов на земельный участок, а в случае их отсутствия – копия решения о предварительном согласовании места размещения объекта капитального строительства.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2.5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В отношении объектов, по которым планируется техническое перевооружение, не предусматривающее выполнение работ по строительству, вместо</w:t>
      </w:r>
      <w:r>
        <w:rPr>
          <w:rFonts w:ascii="Times New Roman" w:hAnsi="Times New Roman"/>
          <w:sz w:val="24"/>
          <w:szCs w:val="24"/>
          <w:lang w:eastAsia="ru-RU"/>
        </w:rPr>
        <w:t xml:space="preserve"> документов, предусмотренных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пунктами 2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>
        <w:rPr>
          <w:rFonts w:ascii="Times New Roman" w:hAnsi="Times New Roman"/>
          <w:sz w:val="24"/>
          <w:szCs w:val="24"/>
          <w:lang w:eastAsia="ru-RU"/>
        </w:rPr>
        <w:t xml:space="preserve">подраздела 2.4 раздела 2</w:t>
      </w:r>
      <w:r>
        <w:rPr>
          <w:rFonts w:ascii="Times New Roman" w:hAnsi="Times New Roman"/>
          <w:sz w:val="24"/>
          <w:szCs w:val="24"/>
          <w:lang w:eastAsia="ru-RU"/>
        </w:rPr>
        <w:t xml:space="preserve"> настоящих Правил требуются следующие документы: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заключение об отсутствии работ по строительству объекта, подготовленное специалистом по организации архитектурно-строительного проектирования;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информация о це</w:t>
      </w:r>
      <w:r>
        <w:rPr>
          <w:rFonts w:ascii="Times New Roman" w:hAnsi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/>
          <w:sz w:val="24"/>
          <w:szCs w:val="24"/>
          <w:lang w:eastAsia="ru-RU"/>
        </w:rPr>
        <w:t xml:space="preserve">ах товаров, работ, услуг для обеспечения государственных и муниципальных нужд, которая может быть использована для целей определения начальной (макс</w:t>
      </w:r>
      <w:r>
        <w:rPr>
          <w:rFonts w:ascii="Times New Roman" w:hAnsi="Times New Roman"/>
          <w:sz w:val="24"/>
          <w:szCs w:val="24"/>
          <w:lang w:eastAsia="ru-RU"/>
        </w:rPr>
        <w:t xml:space="preserve">имальной) цены контракта по объекту вне зависимости от способа заключения такого контракта, или иная информация, используемая заказчиком для определения начальной (максимальной) цены контракта, отличными от метода сопоставимых рыночных цен (анализа рынка).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2.6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В отношении объекта, по которому планируются подготовка обоснования </w:t>
      </w:r>
      <w:r>
        <w:rPr>
          <w:rFonts w:ascii="Times New Roman" w:hAnsi="Times New Roman"/>
          <w:sz w:val="24"/>
          <w:szCs w:val="24"/>
          <w:lang w:eastAsia="ru-RU"/>
        </w:rPr>
        <w:t xml:space="preserve">инвестиций и проведение его технологического и ценового аудита, вместо документов, предусмотренных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в подразделе 2.4 раздела 2</w:t>
      </w:r>
      <w:r>
        <w:rPr>
          <w:rFonts w:ascii="Times New Roman" w:hAnsi="Times New Roman"/>
          <w:sz w:val="24"/>
          <w:szCs w:val="24"/>
          <w:lang w:eastAsia="ru-RU"/>
        </w:rPr>
        <w:t xml:space="preserve"> настоящих Правил, требуется тест-паспорт, </w:t>
      </w:r>
      <w:r>
        <w:rPr>
          <w:rFonts w:ascii="Times New Roman" w:hAnsi="Times New Roman"/>
          <w:sz w:val="24"/>
          <w:szCs w:val="24"/>
          <w:lang w:eastAsia="ru-RU"/>
        </w:rPr>
        <w:t xml:space="preserve">по форме, утвержденной Министерством строительства и жилищно-коммунального хозяйства Российской Федерации, </w:t>
      </w:r>
      <w:r>
        <w:rPr>
          <w:rFonts w:ascii="Times New Roman" w:hAnsi="Times New Roman"/>
          <w:sz w:val="24"/>
          <w:szCs w:val="24"/>
          <w:lang w:eastAsia="ru-RU"/>
        </w:rPr>
        <w:t xml:space="preserve">содержащий краткую характеристику объекта, а также обоснование невозможности подготовки обоснования инвестиций и проведения его технологического и ценового аудита без предоставления средств из</w:t>
      </w:r>
      <w:r>
        <w:rPr>
          <w:rFonts w:ascii="Times New Roman" w:hAnsi="Times New Roman"/>
          <w:sz w:val="24"/>
          <w:szCs w:val="24"/>
          <w:lang w:eastAsia="ru-RU"/>
        </w:rPr>
        <w:t xml:space="preserve"> бюджета округа.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2.7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Проект решения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направляется главным распорядителем </w:t>
      </w:r>
      <w:r>
        <w:rPr>
          <w:rFonts w:ascii="Times New Roman" w:hAnsi="Times New Roman"/>
          <w:sz w:val="24"/>
          <w:szCs w:val="24"/>
          <w:lang w:eastAsia="ru-RU"/>
        </w:rPr>
        <w:t xml:space="preserve">в финансовое управление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одновременно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 предложениями о внесении изменений в бюджет округа на текущий финансовый год</w:t>
      </w:r>
      <w:r>
        <w:rPr>
          <w:rFonts w:ascii="Times New Roman" w:hAnsi="Times New Roman"/>
          <w:sz w:val="24"/>
          <w:szCs w:val="24"/>
          <w:lang w:eastAsia="ru-RU"/>
        </w:rPr>
        <w:t xml:space="preserve"> и на плановы</w:t>
      </w:r>
      <w:r>
        <w:rPr>
          <w:rFonts w:ascii="Times New Roman" w:hAnsi="Times New Roman"/>
          <w:sz w:val="24"/>
          <w:szCs w:val="24"/>
          <w:lang w:eastAsia="ru-RU"/>
        </w:rPr>
        <w:t xml:space="preserve">й период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Финансовое управление рассматривает</w:t>
      </w:r>
      <w:r>
        <w:rPr>
          <w:rFonts w:ascii="Times New Roman" w:hAnsi="Times New Roman"/>
          <w:sz w:val="24"/>
          <w:szCs w:val="24"/>
          <w:lang w:eastAsia="ru-RU"/>
        </w:rPr>
        <w:t xml:space="preserve"> проект решения в ходе исполнения бюджета округа при наличии соответствующих источников дополнительных поступлений в бюджет округа и (или) при сокращении бюджетных ассигнований по отдельным статьям расходов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2.8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Внесение изменений в решение осуществляется в порядке, установленном настоящими Правилами для его принятия, в следующих обязательных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включение в решение нового объекта;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исключение объекта из решения.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Внесение изменений в решение не требуется в следующих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увеличение в текущем финансовом году бюджетных ассигнований на </w:t>
      </w:r>
      <w:r>
        <w:rPr>
          <w:rFonts w:ascii="Times New Roman" w:hAnsi="Times New Roman"/>
          <w:sz w:val="24"/>
          <w:szCs w:val="24"/>
          <w:lang w:eastAsia="ru-RU"/>
        </w:rPr>
        <w:t xml:space="preserve">осуществление</w:t>
      </w:r>
      <w:r>
        <w:rPr>
          <w:rFonts w:ascii="Times New Roman" w:hAnsi="Times New Roman"/>
          <w:sz w:val="24"/>
          <w:szCs w:val="24"/>
          <w:lang w:eastAsia="ru-RU"/>
        </w:rPr>
        <w:t xml:space="preserve"> капитальных вложений в размере, не превышающем остатка не исполненных на 1 января текущего финансового года соответствующих бюджетных обязательств, по основаниям, установленным бюджетным законодательством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предоставление бюджетных ассигнований резервного фонда Правительства Российской Федерации, П</w:t>
      </w:r>
      <w:r>
        <w:rPr>
          <w:rFonts w:ascii="Times New Roman" w:hAnsi="Times New Roman"/>
          <w:sz w:val="24"/>
          <w:szCs w:val="24"/>
          <w:lang w:eastAsia="ru-RU"/>
        </w:rPr>
        <w:t xml:space="preserve">равительства Мурманской области или бюджетных ассигнований, иным образом зарезервированных в федеральном законе о федеральном бюджете, законе Мурманской области об областном бюджете, в целях строительства, приобретения объекта, по которому принято решение.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2.9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Объекты капитального строительства или объекты недвижимого имуще</w:t>
      </w:r>
      <w:r>
        <w:rPr>
          <w:rFonts w:ascii="Times New Roman" w:hAnsi="Times New Roman"/>
          <w:sz w:val="24"/>
          <w:szCs w:val="24"/>
          <w:lang w:eastAsia="ru-RU"/>
        </w:rPr>
        <w:t xml:space="preserve">ства подлежат включению в муниципальные программы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 Правилам </w:t>
      </w:r>
      <w:r>
        <w:rPr>
          <w:rFonts w:ascii="Times New Roman" w:hAnsi="Times New Roman"/>
          <w:sz w:val="24"/>
          <w:szCs w:val="24"/>
        </w:rPr>
        <w:t xml:space="preserve">принятия решений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ФОРМА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b/>
          <w:sz w:val="24"/>
          <w:szCs w:val="24"/>
        </w:rPr>
        <w:outlineLvl w:val="0"/>
      </w:pPr>
      <w:r>
        <w:rPr>
          <w:rFonts w:ascii="Times New Roman" w:hAnsi="Times New Roman"/>
          <w:b/>
          <w:sz w:val="24"/>
          <w:szCs w:val="24"/>
        </w:rPr>
        <w:t xml:space="preserve">ИНФОРМАЦИЯ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по строительству (реконструкции) объекта капитального строительства,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приобретению объекта недвижимого имущества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(необходимое указать)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72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4785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Наименование инвестиционного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Главный распорядитель средств бюджета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Наименование ГРБС, код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Заказчик инвестиционного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Сведения о земельном участке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Местоположение земельного участка (адрес, площадь), кадастровый номер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Наименование муниципальной программы, в рамках которой планируется реализация инвестиционного проекта, мероприятие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Реквизиты и наименование постановления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Код муниципальной программы, подпрограммы,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Форма осуществления капитальных вложений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(бюджетные инвестиции/ субсидии)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Направление инвестирования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(строительство/реконструкция, в том числе с элементами реставрации/ техническое перевооружение/ приобретение)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Цель инвестиционного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Ожидаемый (непосредственный) результат с указанием количественных показателей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Проектная мощность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Стоимость инвестиционного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Рублей (</w:t>
            </w:r>
            <w:r>
              <w:rPr>
                <w:rFonts w:ascii="Times New Roman" w:hAnsi="Times New Roman"/>
              </w:rPr>
              <w:t xml:space="preserve">оценочная</w:t>
            </w:r>
            <w:r>
              <w:rPr>
                <w:rFonts w:ascii="Times New Roman" w:hAnsi="Times New Roman"/>
              </w:rPr>
              <w:t xml:space="preserve">, сметная при наличии, необходимое указать)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Срок реализации инвестиционного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Разработка ПСД: _____________ годы.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Строительно-монтажные работы: _____годы.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Приобретение:______ годы.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Наличие проектной документации, степень её готовности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(отсутствует, разрабатывается, имеется в полном объеме)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</w:rPr>
              <w:t xml:space="preserve">При наличии положительного заключения государственной экспертизы проектной документации и результатов инженерных изысканий/положительного заключения государственной экспертизы проектной документации в части проверки </w:t>
            </w:r>
            <w:r>
              <w:rPr>
                <w:rFonts w:ascii="Times New Roman" w:hAnsi="Times New Roman"/>
              </w:rPr>
              <w:t xml:space="preserve">достоверности определения сметной стоимости объекта капитального строительства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Главн</w:t>
      </w:r>
      <w:r>
        <w:rPr>
          <w:rFonts w:ascii="Times New Roman" w:hAnsi="Times New Roman"/>
          <w:sz w:val="24"/>
          <w:szCs w:val="24"/>
          <w:lang w:eastAsia="ru-RU"/>
        </w:rPr>
        <w:t xml:space="preserve">ый </w:t>
      </w:r>
      <w:r>
        <w:rPr>
          <w:rFonts w:ascii="Times New Roman" w:hAnsi="Times New Roman"/>
          <w:sz w:val="24"/>
          <w:szCs w:val="24"/>
          <w:lang w:eastAsia="ru-RU"/>
        </w:rPr>
        <w:t xml:space="preserve">распорядител</w:t>
      </w:r>
      <w:r>
        <w:rPr>
          <w:rFonts w:ascii="Times New Roman" w:hAnsi="Times New Roman"/>
          <w:sz w:val="24"/>
          <w:szCs w:val="24"/>
          <w:lang w:eastAsia="ru-RU"/>
        </w:rPr>
        <w:t xml:space="preserve">ь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средств бюджета округа                                   _______________             ФИО (расшифровка)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Исполнитель                                                       _______________            ФИО (расшифровка)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Приложение №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03.02.2025  №  152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245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  <w:outlineLvl w:val="0"/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ПРАВИЛА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осу</w:t>
      </w:r>
      <w:r>
        <w:rPr>
          <w:rFonts w:ascii="Times New Roman" w:hAnsi="Times New Roman"/>
          <w:sz w:val="24"/>
          <w:szCs w:val="24"/>
        </w:rPr>
        <w:t xml:space="preserve">ществления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бюджета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</w:t>
      </w:r>
      <w:r>
        <w:rPr>
          <w:rFonts w:ascii="Times New Roman" w:hAnsi="Times New Roman"/>
          <w:sz w:val="24"/>
          <w:szCs w:val="24"/>
        </w:rPr>
        <w:t xml:space="preserve">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tLeast"/>
        <w:widowControl w:val="off"/>
        <w:tabs>
          <w:tab w:val="left" w:pos="2410" w:leader="none"/>
          <w:tab w:val="left" w:pos="3261" w:leader="none"/>
          <w:tab w:val="left" w:pos="4111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tLeast"/>
        <w:widowControl w:val="off"/>
        <w:tabs>
          <w:tab w:val="left" w:pos="2410" w:leader="none"/>
          <w:tab w:val="left" w:pos="3261" w:leader="none"/>
          <w:tab w:val="left" w:pos="4111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Настоящие правила осуществлени</w:t>
      </w:r>
      <w:r>
        <w:rPr>
          <w:rFonts w:ascii="Times New Roman" w:hAnsi="Times New Roman"/>
          <w:sz w:val="24"/>
          <w:szCs w:val="24"/>
          <w:lang w:eastAsia="ru-RU"/>
        </w:rPr>
        <w:t xml:space="preserve">я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</w:t>
      </w:r>
      <w:r>
        <w:rPr>
          <w:rFonts w:ascii="Times New Roman" w:hAnsi="Times New Roman"/>
          <w:sz w:val="24"/>
          <w:szCs w:val="24"/>
          <w:lang w:eastAsia="ru-RU"/>
        </w:rPr>
        <w:t xml:space="preserve">Печенгского муниципального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округа </w:t>
      </w:r>
      <w:bookmarkStart w:id="5" w:name="P44"/>
      <w:r/>
      <w:bookmarkEnd w:id="5"/>
      <w:r>
        <w:rPr>
          <w:rFonts w:ascii="Times New Roman" w:hAnsi="Times New Roman"/>
          <w:sz w:val="24"/>
          <w:szCs w:val="24"/>
          <w:lang w:eastAsia="ru-RU"/>
        </w:rPr>
        <w:t xml:space="preserve">(далее – Правила) устанавливают порядок осуществления за счет средств бюджета Печенгского муниципального округа (далее – бюджет округа) капитальных вложений в целях строительства (реконструкции, в том числе с элементами реставрации, технического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перевооружения) (далее – строительство) объектов капитального строительства или приобретени</w:t>
      </w:r>
      <w:r>
        <w:rPr>
          <w:rFonts w:ascii="Times New Roman" w:hAnsi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/>
          <w:sz w:val="24"/>
          <w:szCs w:val="24"/>
          <w:lang w:eastAsia="ru-RU"/>
        </w:rPr>
        <w:t xml:space="preserve"> объектов недвижимого имущества на территории Печенгского муниципального округа (далее - решения) путем: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</w:t>
      </w:r>
      <w:r>
        <w:rPr>
          <w:rFonts w:ascii="Times New Roman" w:hAnsi="Times New Roman"/>
          <w:sz w:val="24"/>
          <w:szCs w:val="24"/>
          <w:lang w:eastAsia="ru-RU"/>
        </w:rPr>
        <w:t xml:space="preserve">существления бюджетных инвестиций </w:t>
      </w:r>
      <w:r>
        <w:rPr>
          <w:rFonts w:ascii="Times New Roman" w:hAnsi="Times New Roman"/>
          <w:sz w:val="24"/>
          <w:szCs w:val="24"/>
          <w:lang w:eastAsia="ru-RU"/>
        </w:rPr>
        <w:t xml:space="preserve">или</w:t>
      </w:r>
      <w:r>
        <w:rPr>
          <w:rFonts w:ascii="Times New Roman" w:hAnsi="Times New Roman"/>
          <w:sz w:val="24"/>
          <w:szCs w:val="24"/>
          <w:lang w:eastAsia="ru-RU"/>
        </w:rPr>
        <w:t xml:space="preserve"> предоставлени</w:t>
      </w:r>
      <w:r>
        <w:rPr>
          <w:rFonts w:ascii="Times New Roman" w:hAnsi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/>
          <w:sz w:val="24"/>
          <w:szCs w:val="24"/>
          <w:lang w:eastAsia="ru-RU"/>
        </w:rPr>
        <w:t xml:space="preserve"> субсидий муниципальным бюджетным, автономным учреждениям (далее – </w:t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чреждения), муниципальным унитарным предприятиям, в том числе казенным (далее –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редприятия), 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осуществление капитальных вложений в объекты муниципальной собственности в соответствии со статьями 78.2 и 79 Бюджетного кодекса Российской Федерации, а также в целях подготовки обоснования инвестиций и проведение его технологического и ценового аудита.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Предоставление указанных в </w:t>
      </w:r>
      <w:hyperlink w:tooltip="1. Настоящие Правила устанавливают порядок осуществления за счет средств федерального бюджета капитальных вложений в целях строительства (реконструкции, в том числе с элементами реставрации, технического перевооружения) (далее - строительство) объектов капитал" w:anchor="Par339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подразделе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 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1.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1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настоящих Правил бюджетных инвестиций и субсидий на капитальные вложения (далее соответственно - бюджетные инвестиции, субсидии) осуществляется в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пределах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доведенных в установленном порядке до получателей средств бюджета округа на соответствующие цели лимитов бюджетных обязательств.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Объем предоставляемы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бюджетных инвестиций и субсидий должен соответствовать объему бюджетных ассигнований, предусмотренному на соответствующие цели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в муниципальной программе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Печенгского муниципального округа (далее – муниципальная программа).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Предоставление бюджетных инвестиций и субсидий осуществляется на основании принятых в установленном порядке решений об осуществлении капитальных вложений (далее - решения о капитальных вложениях).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Информация о сроках и об объемах оплаты по муниципальным контрактам, заключенным в целях строительства или приобретения объектов </w:t>
      </w:r>
      <w:r>
        <w:rPr>
          <w:rFonts w:ascii="Times New Roman" w:hAnsi="Times New Roman"/>
          <w:sz w:val="24"/>
          <w:szCs w:val="24"/>
          <w:lang w:eastAsia="ru-RU"/>
        </w:rPr>
        <w:t xml:space="preserve">недвижимого имущества </w:t>
      </w: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муниципальной собственности, а также о сроках и об объемах перечисления субсидий на капитальные вложения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чреждениям,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редприятиям учитывается при формировании прогноза кассовых выплат из бюджета округа, необходимого для составления в установленном порядке кассового плана исполнения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tLeast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spacing w:after="0" w:line="240" w:lineRule="atLeast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spacing w:after="0" w:line="240" w:lineRule="atLeast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center"/>
        <w:spacing w:after="0" w:line="240" w:lineRule="atLeast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2. Осуществление бюджетных инвестиций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tLeas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Бюджетные инвестиции осуществляются путем заключения и исполнения от имени Печенгского муниципального округа муниципальных контрактов на выполнение проектных и (или) изыскательских работ, строительство, приобретение объектов: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а)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муниципальными заказчиками, являющимися получателями средств бюджета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б)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sz w:val="24"/>
          <w:szCs w:val="24"/>
          <w:lang w:eastAsia="ru-RU"/>
        </w:rPr>
        <w:t xml:space="preserve">чреждениями и </w:t>
      </w:r>
      <w:r>
        <w:rPr>
          <w:rFonts w:ascii="Times New Roman" w:hAnsi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редп</w:t>
      </w:r>
      <w:r>
        <w:rPr>
          <w:rFonts w:ascii="Times New Roman" w:hAnsi="Times New Roman"/>
          <w:sz w:val="24"/>
          <w:szCs w:val="24"/>
          <w:lang w:eastAsia="ru-RU"/>
        </w:rPr>
        <w:t xml:space="preserve">риятиями, которым получатель средств бюджета округа передали свои полномочия муниципального заказчика по заключению и исполнению от имени Печенгского муниципального округа муниципальных контрактов от лица соответствующих получателей средств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2.2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В целях осуществления бюджетных инвестиций в соответствии с </w:t>
      </w:r>
      <w:hyperlink w:tooltip="б) юридическим лицами, которым получатели средств федерального бюджета передали свои полномочия государственного заказчика по заключению и исполнению от имени Российской Федерации государственных контрактов от лица соответствующих получателей средств федеральн" w:anchor="Par353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пунктом «б» 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подраздела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 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2.1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раздела 2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настоящих Правил орган местного самоуправле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ния заключает с юридическим лицом соглашение о передаче полномочий муниципального заказчика по заключению и исполнению от имени Печенгского муниципального округа муниципальных контрактов от лица указанного органа (далее - соглашение о передаче полномочий).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Соглашение о передаче полномочий и дополнительные соглашения к указанному соглашению, предусматривающие внесение в него изменений или его расторжение, заключаются в соответствии с типовой </w:t>
      </w:r>
      <w:hyperlink r:id="rId14" w:tooltip="Приказ Минфина России от 21.12.2017 N 245н (ред. от 11.12.2019) &quot;Об утверждении Типовой формы соглашения о передаче полномочий государственного заказчика по заключению и исполнению от имени Российской Федерации государственных контрактов при осуществлении за с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формой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утверждаемой финансовым управлением администрации Печенгского муниципального округа (далее – финансовое управление).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2.3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Соглашение о передаче полномочий заключается в отношении одного или нескольких объектов и содержит в том числе: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цель осуществления бюджетных инвестиций и их объем с распределением по годам в отношении каждого объекта с указанием его наименования, мощности, сроков строительства, приобретения объекта, рассчитанной в ценах соответствующих лет стоимости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объекта (сметной или предполагаемой (предельной) либо стоимости приобретения), а также рассчитанного в ценах соответствующих лет общего объема капитальных вложений, в том числе объема бюджетных ассигнований, предусмотренного органу местного самоуправления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как получателю средств бюджета округа, которые должны соответствовать объему средств, определенному решением о капитальных вложениях;</w:t>
      </w:r>
      <w:bookmarkStart w:id="6" w:name="Par367"/>
      <w:r/>
      <w:bookmarkEnd w:id="6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устанавливающие права и обязанности юридического лица по заключению и исполнению от имени Печенгского муниципального округа муниципальных контрактов от лица органа местного самоуправления;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ответственность юридического лица за неисполнение или ненадлежащее исполнение переданных ему полномочий;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г)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устанавливающие право органа местного самоуправления на проведение проверок соблюдения юридическим лицом условий соглашения о передаче полномочий;</w:t>
      </w:r>
      <w:bookmarkStart w:id="7" w:name="Par370"/>
      <w:r/>
      <w:bookmarkEnd w:id="7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д)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устанавливающие обязанность юр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идического лица по ведению бюджетного учета, составлению и представлению бюджетной отчетности органу местного самоуправления как получателю средств бюджета округа в порядке, установленном Министерством финансов Российской Федерации, финансовым управлением;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е)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определяющие порядок и сроки передачи объектов, созданных в результате осуществления бюджетных инвестиций.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2.4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Объекты, созданные или приобретенные в результате осуществления бюджетных инвестиций, закрепляются в установленном порядке на праве оперативного управления за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чреждениями либо на праве оперативного управления или хозяйственного ведения за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редприятиями с последующим увеличением стоимости основных средств, находящихся на соотв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етствующем вещном праве у этих 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чреждений,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редприятий, а также с увеличением уставного фонда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редприятий, основанных на праве хозяйственного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ведения, либо включаются в состав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муниципальной казны Печенгского муниципального округа.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spacing w:after="0" w:line="240" w:lineRule="atLeast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center"/>
        <w:spacing w:after="0" w:line="240" w:lineRule="atLeast"/>
        <w:widowControl w:val="off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3. Предоставление субсидий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У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чреждениям,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П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редприятиям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spacing w:after="0" w:line="240" w:lineRule="atLeast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Предоставление субсидии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чреждению,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редприятию осуществляется в соответствии с соглашением, заключенным между органом местного самоуправления как  получателем средств бюджета округа, предоставляющим субсидию, и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(далее - соглашение о предоставлении субсидии), а в случае предоставления субсидии муниципальному бюджетному учреждению, осуществляющему в соответствии с Бюджетным </w:t>
      </w:r>
      <w:hyperlink r:id="rId15" w:tooltip="&quot;Бюджетный кодекс Российской Федерации&quot; от 31.07.1998 N 145-ФЗ (ред. от 13.07.2024, с изм. от 30.09.2024) (с изм. и доп., вступ. в силу с 01.09.2024){КонсультантПлюс}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кодексом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Российской Федерации полномочия главного распорядителя бюджетных средств, - на условиях, предусмотренных решением о капитальных вложениях, без заключения соглашения.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Соглашение о предоставлении субсидии и дополнительные соглашения к указанному соглашению, предусматривающие внесение в него изменений или его расторжение, заключаются в соответствии с типовой </w:t>
      </w:r>
      <w:hyperlink r:id="rId16" w:tooltip="Справочная информация: &quot;Типовые формы договоров (соглашений) о предоставлении субсидий, иных межбюджетных трансфертов&quot; (Материал подготовлен специалистами КонсультантПлюс){КонсультантПлюс}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формой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утверждаемой финансовым управлением.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При предоставлении субсидии без заключения соглашения о предоставлении субсидии в случае, указанном в </w:t>
      </w:r>
      <w:hyperlink w:tooltip="11. Предоставление субсидии учреждению, предприятию осуществляется в соответствии с соглашением, заключенным между федеральным органом государственной власти (государственным органом) как получателем средств федерального бюджета, предоставляющим субсидию, и уч" w:anchor="Par377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абзаце первом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подраздела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положения, предусмотренные </w:t>
      </w:r>
      <w:hyperlink w:tooltip="в) условие о соблюдении учреждением, п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" w:anchor="Par383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пунктами «в»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- «е</w:t>
      </w:r>
      <w:hyperlink w:tooltip="е) обязательство учреждения осуществлять эксплуатационные расходы, необходимые для содержания объекта после ввода в эксплуатацию, приобретения, за счет средств, предоставляемых из федерального бюджета, в размере, не превышающем размер соответствующих нормативн" w:anchor="Par386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»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</w:t>
      </w:r>
      <w:hyperlink w:tooltip="и) порядок возврата учреждением, предприятием средств в объеме остатка не использованной на начало текущего финансового года перечисленной ему в предшествующем финансовом году субсидии в случае отсутствия принятого в установленном Правительством Российской Фед" w:anchor="Par389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«и»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- </w:t>
      </w:r>
      <w:hyperlink w:tooltip="м) порядок и сроки представления учреждением, предприятием отчетности об использовании субсидии, а также о достижении значений результатов предоставления субсидии;" w:anchor="Par392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«м»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</w:t>
      </w:r>
      <w:hyperlink w:tooltip="о) обязательство учреждения, предприятия устанавливать при осуществлении закупок в целях выполнения проектных и (или) изыскательских работ, строительства объектов обеспечение исполнения контракта в соответствии с положениями пункта 6 настоящих Правил." w:anchor="Par394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подраздела 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3.2 раздела 3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настоящих Правил, включаются в решение о капитальных вложениях.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3.2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Соглашение о предоставлении субсидии заключается в отношении одного или нескольких объектов и содержит в том числе: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цель и значения результатов предоставления субсидии и ее объем с распределением по годам в отношении каждого объекта с указанием его наименования, мощности, сроков строительства, приобретения объекта, рассчитанной в цена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х соответствующих лет стоимости объекта (сметной или предполагаемой (предельной) стоимости либо стоимости приобретения), а также общего объема капитальных вложений за счет всех источников финансового обеспечения, в том числе объема предоставляемой субсидии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, который должен соответствовать объему средств, определенному решением о капитальных вложениях. </w:t>
      </w:r>
      <w:bookmarkStart w:id="8" w:name="Par382"/>
      <w:r/>
      <w:bookmarkEnd w:id="8"/>
      <w:r>
        <w:rPr>
          <w:rFonts w:ascii="Times New Roman" w:hAnsi="Times New Roman"/>
          <w:sz w:val="24"/>
          <w:szCs w:val="24"/>
          <w:lang w:eastAsia="ru-RU"/>
        </w:rPr>
        <w:t xml:space="preserve">В случае если субсидия предоставляется в целях достижения результатов федерального проекта, указывается наименование соответствующего федерального проекта, при этом результаты предоставления субсидии должны соответствовать результатам федерального проекта.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устанавливающие права и обязанности сторон соглашения о предоставлении субсидии и порядок их взаимодействия при реализации указанного соглашения;</w:t>
      </w:r>
      <w:bookmarkStart w:id="9" w:name="Par383"/>
      <w:r/>
      <w:bookmarkEnd w:id="9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условие о соблюдении 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г)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обязательство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чреждения,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редприятия осуществлять без использования субсидии выполнение работ, пре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дшествующих строительству, в том числе разработку проектной документации и проведение инженерных изысканий, выполняемых для подготовки такой проектной документации, если предоставление субсидии на эти цели не предусмотрено решением о капитальных вложениях;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д) обязательство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редприятия осуществлять эксплуатационные расходы, необходимые для содержания объекта после ввода в эксплуатацию, приобретения, без использования на эти цели средств бюджета округа;</w:t>
      </w:r>
      <w:bookmarkStart w:id="10" w:name="Par386"/>
      <w:r/>
      <w:bookmarkEnd w:id="10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е) обязательство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чреждения осуществлять эксплуатационные расходы, необходимые для содержания объекта после ввода в эксплуатацию, приобретения, за счет средств, предоставляемых из бюджета округа, в размере, не превышающем размер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соответствующих нормативных затрат, применяемых при расчете субсидии на финансовое обеспечение выполнения муниципального задания на оказание муниципальных услуг (выполнение работ);</w:t>
      </w:r>
      <w:bookmarkStart w:id="11" w:name="Par387"/>
      <w:r/>
      <w:bookmarkEnd w:id="11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ж) сроки (порядок определения сроков) перечисления субсидии, а также положения, устанавливающие обязанность перечисления субсидии на лицевой счет для учета операций с субсидиями, открытый в органе Федерального казначейства;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з)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устанавливающие право получателя средств бюджета округа, предоставляющего субсидию, на проведение прове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рок соблюдения 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условий, установленных соглашением о предоставлении субсидии;</w:t>
      </w:r>
      <w:bookmarkStart w:id="12" w:name="Par389"/>
      <w:r/>
      <w:bookmarkEnd w:id="12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и) порядок возврата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средств в объеме остатка не использованной на начало текущего финансового года перечисленной ему в предшествующем финансовом году субсидии в случае отсутствия при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нятого в установленном администрацией Печенгского муниципального округа  порядке решения получателя средств бюджета округа, предоставляющего субсидию, о наличии потребности направления этих средств на цели предоставления субсидии в текущем финансовом году;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к)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порядок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возврата сумм, использованных 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редприятием, в случае установления по результатам проверок фактов нарушения целей и условий, определенных соглашением о предоставлении субсидии;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л)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положения, предусматривающие приостановление предоставления субсидии либо сокращение объема предоставляемой субсидии в связи с нарушением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условия о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софинансировании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капитальных вложений в объекты за счет иных источников, в случае если соглашением о предоставлении субсидии предусмотрено такое условие;</w:t>
      </w:r>
      <w:bookmarkStart w:id="13" w:name="Par392"/>
      <w:r/>
      <w:bookmarkEnd w:id="13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м)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порядок и сроки представления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чреждением,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редприятием отчетности об использовании субсидии, а также о достижении значений результатов предоставления субсидии;</w:t>
      </w:r>
      <w:bookmarkStart w:id="14" w:name="Par393"/>
      <w:r/>
      <w:bookmarkEnd w:id="14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н)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случаи и порядок внесения изменений в соглашение о предоставлении субсидии, в том числе в случае уменьшения в соответствии с Бюджетным </w:t>
      </w:r>
      <w:hyperlink r:id="rId17" w:tooltip="&quot;Бюджетный кодекс Российской Федерации&quot; от 31.07.1998 N 145-ФЗ (ред. от 13.07.2024, с изм. от 30.09.2024) (с изм. и доп., вступ. в силу с 01.09.2024){КонсультантПлюс}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кодексом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Российской Федерации получателю средств бюджета округа, предоставляющему субсидию, ранее до</w:t>
      </w:r>
      <w:bookmarkStart w:id="15" w:name="_GoBack"/>
      <w:r/>
      <w:bookmarkEnd w:id="15"/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</w:t>
      </w:r>
      <w:bookmarkStart w:id="16" w:name="Par394"/>
      <w:r/>
      <w:bookmarkEnd w:id="16"/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bookmarkStart w:id="17" w:name="Par375"/>
      <w:r/>
      <w:bookmarkStart w:id="18" w:name="Par377"/>
      <w:r/>
      <w:bookmarkEnd w:id="17"/>
      <w:r/>
      <w:bookmarkEnd w:id="18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3.3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 Осуществление капитальных вложений в объекты за счет субсидий влечет увеличение стоимости основных средств, находящихся на праве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оперативного управления у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чреждений либо на праве оперативного управления или хозяйственного ведения у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редприятий. Осуществление капитальных вложений за счет субсидий в объекты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редприятий, основанных на праве хозяйственного ведения, влечет также увеличение их уставного фонда.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spacing w:after="0" w:line="240" w:lineRule="atLeast"/>
        <w:widowControl w:val="off"/>
        <w:rPr>
          <w:rFonts w:ascii="Arial" w:hAnsi="Arial" w:cs="Arial" w:eastAsiaTheme="minorEastAsia"/>
          <w:b/>
          <w:bCs/>
          <w:sz w:val="24"/>
          <w:szCs w:val="24"/>
        </w:rPr>
      </w:pPr>
      <w:r/>
      <w:bookmarkStart w:id="19" w:name="Par432"/>
      <w:r/>
      <w:bookmarkEnd w:id="19"/>
      <w:r>
        <w:rPr>
          <w:rFonts w:ascii="Times New Roman" w:hAnsi="Times New Roman"/>
          <w:b/>
          <w:sz w:val="24"/>
          <w:szCs w:val="24"/>
          <w:lang w:eastAsia="ru-RU"/>
        </w:rPr>
        <w:t xml:space="preserve">4. Особенности осуществления бюджетных инвестиций или предоставления субсидий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Учреждениям, П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редприятиям в целях подготовки обоснования инвестиций и проведения его технологического и ценового аудита</w:t>
      </w:r>
      <w:r>
        <w:rPr>
          <w:rFonts w:ascii="Arial" w:hAnsi="Arial" w:cs="Arial" w:eastAsiaTheme="minorEastAsia"/>
          <w:b/>
          <w:bCs/>
          <w:sz w:val="24"/>
          <w:szCs w:val="24"/>
        </w:rPr>
      </w:r>
      <w:r>
        <w:rPr>
          <w:rFonts w:ascii="Arial" w:hAnsi="Arial" w:cs="Arial" w:eastAsiaTheme="minorEastAsia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4.1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Бюджетные инвестиции и предоставление субсидий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чреждениям,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редприятиям в целях подготовки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обоснования инвестиций и проведения его технологического и ценового аудита осуществляются 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4.2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Соглашение о передаче полномочий при осуществлении бюджетных инвестиций в целях подготовки обоснования инвестиций и проведения его технологического и ценового аудита должно содержать, в том числе положения,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предусмотренные </w:t>
      </w:r>
      <w:hyperlink w:tooltip="б) положения, устанавливающие права и обязанности юридического лица по заключению и исполнению от имени Российской Федерации государственных контрактов от лица федерального органа государственной власти (государственного органа);" w:anchor="Par367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пунктами «б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» - </w:t>
      </w:r>
      <w:hyperlink w:tooltip="д) положения, устанавливающие обязанность юридического лица по ведению бюджетного учета, составлению и представлению бюджетной отчетности федеральному органу государственной власти (государственному органу) как получателю средств федерального бюджета в порядке" w:anchor="Par370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«д» </w:t>
        </w:r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подраздела 2.3 раздела 2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настоящих Правил, а также цель осуществления бюджетных инвестиций с указанием в отношении каждого объекта его наименования, сроков подготовки обоснования инвестиций и проведения его технологического и ценового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аудита и общего объема капитальных вложений в целях подготовки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обоснования инвестиций и проведения его технологического и ценового аудита, в том числе объема бюджетных ассигнований, предусмотренного органу местного самоуправления как получателю средств бюджета округа, соответствующего решению о капитальных вложениях.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4.3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Соглашение о предоставлении субсидии в целях подготовки обоснования инвестиций и проведения его технологического и ценового аудита должно содержать, в том числе положения, предусмотренные </w:t>
      </w:r>
      <w:hyperlink w:tooltip="б) положения, устанавливающие права и обязанности сторон соглашения о предоставлении субсидии и порядок их взаимодействия при реализации указанного соглашения;" w:anchor="Par382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пунктами «б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», </w:t>
      </w:r>
      <w:hyperlink w:tooltip="в) условие о соблюдении учреждением, п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" w:anchor="Par383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«в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» и </w:t>
      </w:r>
      <w:hyperlink w:tooltip="ж) сроки (порядок определения сроков) перечисления субсидии, а также положения, устанавливающие обязанность перечисления субсидии на лицевой счет для учета операций с субсидиями, открытый в органе Федерального казначейства;" w:anchor="Par387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«ж»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- </w:t>
      </w:r>
      <w:hyperlink w:tooltip="н) случаи и порядок внесения изменений в соглашение о предоставлении субсидии, в том числе в случае уменьшения в соответствии с Бюджетным кодексом Российской Федерации получателю средств федерального бюджета, предоставляющему субсидию, ранее доведенных в устан" w:anchor="Par393" w:history="1">
        <w:r>
          <w:rPr>
            <w:rFonts w:ascii="Times New Roman" w:hAnsi="Times New Roman" w:eastAsiaTheme="minorEastAsia"/>
            <w:sz w:val="24"/>
            <w:szCs w:val="24"/>
            <w:lang w:eastAsia="ru-RU"/>
          </w:rPr>
          <w:t xml:space="preserve">«н» подраздела 3.2 раздела 3</w:t>
        </w:r>
      </w:hyperlink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настоящих Правил, а также цель, значения результатов предоставления субсидии и ее объем с распределением по годам в отношении каждого объекта с указанием его наименования и общего объема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капитальных вложений на подготовку обоснования инвестиций и проведения его технологического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и ценового аудита за счет всех источников финансового обеспечения, в том числе объема предоставляемой субсидии, соответствующего решению о капитальных вложениях, сроков подготовки обоснования инвестиций и проведения его технологического и ценового аудита.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7"/>
    <w:link w:val="679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7"/>
    <w:link w:val="701"/>
    <w:uiPriority w:val="10"/>
    <w:rPr>
      <w:sz w:val="48"/>
      <w:szCs w:val="48"/>
    </w:rPr>
  </w:style>
  <w:style w:type="character" w:styleId="670">
    <w:name w:val="Subtitle Char"/>
    <w:basedOn w:val="687"/>
    <w:link w:val="703"/>
    <w:uiPriority w:val="11"/>
    <w:rPr>
      <w:sz w:val="24"/>
      <w:szCs w:val="24"/>
    </w:rPr>
  </w:style>
  <w:style w:type="character" w:styleId="671">
    <w:name w:val="Quote Char"/>
    <w:link w:val="705"/>
    <w:uiPriority w:val="29"/>
    <w:rPr>
      <w:i/>
    </w:rPr>
  </w:style>
  <w:style w:type="character" w:styleId="672">
    <w:name w:val="Intense Quote Char"/>
    <w:link w:val="707"/>
    <w:uiPriority w:val="30"/>
    <w:rPr>
      <w:i/>
    </w:rPr>
  </w:style>
  <w:style w:type="character" w:styleId="673">
    <w:name w:val="Header Char"/>
    <w:basedOn w:val="687"/>
    <w:link w:val="709"/>
    <w:uiPriority w:val="99"/>
  </w:style>
  <w:style w:type="character" w:styleId="674">
    <w:name w:val="Caption Char"/>
    <w:basedOn w:val="713"/>
    <w:link w:val="711"/>
    <w:uiPriority w:val="99"/>
  </w:style>
  <w:style w:type="character" w:styleId="675">
    <w:name w:val="Footnote Text Char"/>
    <w:link w:val="840"/>
    <w:uiPriority w:val="99"/>
    <w:rPr>
      <w:sz w:val="18"/>
    </w:rPr>
  </w:style>
  <w:style w:type="character" w:styleId="676">
    <w:name w:val="Endnote Text Char"/>
    <w:link w:val="843"/>
    <w:uiPriority w:val="99"/>
    <w:rPr>
      <w:sz w:val="20"/>
    </w:rPr>
  </w:style>
  <w:style w:type="paragraph" w:styleId="677" w:default="1">
    <w:name w:val="Normal"/>
    <w:qFormat/>
    <w:rPr>
      <w:rFonts w:ascii="Calibri" w:hAnsi="Calibri" w:eastAsia="Times New Roman" w:cs="Times New Roman"/>
    </w:rPr>
  </w:style>
  <w:style w:type="paragraph" w:styleId="678">
    <w:name w:val="Heading 1"/>
    <w:basedOn w:val="677"/>
    <w:next w:val="677"/>
    <w:link w:val="69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69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69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List Paragraph"/>
    <w:basedOn w:val="677"/>
    <w:uiPriority w:val="34"/>
    <w:qFormat/>
    <w:pPr>
      <w:contextualSpacing/>
      <w:ind w:left="720"/>
    </w:pPr>
  </w:style>
  <w:style w:type="paragraph" w:styleId="700">
    <w:name w:val="No Spacing"/>
    <w:uiPriority w:val="1"/>
    <w:qFormat/>
    <w:pPr>
      <w:spacing w:after="0" w:line="240" w:lineRule="auto"/>
    </w:pPr>
  </w:style>
  <w:style w:type="paragraph" w:styleId="701">
    <w:name w:val="Title"/>
    <w:basedOn w:val="677"/>
    <w:next w:val="677"/>
    <w:link w:val="702"/>
    <w:uiPriority w:val="10"/>
    <w:qFormat/>
    <w:pPr>
      <w:contextualSpacing/>
      <w:spacing w:before="300"/>
    </w:pPr>
    <w:rPr>
      <w:sz w:val="48"/>
      <w:szCs w:val="48"/>
    </w:rPr>
  </w:style>
  <w:style w:type="character" w:styleId="702" w:customStyle="1">
    <w:name w:val="Название Знак"/>
    <w:basedOn w:val="687"/>
    <w:link w:val="701"/>
    <w:uiPriority w:val="10"/>
    <w:rPr>
      <w:sz w:val="48"/>
      <w:szCs w:val="48"/>
    </w:rPr>
  </w:style>
  <w:style w:type="paragraph" w:styleId="703">
    <w:name w:val="Subtitle"/>
    <w:basedOn w:val="677"/>
    <w:next w:val="677"/>
    <w:link w:val="704"/>
    <w:uiPriority w:val="11"/>
    <w:qFormat/>
    <w:pPr>
      <w:spacing w:before="200"/>
    </w:pPr>
    <w:rPr>
      <w:sz w:val="24"/>
      <w:szCs w:val="24"/>
    </w:rPr>
  </w:style>
  <w:style w:type="character" w:styleId="704" w:customStyle="1">
    <w:name w:val="Подзаголовок Знак"/>
    <w:basedOn w:val="687"/>
    <w:link w:val="703"/>
    <w:uiPriority w:val="11"/>
    <w:rPr>
      <w:sz w:val="24"/>
      <w:szCs w:val="24"/>
    </w:rPr>
  </w:style>
  <w:style w:type="paragraph" w:styleId="705">
    <w:name w:val="Quote"/>
    <w:basedOn w:val="677"/>
    <w:next w:val="677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77"/>
    <w:next w:val="677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paragraph" w:styleId="709">
    <w:name w:val="Header"/>
    <w:basedOn w:val="677"/>
    <w:link w:val="71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 w:customStyle="1">
    <w:name w:val="Верхний колонтитул Знак"/>
    <w:basedOn w:val="687"/>
    <w:link w:val="709"/>
    <w:uiPriority w:val="99"/>
  </w:style>
  <w:style w:type="paragraph" w:styleId="711">
    <w:name w:val="Footer"/>
    <w:basedOn w:val="677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 w:customStyle="1">
    <w:name w:val="Footer Char"/>
    <w:basedOn w:val="687"/>
    <w:uiPriority w:val="99"/>
  </w:style>
  <w:style w:type="paragraph" w:styleId="713">
    <w:name w:val="Caption"/>
    <w:basedOn w:val="677"/>
    <w:next w:val="67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4" w:customStyle="1">
    <w:name w:val="Нижний колонтитул Знак"/>
    <w:link w:val="711"/>
    <w:uiPriority w:val="99"/>
  </w:style>
  <w:style w:type="table" w:styleId="715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 w:customStyle="1">
    <w:name w:val="Plain Table 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2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4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5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6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7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8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9" w:customStyle="1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8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9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0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1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4" w:customStyle="1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7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9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1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2" w:customStyle="1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5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6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7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8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9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0">
    <w:name w:val="footnote text"/>
    <w:basedOn w:val="677"/>
    <w:link w:val="841"/>
    <w:uiPriority w:val="99"/>
    <w:semiHidden/>
    <w:unhideWhenUsed/>
    <w:pPr>
      <w:spacing w:after="40" w:line="240" w:lineRule="auto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basedOn w:val="687"/>
    <w:uiPriority w:val="99"/>
    <w:unhideWhenUsed/>
    <w:rPr>
      <w:vertAlign w:val="superscript"/>
    </w:rPr>
  </w:style>
  <w:style w:type="paragraph" w:styleId="843">
    <w:name w:val="endnote text"/>
    <w:basedOn w:val="677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687"/>
    <w:uiPriority w:val="99"/>
    <w:semiHidden/>
    <w:unhideWhenUsed/>
    <w:rPr>
      <w:vertAlign w:val="superscript"/>
    </w:rPr>
  </w:style>
  <w:style w:type="paragraph" w:styleId="846">
    <w:name w:val="toc 1"/>
    <w:basedOn w:val="677"/>
    <w:next w:val="677"/>
    <w:uiPriority w:val="39"/>
    <w:unhideWhenUsed/>
    <w:pPr>
      <w:spacing w:after="57"/>
    </w:pPr>
  </w:style>
  <w:style w:type="paragraph" w:styleId="847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8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49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50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1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2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3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4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77"/>
    <w:next w:val="677"/>
    <w:uiPriority w:val="99"/>
    <w:unhideWhenUsed/>
    <w:pPr>
      <w:spacing w:after="0"/>
    </w:pPr>
  </w:style>
  <w:style w:type="character" w:styleId="857" w:customStyle="1">
    <w:name w:val="Body text_"/>
    <w:basedOn w:val="687"/>
    <w:link w:val="85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styleId="858" w:customStyle="1">
    <w:name w:val="Body text (2)_"/>
    <w:basedOn w:val="687"/>
    <w:link w:val="860"/>
    <w:rPr>
      <w:rFonts w:ascii="Times New Roman" w:hAnsi="Times New Roman" w:cs="Times New Roman"/>
      <w:sz w:val="15"/>
      <w:szCs w:val="15"/>
      <w:shd w:val="clear" w:color="auto" w:fill="ffffff"/>
    </w:rPr>
  </w:style>
  <w:style w:type="paragraph" w:styleId="859" w:customStyle="1">
    <w:name w:val="Основной текст10"/>
    <w:basedOn w:val="677"/>
    <w:link w:val="857"/>
    <w:pPr>
      <w:jc w:val="both"/>
      <w:spacing w:after="0" w:line="276" w:lineRule="exact"/>
      <w:shd w:val="clear" w:color="auto" w:fill="ffffff"/>
    </w:pPr>
    <w:rPr>
      <w:rFonts w:ascii="Times New Roman" w:hAnsi="Times New Roman" w:eastAsiaTheme="minorHAnsi"/>
      <w:sz w:val="23"/>
      <w:szCs w:val="23"/>
    </w:rPr>
  </w:style>
  <w:style w:type="paragraph" w:styleId="860" w:customStyle="1">
    <w:name w:val="Body text (2)"/>
    <w:basedOn w:val="677"/>
    <w:link w:val="858"/>
    <w:pPr>
      <w:jc w:val="both"/>
      <w:spacing w:before="1980" w:after="0" w:line="240" w:lineRule="atLeast"/>
      <w:shd w:val="clear" w:color="auto" w:fill="ffffff"/>
    </w:pPr>
    <w:rPr>
      <w:rFonts w:ascii="Times New Roman" w:hAnsi="Times New Roman" w:eastAsiaTheme="minorHAnsi"/>
      <w:sz w:val="15"/>
      <w:szCs w:val="15"/>
    </w:rPr>
  </w:style>
  <w:style w:type="character" w:styleId="861" w:customStyle="1">
    <w:name w:val="Heading #3_"/>
    <w:basedOn w:val="687"/>
    <w:link w:val="862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862" w:customStyle="1">
    <w:name w:val="Heading #3"/>
    <w:basedOn w:val="677"/>
    <w:link w:val="861"/>
    <w:pPr>
      <w:spacing w:before="420" w:after="420" w:line="240" w:lineRule="atLeast"/>
      <w:shd w:val="clear" w:color="auto" w:fill="ffffff"/>
      <w:outlineLvl w:val="2"/>
    </w:pPr>
    <w:rPr>
      <w:rFonts w:ascii="Times New Roman" w:hAnsi="Times New Roman" w:eastAsiaTheme="minorHAnsi"/>
      <w:sz w:val="23"/>
      <w:szCs w:val="23"/>
    </w:rPr>
  </w:style>
  <w:style w:type="character" w:styleId="863" w:customStyle="1">
    <w:name w:val="Body text (3)_"/>
    <w:basedOn w:val="687"/>
    <w:link w:val="864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864" w:customStyle="1">
    <w:name w:val="Body text (3)"/>
    <w:basedOn w:val="677"/>
    <w:link w:val="863"/>
    <w:pPr>
      <w:jc w:val="center"/>
      <w:spacing w:before="480" w:after="0" w:line="250" w:lineRule="exact"/>
      <w:shd w:val="clear" w:color="auto" w:fill="ffffff"/>
    </w:pPr>
    <w:rPr>
      <w:rFonts w:ascii="Times New Roman" w:hAnsi="Times New Roman" w:eastAsiaTheme="minorHAnsi"/>
      <w:sz w:val="19"/>
      <w:szCs w:val="19"/>
    </w:rPr>
  </w:style>
  <w:style w:type="paragraph" w:styleId="865" w:customStyle="1">
    <w:name w:val="ConsPlusNormal"/>
    <w:pPr>
      <w:spacing w:after="0" w:line="240" w:lineRule="auto"/>
    </w:pPr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866">
    <w:name w:val="Hyperlink"/>
    <w:basedOn w:val="687"/>
    <w:rPr>
      <w:rFonts w:cs="Times New Roman"/>
      <w:color w:val="0000ff"/>
      <w:u w:val="single"/>
    </w:rPr>
  </w:style>
  <w:style w:type="paragraph" w:styleId="867">
    <w:name w:val="Balloon Text"/>
    <w:basedOn w:val="677"/>
    <w:link w:val="86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687"/>
    <w:link w:val="867"/>
    <w:uiPriority w:val="99"/>
    <w:semiHidden/>
    <w:rPr>
      <w:rFonts w:ascii="Tahoma" w:hAnsi="Tahoma" w:eastAsia="Times New Roman" w:cs="Tahoma"/>
      <w:sz w:val="16"/>
      <w:szCs w:val="16"/>
    </w:rPr>
  </w:style>
  <w:style w:type="character" w:styleId="869" w:customStyle="1">
    <w:name w:val="Основной текст_"/>
    <w:basedOn w:val="687"/>
    <w:link w:val="870"/>
    <w:rPr>
      <w:sz w:val="28"/>
      <w:szCs w:val="28"/>
      <w:shd w:val="clear" w:color="auto" w:fill="ffffff"/>
    </w:rPr>
  </w:style>
  <w:style w:type="paragraph" w:styleId="870" w:customStyle="1">
    <w:name w:val="Основной текст1"/>
    <w:basedOn w:val="677"/>
    <w:link w:val="869"/>
    <w:pPr>
      <w:ind w:firstLine="400"/>
      <w:spacing w:after="320" w:line="240" w:lineRule="auto"/>
      <w:shd w:val="clear" w:color="auto" w:fill="ffffff"/>
      <w:widowControl w:val="off"/>
    </w:pPr>
    <w:rPr>
      <w:rFonts w:asciiTheme="minorHAnsi" w:hAnsiTheme="minorHAnsi" w:eastAsiaTheme="minorHAnsi" w:cstheme="minorBidi"/>
      <w:sz w:val="28"/>
      <w:szCs w:val="28"/>
    </w:rPr>
  </w:style>
  <w:style w:type="paragraph" w:styleId="871" w:customStyle="1">
    <w:name w:val="ConsPlusTextList1"/>
    <w:uiPriority w:val="99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table" w:styleId="872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https://login.consultant.ru/link/?req=doc&amp;base=LAW&amp;n=469774&amp;date=03.12.2024&amp;dst=7275&amp;field=134" TargetMode="External"/><Relationship Id="rId13" Type="http://schemas.openxmlformats.org/officeDocument/2006/relationships/hyperlink" Target="https://login.consultant.ru/link/?req=doc&amp;base=LAW&amp;n=469774&amp;date=03.12.2024&amp;dst=7283&amp;field=134" TargetMode="External"/><Relationship Id="rId14" Type="http://schemas.openxmlformats.org/officeDocument/2006/relationships/hyperlink" Target="https://login.consultant.ru/link/?req=doc&amp;base=LAW&amp;n=343081&amp;date=03.12.2024&amp;dst=100012&amp;field=134" TargetMode="External"/><Relationship Id="rId15" Type="http://schemas.openxmlformats.org/officeDocument/2006/relationships/hyperlink" Target="https://login.consultant.ru/link/?req=doc&amp;base=LAW&amp;n=469774&amp;date=03.12.2024" TargetMode="External"/><Relationship Id="rId16" Type="http://schemas.openxmlformats.org/officeDocument/2006/relationships/hyperlink" Target="https://login.consultant.ru/link/?req=doc&amp;base=LAW&amp;n=396428&amp;date=03.12.2024&amp;dst=100005&amp;field=134" TargetMode="External"/><Relationship Id="rId17" Type="http://schemas.openxmlformats.org/officeDocument/2006/relationships/hyperlink" Target="https://login.consultant.ru/link/?req=doc&amp;base=LAW&amp;n=469774&amp;date=03.12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65114-EB5F-4EA9-9F2D-53BBEB8E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revision>8</cp:revision>
  <dcterms:created xsi:type="dcterms:W3CDTF">2024-12-28T05:09:00Z</dcterms:created>
  <dcterms:modified xsi:type="dcterms:W3CDTF">2025-02-05T12:08:49Z</dcterms:modified>
</cp:coreProperties>
</file>