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ПЕЧЕНГСКОГО МУНИЦИПАЛЬНОГО ОКРУГА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МУРМАНСКОЙ ОБЛАСТИ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 w:val="24"/>
          <w:szCs w:val="20"/>
        </w:rPr>
      </w:pPr>
      <w:r>
        <w:rPr>
          <w:b/>
          <w:color w:val="000000"/>
          <w:sz w:val="24"/>
          <w:szCs w:val="20"/>
        </w:rPr>
        <w:t xml:space="preserve">от 18.02.2025 </w:t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 xml:space="preserve">   № 262</w:t>
      </w:r>
      <w:r>
        <w:rPr>
          <w:b/>
          <w:color w:val="000000"/>
          <w:sz w:val="24"/>
          <w:szCs w:val="20"/>
        </w:rPr>
      </w:r>
      <w:r>
        <w:rPr>
          <w:b/>
          <w:color w:val="000000"/>
          <w:sz w:val="24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 w:val="24"/>
          <w:szCs w:val="20"/>
        </w:rPr>
        <w:t xml:space="preserve">п.г.т</w:t>
      </w:r>
      <w:r>
        <w:rPr>
          <w:b/>
          <w:color w:val="000000"/>
          <w:sz w:val="24"/>
          <w:szCs w:val="20"/>
        </w:rPr>
        <w:t xml:space="preserve">. Никель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both"/>
        <w:widowControl w:val="off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pStyle w:val="858"/>
        <w:jc w:val="both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858"/>
        <w:jc w:val="center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итогах обучения населения 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области безопасности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жизнедеятельности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году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8"/>
        <w:jc w:val="center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Печенгском </w:t>
      </w:r>
      <w:r>
        <w:rPr>
          <w:rFonts w:ascii="Times New Roman" w:hAnsi="Times New Roman" w:cs="Times New Roman"/>
        </w:rPr>
        <w:t xml:space="preserve">муниципальном о</w:t>
      </w:r>
      <w:r>
        <w:rPr>
          <w:rFonts w:ascii="Times New Roman" w:hAnsi="Times New Roman" w:cs="Times New Roman"/>
        </w:rPr>
        <w:t xml:space="preserve">круге </w:t>
      </w:r>
      <w:r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задач</w:t>
      </w:r>
      <w:r>
        <w:rPr>
          <w:rFonts w:ascii="Times New Roman" w:hAnsi="Times New Roman" w:cs="Times New Roman"/>
        </w:rPr>
        <w:t xml:space="preserve">ах </w:t>
      </w:r>
      <w:r>
        <w:rPr>
          <w:rFonts w:ascii="Times New Roman" w:hAnsi="Times New Roman" w:cs="Times New Roman"/>
        </w:rPr>
        <w:t xml:space="preserve">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5</w:t>
      </w:r>
      <w:r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90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firstLine="90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firstLine="709"/>
        <w:jc w:val="both"/>
        <w:tabs>
          <w:tab w:val="left" w:pos="720" w:leader="none"/>
        </w:tabs>
        <w:rPr>
          <w:bCs/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Руководствуясь</w:t>
      </w:r>
      <w:r>
        <w:rPr>
          <w:color w:val="auto"/>
          <w:sz w:val="24"/>
          <w:szCs w:val="24"/>
        </w:rPr>
        <w:t xml:space="preserve"> Федеральным законом от 21</w:t>
      </w:r>
      <w:r>
        <w:rPr>
          <w:color w:val="auto"/>
          <w:sz w:val="24"/>
          <w:szCs w:val="24"/>
        </w:rPr>
        <w:t xml:space="preserve">.12.</w:t>
      </w:r>
      <w:r>
        <w:rPr>
          <w:color w:val="auto"/>
          <w:sz w:val="24"/>
          <w:szCs w:val="24"/>
        </w:rPr>
        <w:t xml:space="preserve">1994 № 68-ФЗ «О защите населения и территорий от чрезвычайных ситуаций природного и техногенного характера»,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остановлениями Правительства Российской Федерации от 02.11.2000 № 841 «Об утверждении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оложения </w:t>
      </w:r>
      <w:r>
        <w:rPr>
          <w:color w:val="auto"/>
          <w:sz w:val="24"/>
          <w:szCs w:val="24"/>
        </w:rPr>
        <w:t xml:space="preserve">о подготовке</w:t>
      </w:r>
      <w:r>
        <w:rPr>
          <w:color w:val="auto"/>
          <w:sz w:val="24"/>
          <w:szCs w:val="24"/>
        </w:rPr>
        <w:t xml:space="preserve"> населения в области гражданской обороны», </w:t>
      </w:r>
      <w:r>
        <w:rPr>
          <w:color w:val="auto"/>
          <w:sz w:val="24"/>
          <w:szCs w:val="24"/>
        </w:rPr>
        <w:br/>
        <w:t xml:space="preserve">от </w:t>
      </w:r>
      <w:r>
        <w:rPr>
          <w:color w:val="auto"/>
          <w:sz w:val="24"/>
          <w:szCs w:val="24"/>
        </w:rPr>
        <w:t xml:space="preserve">18</w:t>
      </w:r>
      <w:r>
        <w:rPr>
          <w:color w:val="auto"/>
          <w:sz w:val="24"/>
          <w:szCs w:val="24"/>
        </w:rPr>
        <w:t xml:space="preserve">.09.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0 № </w:t>
      </w:r>
      <w:r>
        <w:rPr>
          <w:color w:val="auto"/>
          <w:sz w:val="24"/>
          <w:szCs w:val="24"/>
        </w:rPr>
        <w:t xml:space="preserve">1485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«О</w:t>
      </w:r>
      <w:r>
        <w:rPr>
          <w:color w:val="auto"/>
          <w:sz w:val="24"/>
          <w:szCs w:val="24"/>
        </w:rPr>
        <w:t xml:space="preserve">б утверждении положения о</w:t>
      </w:r>
      <w:r>
        <w:rPr>
          <w:color w:val="auto"/>
          <w:sz w:val="24"/>
          <w:szCs w:val="24"/>
        </w:rPr>
        <w:t xml:space="preserve"> подготовке </w:t>
      </w:r>
      <w:r>
        <w:rPr>
          <w:color w:val="auto"/>
          <w:sz w:val="24"/>
          <w:szCs w:val="24"/>
        </w:rPr>
        <w:t xml:space="preserve">граждан Р</w:t>
      </w:r>
      <w:r>
        <w:rPr>
          <w:color w:val="auto"/>
          <w:sz w:val="24"/>
          <w:szCs w:val="24"/>
        </w:rPr>
        <w:t xml:space="preserve">оссийской </w:t>
      </w:r>
      <w:r>
        <w:rPr>
          <w:color w:val="auto"/>
          <w:sz w:val="24"/>
          <w:szCs w:val="24"/>
        </w:rPr>
        <w:t xml:space="preserve">Ф</w:t>
      </w:r>
      <w:r>
        <w:rPr>
          <w:color w:val="auto"/>
          <w:sz w:val="24"/>
          <w:szCs w:val="24"/>
        </w:rPr>
        <w:t xml:space="preserve">едерации</w:t>
      </w:r>
      <w:r>
        <w:rPr>
          <w:color w:val="auto"/>
          <w:sz w:val="24"/>
          <w:szCs w:val="24"/>
        </w:rPr>
        <w:t xml:space="preserve">, иностранных граждан и лиц без гражданства</w:t>
      </w:r>
      <w:r>
        <w:rPr>
          <w:color w:val="auto"/>
          <w:sz w:val="24"/>
          <w:szCs w:val="24"/>
        </w:rPr>
        <w:t xml:space="preserve"> в области защиты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от чрезвычайных ситуаций природного и</w:t>
      </w:r>
      <w:r>
        <w:rPr>
          <w:color w:val="auto"/>
          <w:sz w:val="24"/>
          <w:szCs w:val="24"/>
        </w:rPr>
        <w:t xml:space="preserve"> техногенного характера», в целях дальнейшего совершенствования организации подготовки и обучения населения </w:t>
      </w:r>
      <w:r>
        <w:rPr>
          <w:bCs/>
          <w:color w:val="auto"/>
          <w:sz w:val="24"/>
          <w:szCs w:val="24"/>
        </w:rPr>
        <w:t xml:space="preserve">к умелым действиям при угрозе и возникновении аварий, катастроф и стихийных бедствий, опасностей, возникающих при ведении военных действий или вследствие этих действий, а также в повседневной деятельности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firstLine="709"/>
        <w:jc w:val="both"/>
        <w:rPr>
          <w:bCs/>
          <w:color w:val="auto"/>
          <w:sz w:val="24"/>
          <w:szCs w:val="24"/>
        </w:rPr>
        <w:suppressLineNumbers w:val="0"/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firstLine="709"/>
        <w:jc w:val="both"/>
        <w:rPr>
          <w:b/>
          <w:bCs/>
          <w:color w:val="auto"/>
          <w:sz w:val="24"/>
          <w:szCs w:val="24"/>
        </w:rPr>
        <w:suppressLineNumbers w:val="0"/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09"/>
        <w:jc w:val="both"/>
        <w:rPr>
          <w:b/>
          <w:bCs/>
          <w:color w:val="auto"/>
          <w:sz w:val="24"/>
          <w:szCs w:val="24"/>
        </w:rPr>
        <w:suppressLineNumbers w:val="0"/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1. Утвердить</w:t>
      </w:r>
      <w:r>
        <w:rPr>
          <w:color w:val="auto"/>
          <w:sz w:val="24"/>
          <w:szCs w:val="24"/>
        </w:rPr>
        <w:t xml:space="preserve"> информацию </w:t>
      </w:r>
      <w:r>
        <w:rPr>
          <w:color w:val="auto"/>
          <w:sz w:val="24"/>
          <w:szCs w:val="24"/>
        </w:rPr>
        <w:t xml:space="preserve">об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итог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х</w:t>
      </w:r>
      <w:r>
        <w:rPr>
          <w:color w:val="auto"/>
          <w:sz w:val="24"/>
          <w:szCs w:val="24"/>
        </w:rPr>
        <w:t xml:space="preserve"> обучения населения в области безопасности жизнедеятельности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году</w:t>
      </w:r>
      <w:r>
        <w:rPr>
          <w:color w:val="auto"/>
          <w:sz w:val="24"/>
          <w:szCs w:val="24"/>
        </w:rPr>
        <w:t xml:space="preserve"> в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Печенгском </w:t>
      </w:r>
      <w:r>
        <w:rPr>
          <w:color w:val="auto"/>
          <w:sz w:val="24"/>
          <w:szCs w:val="24"/>
        </w:rPr>
        <w:t xml:space="preserve">муниципальном о</w:t>
      </w:r>
      <w:r>
        <w:rPr>
          <w:color w:val="auto"/>
          <w:sz w:val="24"/>
          <w:szCs w:val="24"/>
        </w:rPr>
        <w:t xml:space="preserve">круге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согласно приложению.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Рекомендовать </w:t>
      </w:r>
      <w:r>
        <w:rPr>
          <w:color w:val="auto"/>
          <w:sz w:val="24"/>
          <w:szCs w:val="24"/>
        </w:rPr>
        <w:t xml:space="preserve">руководителям предприятий и организаций</w:t>
      </w:r>
      <w:r>
        <w:rPr>
          <w:color w:val="auto"/>
          <w:sz w:val="24"/>
          <w:szCs w:val="24"/>
        </w:rPr>
        <w:t xml:space="preserve"> всех форм собственности</w:t>
      </w:r>
      <w:r>
        <w:rPr>
          <w:color w:val="auto"/>
          <w:sz w:val="24"/>
          <w:szCs w:val="24"/>
        </w:rPr>
        <w:t xml:space="preserve">, расположенных на территории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муниципального о</w:t>
      </w:r>
      <w:r>
        <w:rPr>
          <w:color w:val="auto"/>
          <w:sz w:val="24"/>
          <w:szCs w:val="24"/>
        </w:rPr>
        <w:t xml:space="preserve">круга</w:t>
      </w:r>
      <w:r>
        <w:rPr>
          <w:color w:val="auto"/>
          <w:sz w:val="24"/>
          <w:szCs w:val="24"/>
        </w:rPr>
        <w:t xml:space="preserve">, при подготовке населения в области </w:t>
      </w:r>
      <w:r>
        <w:rPr>
          <w:color w:val="auto"/>
          <w:sz w:val="24"/>
          <w:szCs w:val="24"/>
        </w:rPr>
        <w:t xml:space="preserve">безопасности </w:t>
      </w:r>
      <w:r>
        <w:rPr>
          <w:color w:val="auto"/>
          <w:sz w:val="24"/>
          <w:szCs w:val="24"/>
        </w:rPr>
        <w:t xml:space="preserve">жизнедеятельности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году руководствоваться требованиями </w:t>
      </w: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рганизационно-методических </w:t>
      </w:r>
      <w:r>
        <w:rPr>
          <w:color w:val="auto"/>
          <w:sz w:val="24"/>
          <w:szCs w:val="24"/>
        </w:rPr>
        <w:t xml:space="preserve">рекомендаций</w:t>
      </w:r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t xml:space="preserve">подготовке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всех групп </w:t>
      </w:r>
      <w:r>
        <w:rPr>
          <w:color w:val="auto"/>
          <w:sz w:val="24"/>
          <w:szCs w:val="24"/>
        </w:rPr>
        <w:t xml:space="preserve">населения в области гражданской обороны</w:t>
      </w:r>
      <w:r>
        <w:rPr>
          <w:color w:val="auto"/>
          <w:sz w:val="24"/>
          <w:szCs w:val="24"/>
        </w:rPr>
        <w:t xml:space="preserve"> и</w:t>
      </w:r>
      <w:r>
        <w:rPr>
          <w:color w:val="auto"/>
          <w:sz w:val="24"/>
          <w:szCs w:val="24"/>
        </w:rPr>
        <w:t xml:space="preserve"> защиты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от чрезвычайных ситуаций на </w:t>
      </w:r>
      <w:r>
        <w:rPr>
          <w:color w:val="auto"/>
          <w:sz w:val="24"/>
          <w:szCs w:val="24"/>
        </w:rPr>
        <w:t xml:space="preserve">территории Российской Федерации в</w:t>
      </w:r>
      <w:r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1-202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ах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утвержденных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з</w:t>
      </w:r>
      <w:r>
        <w:rPr>
          <w:color w:val="auto"/>
          <w:sz w:val="24"/>
          <w:szCs w:val="24"/>
        </w:rPr>
        <w:t xml:space="preserve">аместителем </w:t>
      </w:r>
      <w:r>
        <w:rPr>
          <w:color w:val="auto"/>
          <w:sz w:val="24"/>
          <w:szCs w:val="24"/>
        </w:rPr>
        <w:t xml:space="preserve">М</w:t>
      </w:r>
      <w:r>
        <w:rPr>
          <w:color w:val="auto"/>
          <w:sz w:val="24"/>
          <w:szCs w:val="24"/>
        </w:rPr>
        <w:t xml:space="preserve">инистр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Р</w:t>
      </w:r>
      <w:r>
        <w:rPr>
          <w:color w:val="auto"/>
          <w:sz w:val="24"/>
          <w:szCs w:val="24"/>
        </w:rPr>
        <w:t xml:space="preserve">оссийской </w:t>
      </w:r>
      <w:r>
        <w:rPr>
          <w:color w:val="auto"/>
          <w:sz w:val="24"/>
          <w:szCs w:val="24"/>
        </w:rPr>
        <w:t xml:space="preserve">Ф</w:t>
      </w:r>
      <w:r>
        <w:rPr>
          <w:color w:val="auto"/>
          <w:sz w:val="24"/>
          <w:szCs w:val="24"/>
        </w:rPr>
        <w:t xml:space="preserve">едерации</w:t>
      </w:r>
      <w:r>
        <w:rPr>
          <w:color w:val="auto"/>
          <w:sz w:val="24"/>
          <w:szCs w:val="24"/>
        </w:rPr>
        <w:t xml:space="preserve"> по делам </w:t>
      </w:r>
      <w:r>
        <w:rPr>
          <w:color w:val="auto"/>
          <w:sz w:val="24"/>
          <w:szCs w:val="24"/>
        </w:rPr>
        <w:t xml:space="preserve">гражданской обороны,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чрезвычайным ситуациям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и ликвидации последствий стихийных бедствий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30</w:t>
      </w:r>
      <w:r>
        <w:rPr>
          <w:color w:val="auto"/>
          <w:sz w:val="24"/>
          <w:szCs w:val="24"/>
        </w:rPr>
        <w:t xml:space="preserve">.1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.20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2-4-71-36-11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Мурманской области в 2021-2025 годах, </w:t>
      </w:r>
      <w:r>
        <w:rPr>
          <w:color w:val="auto"/>
          <w:sz w:val="24"/>
          <w:szCs w:val="24"/>
        </w:rPr>
        <w:t xml:space="preserve">утвержденными</w:t>
      </w:r>
      <w:r>
        <w:rPr>
          <w:color w:val="auto"/>
          <w:sz w:val="24"/>
          <w:szCs w:val="24"/>
        </w:rPr>
        <w:t xml:space="preserve"> Начальником ГУ МЧС России по Мурманской области от 24.02.2021, </w:t>
      </w:r>
      <w:r>
        <w:rPr>
          <w:color w:val="auto"/>
          <w:sz w:val="24"/>
          <w:szCs w:val="24"/>
        </w:rPr>
        <w:t xml:space="preserve">постановлени</w:t>
      </w:r>
      <w:r>
        <w:rPr>
          <w:color w:val="auto"/>
          <w:sz w:val="24"/>
          <w:szCs w:val="24"/>
        </w:rPr>
        <w:t xml:space="preserve">ем Правительства Мурманской области от </w:t>
      </w:r>
      <w:r>
        <w:rPr>
          <w:color w:val="auto"/>
          <w:sz w:val="24"/>
          <w:szCs w:val="24"/>
        </w:rPr>
        <w:t xml:space="preserve">11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.20</w:t>
      </w:r>
      <w:r>
        <w:rPr>
          <w:color w:val="auto"/>
          <w:sz w:val="24"/>
          <w:szCs w:val="24"/>
        </w:rPr>
        <w:t xml:space="preserve">08</w:t>
      </w:r>
      <w:r>
        <w:rPr>
          <w:color w:val="auto"/>
          <w:sz w:val="24"/>
          <w:szCs w:val="24"/>
        </w:rPr>
        <w:t xml:space="preserve"> № 32</w:t>
      </w:r>
      <w:r>
        <w:rPr>
          <w:color w:val="auto"/>
          <w:sz w:val="24"/>
          <w:szCs w:val="24"/>
        </w:rPr>
        <w:t xml:space="preserve">9</w:t>
      </w:r>
      <w:r>
        <w:rPr>
          <w:color w:val="auto"/>
          <w:sz w:val="24"/>
          <w:szCs w:val="24"/>
        </w:rPr>
        <w:t xml:space="preserve">-ПП «О программ</w:t>
      </w:r>
      <w:r>
        <w:rPr>
          <w:color w:val="auto"/>
          <w:sz w:val="24"/>
          <w:szCs w:val="24"/>
        </w:rPr>
        <w:t xml:space="preserve">ах</w:t>
      </w:r>
      <w:r>
        <w:rPr>
          <w:color w:val="auto"/>
          <w:sz w:val="24"/>
          <w:szCs w:val="24"/>
        </w:rPr>
        <w:t xml:space="preserve"> обучения в области гражданской обороны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защиты от чрезвычайных ситуаций</w:t>
      </w:r>
      <w:r>
        <w:rPr>
          <w:color w:val="auto"/>
          <w:sz w:val="24"/>
          <w:szCs w:val="24"/>
        </w:rPr>
        <w:t xml:space="preserve">, обеспечения пожарной</w:t>
      </w:r>
      <w:r>
        <w:rPr>
          <w:color w:val="auto"/>
          <w:sz w:val="24"/>
          <w:szCs w:val="24"/>
        </w:rPr>
        <w:t xml:space="preserve"> безопасности и безопасности людей на водных объектах</w:t>
      </w:r>
      <w:r>
        <w:rPr>
          <w:color w:val="auto"/>
          <w:sz w:val="24"/>
          <w:szCs w:val="24"/>
        </w:rPr>
        <w:t xml:space="preserve">»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 Рекомендовать руководителям</w:t>
      </w:r>
      <w:r>
        <w:rPr>
          <w:color w:val="auto"/>
          <w:sz w:val="24"/>
          <w:szCs w:val="24"/>
        </w:rPr>
        <w:t xml:space="preserve"> предприятий, организаций</w:t>
      </w:r>
      <w:r>
        <w:rPr>
          <w:color w:val="auto"/>
          <w:sz w:val="24"/>
          <w:szCs w:val="24"/>
        </w:rPr>
        <w:t xml:space="preserve">, председателям КЧС и ПБ</w:t>
      </w:r>
      <w:r>
        <w:rPr>
          <w:color w:val="auto"/>
          <w:sz w:val="24"/>
          <w:szCs w:val="24"/>
        </w:rPr>
        <w:t xml:space="preserve"> предприятий и </w:t>
      </w:r>
      <w:r>
        <w:rPr>
          <w:color w:val="auto"/>
          <w:sz w:val="24"/>
          <w:szCs w:val="24"/>
        </w:rPr>
        <w:t xml:space="preserve">организаций: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Продолжить работу по совершенствованию нормативной правовой </w:t>
      </w:r>
      <w:r>
        <w:rPr>
          <w:color w:val="auto"/>
          <w:sz w:val="24"/>
          <w:szCs w:val="24"/>
        </w:rPr>
        <w:t xml:space="preserve">баз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области гражданской обороны и защиты от чрезвычайных ситуаций с учетом современных взглядов на защиту населения, материальных и культурных ценностей.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3.2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Организовать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</w:t>
      </w:r>
      <w:r>
        <w:rPr>
          <w:color w:val="auto"/>
          <w:sz w:val="24"/>
          <w:szCs w:val="24"/>
        </w:rPr>
        <w:t xml:space="preserve">ду подготовку должностных лиц, </w:t>
      </w:r>
      <w:r>
        <w:rPr>
          <w:color w:val="auto"/>
          <w:sz w:val="24"/>
          <w:szCs w:val="24"/>
        </w:rPr>
        <w:t xml:space="preserve">специалистов гражданской обороны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звен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Мурманской территориальной подсистемы РСЧС, населения в области безопасности жизнедеятельности в соответствии с требованиями руководящих и методических документов.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3.3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На заседаниях КЧС и ПБ всех уровней рассмотреть вопросы организации и хода обучения населения в области безопасности жизнедеятельности, развития учебно - материальной базы по гражданской обороне и защите от чрезвычайных ситуаций.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3.4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Обеспечить эффективный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планированием и осуществлением обучения всех групп населения в области безопасности жизнедеятельности, организовать учет подготовки по всем категориям обучаемых.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3.5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Обеспечить своевременное направление должностных лиц и специалистов ГО и РСЧС, руководителей НАСФ на переподготовку и повышение квалификации в </w:t>
      </w:r>
      <w:r>
        <w:rPr>
          <w:color w:val="auto"/>
          <w:sz w:val="24"/>
          <w:szCs w:val="24"/>
        </w:rPr>
        <w:t xml:space="preserve">УМЦ по ГОЧС Мурманской области.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3.6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Организовать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ходом и качеством подготовки аварийно - спасательных, пожарно - спасательных формирований и НАСФ в организациях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их готовностью к выполнению задач по предназначению.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Принять меры к созданию и развитию учебно</w:t>
      </w:r>
      <w:r>
        <w:rPr>
          <w:color w:val="auto"/>
          <w:sz w:val="24"/>
          <w:szCs w:val="24"/>
        </w:rPr>
        <w:t xml:space="preserve"> -</w:t>
      </w:r>
      <w:r>
        <w:rPr>
          <w:color w:val="auto"/>
          <w:sz w:val="24"/>
          <w:szCs w:val="24"/>
        </w:rPr>
        <w:t xml:space="preserve"> материальной базы для обучения населения в области безопасности жизнедеятельности. Осуществлять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реализацией планов развития и совершенствования </w:t>
      </w:r>
      <w:r>
        <w:rPr>
          <w:color w:val="auto"/>
          <w:sz w:val="24"/>
          <w:szCs w:val="24"/>
        </w:rPr>
        <w:t xml:space="preserve">учебно-материальной</w:t>
      </w:r>
      <w:r>
        <w:rPr>
          <w:color w:val="auto"/>
          <w:sz w:val="24"/>
          <w:szCs w:val="24"/>
        </w:rPr>
        <w:t xml:space="preserve"> базы для обучения всех групп населения в области гражданской обороны и защиты от чрезвычайных ситуаций и её эффективным использованием в учебном процессе.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Пропаганду знаний в области безопасности</w:t>
      </w:r>
      <w:r>
        <w:rPr>
          <w:color w:val="auto"/>
          <w:sz w:val="24"/>
          <w:szCs w:val="24"/>
        </w:rPr>
        <w:t xml:space="preserve"> ж</w:t>
      </w:r>
      <w:r>
        <w:rPr>
          <w:color w:val="auto"/>
          <w:sz w:val="24"/>
          <w:szCs w:val="24"/>
        </w:rPr>
        <w:t xml:space="preserve">изнедеятельности вести в тесной связи с обучением населения, предусматривая разработку и распространение информационно - справочных учебных печатных пособий и памяток, используя средства массовой информации, возможности местной печати, радио и телевидения.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3.9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В октябре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года организовать проведение месячника «Гражданской защиты». В ходе месячника провести смотры - конкурсы </w:t>
      </w:r>
      <w:r>
        <w:rPr>
          <w:color w:val="auto"/>
          <w:sz w:val="24"/>
          <w:szCs w:val="24"/>
        </w:rPr>
        <w:t xml:space="preserve">учебно - материальной</w:t>
      </w:r>
      <w:r>
        <w:rPr>
          <w:color w:val="auto"/>
          <w:sz w:val="24"/>
          <w:szCs w:val="24"/>
        </w:rPr>
        <w:t xml:space="preserve"> базы </w:t>
      </w:r>
      <w:r>
        <w:rPr>
          <w:color w:val="auto"/>
          <w:sz w:val="24"/>
          <w:szCs w:val="24"/>
        </w:rPr>
        <w:t xml:space="preserve">гражданской обороны и защиты от чрезвычайных ситуаций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муниципальн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о</w:t>
      </w:r>
      <w:r>
        <w:rPr>
          <w:color w:val="auto"/>
          <w:sz w:val="24"/>
          <w:szCs w:val="24"/>
        </w:rPr>
        <w:t xml:space="preserve">круга</w:t>
      </w:r>
      <w:r>
        <w:rPr>
          <w:color w:val="auto"/>
          <w:sz w:val="24"/>
          <w:szCs w:val="24"/>
        </w:rPr>
        <w:t xml:space="preserve">, предприятий </w:t>
      </w:r>
      <w:r>
        <w:rPr>
          <w:color w:val="auto"/>
          <w:sz w:val="24"/>
          <w:szCs w:val="24"/>
        </w:rPr>
        <w:t xml:space="preserve">и организаций.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67"/>
        <w:ind w:firstLine="709"/>
        <w:jc w:val="both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3.1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Представить в администрацию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до 15 ноября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доклад об организации и итогах подготовки населения в области </w:t>
      </w:r>
      <w:r>
        <w:rPr>
          <w:rFonts w:ascii="Times New Roman" w:hAnsi="Times New Roman" w:cs="Times New Roman"/>
          <w:sz w:val="24"/>
          <w:szCs w:val="24"/>
        </w:rPr>
        <w:t xml:space="preserve">гражданской обороны </w:t>
      </w:r>
      <w:r>
        <w:rPr>
          <w:rFonts w:ascii="Times New Roman" w:hAnsi="Times New Roman" w:cs="Times New Roman"/>
          <w:sz w:val="24"/>
          <w:szCs w:val="24"/>
        </w:rPr>
        <w:t xml:space="preserve">и защиты от чрезвычайны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ситуаций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Табелем срочных до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несений Мурманской области по вопросам гражданской обороны, предупреждения и ликвидации чрезвычайных ситуаций, утвержденным Постановлением Правительства Мурманской области от 11.04.2007 № 184-ПП «Об организации работы в области гражданской обороны, защиты</w:t>
      </w:r>
      <w:r>
        <w:rPr>
          <w:rFonts w:ascii="Times New Roman" w:hAnsi="Times New Roman" w:cs="Times New Roman"/>
          <w:sz w:val="24"/>
          <w:szCs w:val="24"/>
        </w:rPr>
        <w:t xml:space="preserve"> населения от чрезвычайных ситуаций на территории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4. Возложить методическое руководство, координацию и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обучением населения в области гражданской обороны, защиты от чрезвычайных ситуаций, обеспечения пожарной безопасности и безопасности людей на водных объектах на </w:t>
      </w:r>
      <w:r>
        <w:rPr>
          <w:color w:val="auto"/>
          <w:sz w:val="24"/>
          <w:szCs w:val="24"/>
        </w:rPr>
        <w:t xml:space="preserve">отдел ГО, ЧС и ПБ администрации Печенгск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муниципального округа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bCs/>
          <w:color w:val="auto"/>
          <w:sz w:val="24"/>
          <w:szCs w:val="24"/>
        </w:rPr>
        <w:t xml:space="preserve">5</w:t>
      </w:r>
      <w:r>
        <w:rPr>
          <w:bCs/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6. Настоящее постановление</w:t>
      </w:r>
      <w:r>
        <w:rPr>
          <w:color w:val="auto"/>
          <w:sz w:val="24"/>
          <w:szCs w:val="24"/>
        </w:rPr>
        <w:t xml:space="preserve"> опубликова</w:t>
      </w:r>
      <w:r>
        <w:rPr>
          <w:color w:val="auto"/>
          <w:sz w:val="24"/>
          <w:szCs w:val="24"/>
        </w:rPr>
        <w:t xml:space="preserve">ть</w:t>
      </w:r>
      <w:r>
        <w:rPr>
          <w:color w:val="auto"/>
          <w:sz w:val="24"/>
          <w:szCs w:val="24"/>
        </w:rPr>
        <w:t xml:space="preserve"> в газете «Печенга» и разме</w:t>
      </w:r>
      <w:r>
        <w:rPr>
          <w:color w:val="auto"/>
          <w:sz w:val="24"/>
          <w:szCs w:val="24"/>
        </w:rPr>
        <w:t xml:space="preserve">стить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s://pechengamr.gov-murman.ru/" w:history="1">
        <w:r>
          <w:rPr>
            <w:rStyle w:val="864"/>
            <w:color w:val="auto"/>
            <w:sz w:val="24"/>
            <w:szCs w:val="24"/>
          </w:rPr>
          <w:t xml:space="preserve">https://pechengamr.gov-murman.ru/</w:t>
        </w:r>
      </w:hyperlink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  <w:suppressLineNumbers w:val="0"/>
      </w:pP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исполнением настоящего постановления возложить на заместителя Главы администрации Печенгского района Пономарева А.В.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И.о. </w:t>
      </w: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Печенгск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муниципального округа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         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.В. </w:t>
      </w:r>
      <w:r>
        <w:rPr>
          <w:color w:val="auto"/>
          <w:sz w:val="24"/>
          <w:szCs w:val="24"/>
        </w:rPr>
        <w:t xml:space="preserve">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</w:rPr>
      </w:r>
    </w:p>
    <w:p>
      <w:pPr>
        <w:jc w:val="both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Соболев</w:t>
      </w:r>
      <w:r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 xml:space="preserve">А</w:t>
      </w:r>
      <w:r>
        <w:rPr>
          <w:color w:val="auto"/>
          <w:sz w:val="20"/>
          <w:szCs w:val="20"/>
        </w:rPr>
        <w:t xml:space="preserve">.</w:t>
      </w:r>
      <w:r>
        <w:rPr>
          <w:color w:val="auto"/>
          <w:sz w:val="20"/>
          <w:szCs w:val="20"/>
        </w:rPr>
        <w:t xml:space="preserve">В</w:t>
      </w:r>
      <w:r>
        <w:rPr>
          <w:color w:val="auto"/>
          <w:sz w:val="20"/>
          <w:szCs w:val="20"/>
        </w:rPr>
        <w:t xml:space="preserve">.</w:t>
      </w:r>
      <w:r>
        <w:rPr>
          <w:color w:val="auto"/>
          <w:sz w:val="20"/>
          <w:szCs w:val="20"/>
        </w:rPr>
        <w:t xml:space="preserve">  5</w:t>
      </w:r>
      <w:r>
        <w:rPr>
          <w:color w:val="auto"/>
          <w:sz w:val="20"/>
          <w:szCs w:val="20"/>
        </w:rPr>
        <w:t xml:space="preserve">0</w:t>
      </w:r>
      <w:r>
        <w:rPr>
          <w:color w:val="auto"/>
          <w:sz w:val="20"/>
          <w:szCs w:val="20"/>
        </w:rPr>
        <w:t xml:space="preserve">00</w:t>
      </w:r>
      <w:r>
        <w:rPr>
          <w:color w:val="auto"/>
          <w:sz w:val="20"/>
          <w:szCs w:val="20"/>
        </w:rPr>
        <w:t xml:space="preserve">7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jc w:val="both"/>
        <w:rPr>
          <w:color w:val="auto"/>
          <w:sz w:val="16"/>
          <w:szCs w:val="16"/>
        </w:rPr>
        <w:sectPr>
          <w:footnotePr/>
          <w:endnotePr/>
          <w:type w:val="nextPage"/>
          <w:pgSz w:w="11906" w:h="16838" w:orient="portrait"/>
          <w:pgMar w:top="709" w:right="850" w:bottom="539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 xml:space="preserve">от 18.02.2025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262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Информация </w:t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об итогах обучения населения в области безопасности жизнедеятельности в 20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4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году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Печенгском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муниципальном 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круге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9"/>
        <w:ind w:firstLine="54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Подготовка населения Печенгского муниципального округа в области гражданской обороны и защиты от чрезвычайных ситуаций </w:t>
      </w:r>
      <w:r>
        <w:rPr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у</w:t>
      </w:r>
      <w:r>
        <w:rPr>
          <w:color w:val="auto"/>
          <w:sz w:val="24"/>
          <w:szCs w:val="24"/>
        </w:rPr>
        <w:t xml:space="preserve"> была организована и проводилась в соответствии с требованиями законодательных и подзаконных актов Российской Федерации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соответствии с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28.07.2021 </w:t>
      </w:r>
      <w:r>
        <w:rPr>
          <w:color w:val="auto"/>
          <w:sz w:val="24"/>
          <w:szCs w:val="24"/>
        </w:rPr>
        <w:t xml:space="preserve">№ 780 «Об организации подготовки населения Печенгского муниципального округа в области защиты от чрезвычайных ситуаций природного и техногенного характера», 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25.10.2021 </w:t>
      </w:r>
      <w:r>
        <w:rPr>
          <w:color w:val="auto"/>
          <w:sz w:val="24"/>
          <w:szCs w:val="24"/>
        </w:rPr>
        <w:t xml:space="preserve">№ 1161 «О подготовке населения Печенгского муниципального округа в области гражданской обороны».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году в </w:t>
      </w:r>
      <w:r>
        <w:rPr>
          <w:color w:val="auto"/>
          <w:sz w:val="24"/>
          <w:szCs w:val="24"/>
        </w:rPr>
        <w:t xml:space="preserve">Печенгском муниципальном округе</w:t>
      </w:r>
      <w:r>
        <w:rPr>
          <w:color w:val="auto"/>
          <w:sz w:val="24"/>
          <w:szCs w:val="24"/>
        </w:rPr>
        <w:t xml:space="preserve"> принят правов</w:t>
      </w:r>
      <w:r>
        <w:rPr>
          <w:color w:val="auto"/>
          <w:sz w:val="24"/>
          <w:szCs w:val="24"/>
        </w:rPr>
        <w:t xml:space="preserve">ой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акт</w:t>
      </w:r>
      <w:r>
        <w:rPr>
          <w:color w:val="auto"/>
          <w:sz w:val="24"/>
          <w:szCs w:val="24"/>
        </w:rPr>
        <w:t xml:space="preserve"> по подготовке населения в области защиты от чрезвычайных ситуаций и гражданской обороны: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постановление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12</w:t>
      </w:r>
      <w:r>
        <w:rPr>
          <w:color w:val="auto"/>
          <w:sz w:val="24"/>
          <w:szCs w:val="24"/>
        </w:rPr>
        <w:t xml:space="preserve">.03.202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357</w:t>
      </w:r>
      <w:r>
        <w:rPr>
          <w:color w:val="auto"/>
          <w:sz w:val="24"/>
          <w:szCs w:val="24"/>
        </w:rPr>
        <w:t xml:space="preserve"> «Об итогах обучения населения в области безопасности жизнедеятельности в 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году в Печенгском муниципально</w:t>
      </w:r>
      <w:r>
        <w:rPr>
          <w:color w:val="auto"/>
          <w:sz w:val="24"/>
          <w:szCs w:val="24"/>
        </w:rPr>
        <w:t xml:space="preserve">м округе и задачах на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организациях, располагающихся на территории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  <w:t xml:space="preserve">, имеются распорядительные документы по подготовке населения в области защиты от чрезвычайных ситуаций и гражданской</w:t>
      </w:r>
      <w:r>
        <w:rPr>
          <w:color w:val="auto"/>
          <w:sz w:val="24"/>
          <w:szCs w:val="24"/>
        </w:rPr>
        <w:t xml:space="preserve"> обороны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11</w:t>
      </w:r>
      <w:r>
        <w:rPr>
          <w:color w:val="auto"/>
          <w:sz w:val="24"/>
        </w:rPr>
        <w:t xml:space="preserve">.07.202</w:t>
      </w:r>
      <w:r>
        <w:rPr>
          <w:color w:val="auto"/>
          <w:sz w:val="24"/>
        </w:rPr>
        <w:t xml:space="preserve">4</w:t>
      </w:r>
      <w:r>
        <w:rPr>
          <w:color w:val="auto"/>
          <w:sz w:val="24"/>
        </w:rPr>
        <w:t xml:space="preserve"> года, на заседании комиссии по предупреждению и ликвидации чрезвычайных ситуаций и обеспечения пожарн</w:t>
      </w:r>
      <w:r>
        <w:rPr>
          <w:color w:val="auto"/>
          <w:sz w:val="24"/>
        </w:rPr>
        <w:t xml:space="preserve">ой безопасности Печенгского муниципального округа рассмотрен вопрос «Об организации и ходе обучения населения в области безопасности жизнедеятельности, развитии учебно-материальной базы по гражданской обороне и защите от чрезвычайных ситуаций» (Протокол № </w:t>
      </w:r>
      <w:r>
        <w:rPr>
          <w:color w:val="auto"/>
          <w:sz w:val="24"/>
        </w:rPr>
        <w:t xml:space="preserve">34</w:t>
      </w:r>
      <w:r>
        <w:rPr>
          <w:color w:val="auto"/>
          <w:sz w:val="24"/>
        </w:rPr>
        <w:t xml:space="preserve">).</w:t>
      </w:r>
      <w:r>
        <w:rPr>
          <w:color w:val="auto"/>
          <w:sz w:val="24"/>
        </w:rPr>
      </w:r>
      <w:r>
        <w:rPr>
          <w:color w:val="auto"/>
          <w:sz w:val="24"/>
        </w:rPr>
      </w:r>
    </w:p>
    <w:p>
      <w:pPr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Взаимодействие отдела ГО, ЧС и ПБ с отделом образования администрации в вопросах обучения учащейся молодежи действиям в ЧС налажено.</w:t>
      </w:r>
      <w:r>
        <w:rPr>
          <w:color w:val="auto"/>
          <w:sz w:val="24"/>
        </w:rPr>
      </w:r>
      <w:r>
        <w:rPr>
          <w:color w:val="auto"/>
          <w:sz w:val="24"/>
        </w:rPr>
      </w:r>
    </w:p>
    <w:p>
      <w:pPr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Учет подготовки должностных лиц и специалистов РСЧС и ГО в администрации ведется.</w:t>
      </w:r>
      <w:r>
        <w:rPr>
          <w:color w:val="auto"/>
          <w:sz w:val="24"/>
        </w:rPr>
      </w:r>
      <w:r>
        <w:rPr>
          <w:color w:val="auto"/>
          <w:sz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Глава Печенгского муниципального округа и заместитель Главы прошли подг</w:t>
      </w:r>
      <w:r>
        <w:rPr>
          <w:color w:val="auto"/>
          <w:sz w:val="24"/>
          <w:szCs w:val="24"/>
        </w:rPr>
        <w:t xml:space="preserve">отовку в учебно-методическом центре по ГО и ЧС ГОКУ «Управление по делам ГО, защиты населения от ЧС и пожарной безопасности Мурманской области» по программе «Обучение должностных лиц, входящих в составы комиссий по повышению устойчивости функционирования».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работающего населения проводилось непосредственно в организациях в соответствии с требованиями </w:t>
      </w:r>
      <w:r>
        <w:rPr>
          <w:color w:val="auto"/>
          <w:sz w:val="24"/>
          <w:szCs w:val="24"/>
        </w:rPr>
        <w:t xml:space="preserve">постановления Правительства Мурманской области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30.05.2005 № 207-ПП «Об организации подготовки населения в области гражданской обороны», </w:t>
      </w:r>
      <w:r>
        <w:rPr>
          <w:color w:val="auto"/>
          <w:sz w:val="24"/>
          <w:szCs w:val="24"/>
        </w:rPr>
        <w:t xml:space="preserve">организационно-методических указаний по обучению населения Мурманской области в области гражданской обороны, защиты от чрезвычайных ситуаций, обеспечения пожарной безопасности и безопасности людей на водных объектах.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Обеспечено и</w:t>
      </w:r>
      <w:r>
        <w:rPr>
          <w:color w:val="auto"/>
          <w:sz w:val="24"/>
          <w:szCs w:val="24"/>
        </w:rPr>
        <w:t xml:space="preserve">ндивидуальное изучение способов защиты от опасностей, возникающих при ведении военных действий или вследствие этих действий.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бучение личного состава нештатных аварийно-спасательных формирований и спасательных служб проводилось непосредственно в организациях в соответствии с </w:t>
      </w:r>
      <w:r>
        <w:rPr>
          <w:color w:val="auto"/>
          <w:sz w:val="24"/>
          <w:szCs w:val="24"/>
        </w:rPr>
        <w:t xml:space="preserve">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Правительства Мурманской области от 30.05.2005 № 207-ПП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«Об организации подготовки населения в области гражданской обороны». </w:t>
      </w:r>
      <w:r>
        <w:rPr>
          <w:color w:val="auto"/>
          <w:sz w:val="24"/>
          <w:szCs w:val="24"/>
        </w:rPr>
        <w:t xml:space="preserve">Обеспечено у</w:t>
      </w:r>
      <w:r>
        <w:rPr>
          <w:color w:val="auto"/>
          <w:sz w:val="24"/>
          <w:szCs w:val="24"/>
        </w:rPr>
        <w:t xml:space="preserve">частие в учениях, тренировках и других плановых мероприятиях по гражданской обороне и защиты населения от чрезвычайных происшествий.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</w:t>
      </w:r>
      <w:r>
        <w:rPr>
          <w:color w:val="auto"/>
          <w:sz w:val="24"/>
          <w:szCs w:val="24"/>
        </w:rPr>
        <w:t xml:space="preserve">Основы безопасности и защиты России</w:t>
      </w:r>
      <w:r>
        <w:rPr>
          <w:color w:val="auto"/>
          <w:sz w:val="24"/>
          <w:szCs w:val="24"/>
        </w:rPr>
        <w:t xml:space="preserve">» организовано в муниципальных общеобразовательных учреждениях (обучается 10</w:t>
      </w:r>
      <w:r>
        <w:rPr>
          <w:color w:val="auto"/>
          <w:sz w:val="24"/>
          <w:szCs w:val="24"/>
        </w:rPr>
        <w:t xml:space="preserve">80</w:t>
      </w:r>
      <w:r>
        <w:rPr>
          <w:color w:val="auto"/>
          <w:sz w:val="24"/>
          <w:szCs w:val="24"/>
        </w:rPr>
        <w:t xml:space="preserve"> человек) и ГАПОУ МО «Печенгский политехнический техникум» (обучается 7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 человек).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«Безопасность жизнедеятельности» организовано в ГАПОУ МО «Печенгский политехнический техникум», всего обучается </w:t>
      </w:r>
      <w:r>
        <w:rPr>
          <w:color w:val="auto"/>
          <w:sz w:val="24"/>
          <w:szCs w:val="24"/>
        </w:rPr>
        <w:t xml:space="preserve">60</w:t>
      </w:r>
      <w:r>
        <w:rPr>
          <w:color w:val="auto"/>
          <w:sz w:val="24"/>
          <w:szCs w:val="24"/>
        </w:rPr>
        <w:t xml:space="preserve"> человек.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Объем часов, планируемых на изучение </w:t>
      </w:r>
      <w:r>
        <w:rPr>
          <w:color w:val="auto"/>
          <w:sz w:val="24"/>
          <w:szCs w:val="24"/>
        </w:rPr>
        <w:t xml:space="preserve">программы ОБЗР – 68 час. В ГАПОУ МО «Печенгский политехнический техникум» объем часов, планируемых на изучение программы ОБЗР – 70 часов и БЖ – 78 часов. Учебный процесс по программам ОБЗР и БЖ спланирован. Учебные планы выполнены. Учебный материал усвоен.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Специально оборудованные учебные классы для проведени</w:t>
      </w:r>
      <w:r>
        <w:rPr>
          <w:color w:val="auto"/>
          <w:sz w:val="24"/>
          <w:szCs w:val="24"/>
        </w:rPr>
        <w:t xml:space="preserve">я практических занятий по ОБЗР созданы в 2 учреждениях. Электронный тир – в 5 учреждениях, спортивный городок – в 4 учреждениях, элементы полосы препятствий – в 4 учреждениях. Подготовка и переподготовка квалифицированных преподавателей-организаторов ОБЗР.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Подготовка неработающего населения осуществлялась в соответствии с Комплексным планом по </w:t>
      </w:r>
      <w:r>
        <w:rPr>
          <w:color w:val="auto"/>
          <w:sz w:val="24"/>
          <w:szCs w:val="24"/>
        </w:rPr>
        <w:t xml:space="preserve">подготовке</w:t>
      </w:r>
      <w:r>
        <w:rPr>
          <w:color w:val="auto"/>
          <w:sz w:val="24"/>
          <w:szCs w:val="24"/>
        </w:rPr>
        <w:t xml:space="preserve"> неработающего </w:t>
      </w:r>
      <w:r>
        <w:rPr>
          <w:color w:val="auto"/>
          <w:sz w:val="24"/>
          <w:szCs w:val="24"/>
        </w:rPr>
        <w:t xml:space="preserve">населения Печенгского муниципального округа в области гражданской обороны и защиты от чрезвычайных ситуаций на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год, утвержденн</w:t>
      </w:r>
      <w:r>
        <w:rPr>
          <w:color w:val="auto"/>
          <w:sz w:val="24"/>
          <w:szCs w:val="24"/>
        </w:rPr>
        <w:t xml:space="preserve">ым</w:t>
      </w:r>
      <w:r>
        <w:rPr>
          <w:color w:val="auto"/>
          <w:sz w:val="24"/>
          <w:szCs w:val="24"/>
        </w:rPr>
        <w:t xml:space="preserve"> Главой Печенгского муниципального округа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г. Заполярный на базе МБУ «</w:t>
      </w:r>
      <w:r>
        <w:rPr>
          <w:color w:val="auto"/>
          <w:sz w:val="24"/>
          <w:szCs w:val="24"/>
        </w:rPr>
        <w:t xml:space="preserve">Ремонтно-эксплуатационная</w:t>
      </w:r>
      <w:r>
        <w:rPr>
          <w:color w:val="auto"/>
          <w:sz w:val="24"/>
          <w:szCs w:val="24"/>
        </w:rPr>
        <w:t xml:space="preserve"> служба» создан учебн</w:t>
      </w:r>
      <w:r>
        <w:rPr>
          <w:color w:val="auto"/>
          <w:sz w:val="24"/>
          <w:szCs w:val="24"/>
        </w:rPr>
        <w:t xml:space="preserve">о-консультационный пункт. В настоящее время продолжается работа по укомплектованию УКП материальной базой и учебными пособиями. Для учебных целей приобретены средства индивидуальной защиты, дозиметры, мебель, закуплены комплекты учебных плакатов и фильмов.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газете «Пе</w:t>
      </w:r>
      <w:r>
        <w:rPr>
          <w:color w:val="auto"/>
          <w:sz w:val="24"/>
          <w:szCs w:val="24"/>
        </w:rPr>
        <w:t xml:space="preserve">ченга», на официальном сайте Печенгского муниципального округа, а также на странице МКУ «ЕДДС Печенгского муниципального округа», в социальной сети «ВКонтакте» на постоянной основе публикуется информация по соблюдению правил безопасности жизнедеятельности.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году в </w:t>
      </w:r>
      <w:r>
        <w:rPr>
          <w:color w:val="auto"/>
          <w:sz w:val="24"/>
          <w:szCs w:val="24"/>
        </w:rPr>
        <w:t xml:space="preserve">Печенгском муниципальном округе</w:t>
      </w:r>
      <w:r>
        <w:rPr>
          <w:color w:val="auto"/>
          <w:sz w:val="24"/>
          <w:szCs w:val="24"/>
        </w:rPr>
        <w:t xml:space="preserve"> пров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д</w:t>
      </w:r>
      <w:r>
        <w:rPr>
          <w:color w:val="auto"/>
          <w:sz w:val="24"/>
          <w:szCs w:val="24"/>
        </w:rPr>
        <w:t xml:space="preserve">ен</w:t>
      </w:r>
      <w:r>
        <w:rPr>
          <w:color w:val="auto"/>
          <w:sz w:val="24"/>
          <w:szCs w:val="24"/>
        </w:rPr>
        <w:t xml:space="preserve">ы следующие мероприятия: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5 и 6 марта 2024 года проведено командно-штабное учение с органами управления и силами единой государственной системы предупреждения и ликвидации чрезвычайных ситуаций.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3 и 4 октября проведена штабная тренировка по гражданской обороне.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В ходе проведения учений и тренировок осуществлялись практические мероприятия: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оповещение и сбор КЧС и ПБ Печенгского муниципального округа;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оповещение и сбор ПУФ Печенгского муниципального округа;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оценка обстановки, выработка решения и постановка задач органам управления, силам и средствам муниципального звена ТП РСЧС;</w:t>
      </w: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в организациях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объектовы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тренировк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в количестве 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, командно-штабны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учени</w:t>
      </w:r>
      <w:r>
        <w:rPr>
          <w:color w:val="auto"/>
          <w:sz w:val="24"/>
          <w:szCs w:val="24"/>
        </w:rPr>
        <w:t xml:space="preserve">я</w:t>
      </w:r>
      <w:r>
        <w:rPr>
          <w:color w:val="auto"/>
          <w:sz w:val="24"/>
          <w:szCs w:val="24"/>
        </w:rPr>
        <w:t xml:space="preserve"> (тренировк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) –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тактико-специальные учения с формированиями - 1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ходе проведения учений и тренировок осуществлялись практические мероприятия: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оповещение и сбор КЧС и ПБ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оценка обстановки, выработка решения и постановка задач органам управления, силам и средствам муниципального звена ТП РСЧС;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проверка приведения органов управления, сил и средств муниципального звена ТП РСЧС в режим функционирования «Повышенная готовность»;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организация должного управления и взаимодействия по ликвидации аварийной ситуации с привлечением всех сил и средств;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проведение развертывания поста радиационного, химического и биологического наблюдения.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Учебно-материальная база имеется в основном в образовательных учреждениях, в которых проводится </w:t>
      </w: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«Основы безопасности жизнедеятельности» и «Безопасность жизнедеятельности». В основном УМБ соответствует нормативным требованиям и указаниям и эффективно используется в обучении.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993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260" w:hanging="360"/>
        <w:tabs>
          <w:tab w:val="num" w:pos="12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92" w:hanging="432"/>
        <w:tabs>
          <w:tab w:val="num" w:pos="16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24" w:hanging="504"/>
        <w:tabs>
          <w:tab w:val="num" w:pos="23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628" w:hanging="648"/>
        <w:tabs>
          <w:tab w:val="num" w:pos="30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132" w:hanging="792"/>
        <w:tabs>
          <w:tab w:val="num" w:pos="34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636" w:hanging="936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140" w:hanging="1080"/>
        <w:tabs>
          <w:tab w:val="num" w:pos="45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44" w:hanging="1224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20" w:hanging="1440"/>
        <w:tabs>
          <w:tab w:val="num" w:pos="558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2">
      <w:start w:val="1"/>
      <w:numFmt w:val="decimalZero"/>
      <w:isLgl/>
      <w:suff w:val="tab"/>
      <w:lvlText w:val="%1.%2.%3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0" w:hanging="870"/>
        <w:tabs>
          <w:tab w:val="num" w:pos="141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006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6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  <w:tabs>
          <w:tab w:val="num" w:pos="1931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  <w:tabs>
          <w:tab w:val="num" w:pos="2651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  <w:tabs>
          <w:tab w:val="num" w:pos="3371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  <w:tabs>
          <w:tab w:val="num" w:pos="4091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  <w:tabs>
          <w:tab w:val="num" w:pos="4811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  <w:tabs>
          <w:tab w:val="num" w:pos="5531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  <w:tabs>
          <w:tab w:val="num" w:pos="6251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  <w:tabs>
          <w:tab w:val="num" w:pos="6971" w:leader="none"/>
        </w:tabs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49"/>
    <w:next w:val="849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2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49"/>
    <w:next w:val="849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2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49"/>
    <w:next w:val="849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2"/>
    <w:link w:val="680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852"/>
    <w:link w:val="850"/>
    <w:uiPriority w:val="9"/>
    <w:rPr>
      <w:rFonts w:ascii="Arial" w:hAnsi="Arial" w:eastAsia="Arial" w:cs="Arial"/>
      <w:b/>
      <w:bCs/>
      <w:sz w:val="26"/>
      <w:szCs w:val="26"/>
    </w:rPr>
  </w:style>
  <w:style w:type="character" w:styleId="683">
    <w:name w:val="Heading 5 Char"/>
    <w:basedOn w:val="852"/>
    <w:link w:val="851"/>
    <w:uiPriority w:val="9"/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849"/>
    <w:next w:val="849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5">
    <w:name w:val="Heading 6 Char"/>
    <w:basedOn w:val="852"/>
    <w:link w:val="684"/>
    <w:uiPriority w:val="9"/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849"/>
    <w:next w:val="849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7 Char"/>
    <w:basedOn w:val="852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849"/>
    <w:next w:val="849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8 Char"/>
    <w:basedOn w:val="852"/>
    <w:link w:val="688"/>
    <w:uiPriority w:val="9"/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849"/>
    <w:next w:val="849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>
    <w:name w:val="Heading 9 Char"/>
    <w:basedOn w:val="852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List Paragraph"/>
    <w:basedOn w:val="849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49"/>
    <w:next w:val="849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basedOn w:val="852"/>
    <w:link w:val="694"/>
    <w:uiPriority w:val="10"/>
    <w:rPr>
      <w:sz w:val="48"/>
      <w:szCs w:val="48"/>
    </w:rPr>
  </w:style>
  <w:style w:type="paragraph" w:styleId="696">
    <w:name w:val="Subtitle"/>
    <w:basedOn w:val="849"/>
    <w:next w:val="849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basedOn w:val="852"/>
    <w:link w:val="696"/>
    <w:uiPriority w:val="11"/>
    <w:rPr>
      <w:sz w:val="24"/>
      <w:szCs w:val="24"/>
    </w:rPr>
  </w:style>
  <w:style w:type="paragraph" w:styleId="698">
    <w:name w:val="Quote"/>
    <w:basedOn w:val="849"/>
    <w:next w:val="849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49"/>
    <w:next w:val="849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49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basedOn w:val="852"/>
    <w:link w:val="702"/>
    <w:uiPriority w:val="99"/>
  </w:style>
  <w:style w:type="paragraph" w:styleId="704">
    <w:name w:val="Footer"/>
    <w:basedOn w:val="849"/>
    <w:link w:val="7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2"/>
    <w:link w:val="704"/>
    <w:uiPriority w:val="99"/>
  </w:style>
  <w:style w:type="character" w:styleId="706">
    <w:name w:val="Caption Char"/>
    <w:basedOn w:val="856"/>
    <w:link w:val="704"/>
    <w:uiPriority w:val="99"/>
  </w:style>
  <w:style w:type="table" w:styleId="707">
    <w:name w:val="Table Grid Light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2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2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rPr>
      <w:color w:val="0000ff"/>
      <w:sz w:val="28"/>
      <w:szCs w:val="28"/>
    </w:rPr>
  </w:style>
  <w:style w:type="paragraph" w:styleId="850">
    <w:name w:val="Heading 4"/>
    <w:basedOn w:val="849"/>
    <w:next w:val="849"/>
    <w:qFormat/>
    <w:pPr>
      <w:jc w:val="center"/>
      <w:keepNext/>
      <w:outlineLvl w:val="3"/>
    </w:pPr>
    <w:rPr>
      <w:b/>
      <w:szCs w:val="20"/>
    </w:rPr>
  </w:style>
  <w:style w:type="paragraph" w:styleId="851">
    <w:name w:val="Heading 5"/>
    <w:basedOn w:val="849"/>
    <w:next w:val="849"/>
    <w:qFormat/>
    <w:pPr>
      <w:jc w:val="center"/>
      <w:keepNext/>
      <w:outlineLvl w:val="4"/>
    </w:pPr>
    <w:rPr>
      <w:b/>
      <w:sz w:val="56"/>
      <w:szCs w:val="20"/>
    </w:rPr>
  </w:style>
  <w:style w:type="character" w:styleId="852" w:default="1">
    <w:name w:val="Default Paragraph Font"/>
    <w:uiPriority w:val="1"/>
    <w:semiHidden/>
    <w:unhideWhenUsed/>
  </w:style>
  <w:style w:type="table" w:styleId="8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4" w:default="1">
    <w:name w:val="No List"/>
    <w:uiPriority w:val="99"/>
    <w:semiHidden/>
    <w:unhideWhenUsed/>
  </w:style>
  <w:style w:type="paragraph" w:styleId="855">
    <w:name w:val="Body Text Indent 2"/>
    <w:basedOn w:val="849"/>
    <w:pPr>
      <w:ind w:firstLine="851"/>
      <w:jc w:val="both"/>
    </w:pPr>
    <w:rPr>
      <w:sz w:val="26"/>
      <w:szCs w:val="20"/>
    </w:rPr>
  </w:style>
  <w:style w:type="paragraph" w:styleId="856">
    <w:name w:val="Caption"/>
    <w:basedOn w:val="849"/>
    <w:next w:val="849"/>
    <w:qFormat/>
    <w:pPr>
      <w:jc w:val="center"/>
    </w:pPr>
    <w:rPr>
      <w:b/>
      <w:sz w:val="32"/>
      <w:szCs w:val="20"/>
    </w:rPr>
  </w:style>
  <w:style w:type="paragraph" w:styleId="857">
    <w:name w:val="Body Text Indent"/>
    <w:basedOn w:val="849"/>
    <w:pPr>
      <w:ind w:left="283"/>
      <w:spacing w:after="120"/>
    </w:pPr>
  </w:style>
  <w:style w:type="paragraph" w:styleId="858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59" w:customStyle="1">
    <w:name w:val="ConsPlusNormal"/>
    <w:pPr>
      <w:ind w:firstLine="720"/>
      <w:widowControl w:val="off"/>
    </w:pPr>
    <w:rPr>
      <w:rFonts w:ascii="Arial" w:hAnsi="Arial" w:cs="Arial"/>
    </w:rPr>
  </w:style>
  <w:style w:type="table" w:styleId="860">
    <w:name w:val="Table Grid"/>
    <w:basedOn w:val="85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Balloon Text"/>
    <w:basedOn w:val="849"/>
    <w:semiHidden/>
    <w:rPr>
      <w:rFonts w:ascii="Tahoma" w:hAnsi="Tahoma" w:cs="Tahoma"/>
      <w:sz w:val="16"/>
      <w:szCs w:val="16"/>
    </w:rPr>
  </w:style>
  <w:style w:type="paragraph" w:styleId="862">
    <w:name w:val="Normal (Web)"/>
    <w:basedOn w:val="849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63">
    <w:name w:val="Strong"/>
    <w:qFormat/>
    <w:rPr>
      <w:b/>
      <w:bCs/>
    </w:rPr>
  </w:style>
  <w:style w:type="character" w:styleId="864">
    <w:name w:val="Hyperlink"/>
    <w:rPr>
      <w:color w:val="0000ff"/>
      <w:u w:val="single"/>
    </w:rPr>
  </w:style>
  <w:style w:type="paragraph" w:styleId="865" w:customStyle="1">
    <w:name w:val="Знак Знак Знак Знак"/>
    <w:basedOn w:val="849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866" w:customStyle="1">
    <w:name w:val="Знак Знак Знак Знак Знак Знак Знак Знак Знак"/>
    <w:basedOn w:val="849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867" w:customStyle="1">
    <w:name w:val="ConsPlusNonformat"/>
    <w:uiPriority w:val="99"/>
    <w:rPr>
      <w:rFonts w:ascii="Courier New" w:hAnsi="Courier New" w:cs="Courier New"/>
    </w:rPr>
  </w:style>
  <w:style w:type="character" w:styleId="868" w:customStyle="1">
    <w:name w:val="Основной текст (2)_"/>
    <w:basedOn w:val="852"/>
    <w:link w:val="869"/>
    <w:rPr>
      <w:shd w:val="clear" w:color="auto" w:fill="ffffff"/>
    </w:rPr>
  </w:style>
  <w:style w:type="paragraph" w:styleId="869" w:customStyle="1">
    <w:name w:val="Основной текст (2)"/>
    <w:basedOn w:val="849"/>
    <w:link w:val="868"/>
    <w:pPr>
      <w:jc w:val="center"/>
      <w:spacing w:before="540" w:line="270" w:lineRule="exact"/>
      <w:shd w:val="clear" w:color="auto" w:fill="ffffff"/>
      <w:widowControl w:val="off"/>
    </w:pPr>
    <w:rPr>
      <w:color w:val="auto"/>
      <w:sz w:val="20"/>
      <w:szCs w:val="20"/>
    </w:rPr>
  </w:style>
  <w:style w:type="character" w:styleId="870" w:customStyle="1">
    <w:name w:val="Основной текст + 10"/>
    <w:rPr>
      <w:rFonts w:ascii="Times New Roman" w:hAnsi="Times New Roman" w:cs="Times New Roman"/>
      <w:spacing w:val="3"/>
      <w:sz w:val="21"/>
      <w:szCs w:val="21"/>
      <w:u w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2DE4B-0FDB-4ADA-9980-D3A7383FB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Жаркова</dc:creator>
  <cp:revision>4</cp:revision>
  <dcterms:created xsi:type="dcterms:W3CDTF">2025-02-12T13:50:00Z</dcterms:created>
  <dcterms:modified xsi:type="dcterms:W3CDTF">2025-02-20T06:09:09Z</dcterms:modified>
</cp:coreProperties>
</file>