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20.02.2025</w:t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            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№ 265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color w:val="000000"/>
          <w:highlight w:val="none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bCs/>
          <w:color w:val="000000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Cs w:val="20"/>
          <w:highlight w:val="none"/>
        </w:rPr>
      </w:r>
      <w:r>
        <w:rPr>
          <w:rFonts w:ascii="Times New Roman" w:hAnsi="Times New Roman" w:cs="Times New Roman"/>
          <w:b/>
          <w:color w:val="000000"/>
          <w:szCs w:val="20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Положение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о премиях Главы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одаренным детям и учащейся молодежи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утвержденное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постановление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администрации Печенгского муниципального округа от 14.04.2021 № 309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актуализацией нормативного </w:t>
      </w:r>
      <w:r>
        <w:rPr>
          <w:rFonts w:ascii="Times New Roman" w:hAnsi="Times New Roman" w:cs="Times New Roman"/>
        </w:rPr>
        <w:t xml:space="preserve">правового </w:t>
      </w:r>
      <w:r>
        <w:rPr>
          <w:rFonts w:ascii="Times New Roman" w:hAnsi="Times New Roman" w:cs="Times New Roman"/>
        </w:rPr>
        <w:t xml:space="preserve">акта,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7"/>
        <w:numPr>
          <w:ilvl w:val="0"/>
          <w:numId w:val="13"/>
        </w:numPr>
        <w:ind w:left="0" w:firstLine="709"/>
        <w:jc w:val="both"/>
        <w:widowControl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Внести в </w:t>
      </w:r>
      <w:r>
        <w:rPr>
          <w:rFonts w:ascii="Times New Roman" w:hAnsi="Times New Roman" w:cs="Times New Roman"/>
        </w:rPr>
        <w:t xml:space="preserve">Положение</w:t>
      </w:r>
      <w:r>
        <w:rPr>
          <w:rFonts w:ascii="Times New Roman" w:hAnsi="Times New Roman" w:cs="Times New Roman"/>
        </w:rPr>
        <w:t xml:space="preserve"> о премиях Главы Печенгского муниципального округа одаренным детям и учащейся молодежи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утвержденное</w:t>
      </w:r>
      <w:r>
        <w:rPr>
          <w:rFonts w:ascii="Times New Roman" w:hAnsi="Times New Roman" w:cs="Times New Roman"/>
        </w:rPr>
        <w:t xml:space="preserve"> постановлением администрации Печенгского муниципального округа </w:t>
      </w:r>
      <w:r>
        <w:rPr>
          <w:rFonts w:ascii="Times New Roman" w:hAnsi="Times New Roman" w:cs="Times New Roman"/>
        </w:rPr>
        <w:t xml:space="preserve">от 14.04.2021 № 309 </w:t>
      </w:r>
      <w:r>
        <w:rPr>
          <w:rFonts w:ascii="Times New Roman" w:hAnsi="Times New Roman" w:cs="Times New Roman"/>
        </w:rPr>
        <w:t xml:space="preserve">(в редакции от 02.05.2024 </w:t>
        <w:br/>
        <w:t xml:space="preserve">№ 704) </w:t>
      </w:r>
      <w:r>
        <w:rPr>
          <w:rFonts w:ascii="Times New Roman" w:hAnsi="Times New Roman" w:cs="Times New Roman"/>
        </w:rPr>
        <w:t xml:space="preserve">следующие изменения: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numPr>
          <w:ilvl w:val="1"/>
          <w:numId w:val="13"/>
        </w:numPr>
        <w:ind w:left="0" w:firstLine="710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ункт </w:t>
      </w:r>
      <w:r>
        <w:rPr>
          <w:rFonts w:ascii="Times New Roman" w:hAnsi="Times New Roman" w:cs="Times New Roman"/>
        </w:rPr>
        <w:t xml:space="preserve">1.3. раздела 1 </w:t>
      </w:r>
      <w:r>
        <w:rPr>
          <w:rFonts w:ascii="Times New Roman" w:hAnsi="Times New Roman" w:cs="Times New Roman"/>
        </w:rPr>
        <w:t xml:space="preserve">дополнить абзацем шестым следующего содержания: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ind w:left="710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За активное участие в военно-патриотической деятельности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numPr>
          <w:ilvl w:val="1"/>
          <w:numId w:val="13"/>
        </w:numPr>
        <w:ind w:left="0" w:firstLine="710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Абзацы второй и третий п</w:t>
      </w:r>
      <w:r>
        <w:rPr>
          <w:rFonts w:ascii="Times New Roman" w:hAnsi="Times New Roman" w:cs="Times New Roman"/>
        </w:rPr>
        <w:t xml:space="preserve">ункт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1.4. раздела 1 изложить в следующей редакции: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</w:rPr>
        <w:t xml:space="preserve">- 15 премий </w:t>
      </w:r>
      <w:r>
        <w:rPr>
          <w:rFonts w:ascii="Times New Roman" w:hAnsi="Times New Roman" w:cs="Times New Roman"/>
        </w:rPr>
        <w:t xml:space="preserve">в размере </w:t>
      </w:r>
      <w:r>
        <w:rPr>
          <w:rFonts w:ascii="Times New Roman" w:hAnsi="Times New Roman" w:cs="Times New Roman"/>
        </w:rPr>
        <w:t xml:space="preserve">11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494 </w:t>
      </w:r>
      <w:r>
        <w:rPr>
          <w:rFonts w:ascii="Times New Roman" w:hAnsi="Times New Roman" w:cs="Times New Roman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девяноста четыре</w:t>
      </w:r>
      <w:r>
        <w:rPr>
          <w:rFonts w:ascii="Times New Roman" w:hAnsi="Times New Roman" w:cs="Times New Roman"/>
        </w:rPr>
        <w:t xml:space="preserve">)</w:t>
      </w:r>
      <w:r>
        <w:rPr>
          <w:rFonts w:ascii="Times New Roman" w:hAnsi="Times New Roman" w:cs="Times New Roman"/>
        </w:rPr>
        <w:t xml:space="preserve"> рубля 00 коп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</w:t>
      </w:r>
      <w:r>
        <w:rPr>
          <w:rFonts w:ascii="Times New Roman" w:hAnsi="Times New Roman" w:cs="Times New Roman"/>
        </w:rPr>
        <w:t xml:space="preserve">аждая (с учетом налогообложения, премия составляет 10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000 (десять тысяч) рублей 00 коп.);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ind w:left="0" w:firstLine="709"/>
        <w:jc w:val="both"/>
        <w:widowControl/>
        <w:tabs>
          <w:tab w:val="left" w:pos="567" w:leader="none"/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- 35 премий </w:t>
      </w:r>
      <w:r>
        <w:rPr>
          <w:rFonts w:ascii="Times New Roman" w:hAnsi="Times New Roman" w:cs="Times New Roman"/>
        </w:rPr>
        <w:t xml:space="preserve">в размере </w:t>
      </w:r>
      <w:r>
        <w:rPr>
          <w:rFonts w:ascii="Times New Roman" w:hAnsi="Times New Roman" w:cs="Times New Roman"/>
        </w:rPr>
        <w:t xml:space="preserve">5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747 </w:t>
      </w:r>
      <w:r>
        <w:rPr>
          <w:rFonts w:ascii="Times New Roman" w:hAnsi="Times New Roman" w:cs="Times New Roman"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</w:rPr>
        <w:t xml:space="preserve">)</w:t>
      </w:r>
      <w:r>
        <w:rPr>
          <w:rFonts w:ascii="Times New Roman" w:hAnsi="Times New Roman" w:cs="Times New Roman"/>
        </w:rPr>
        <w:t xml:space="preserve"> рублей 00 коп. каждая (с учетом налогообложения, премия составляет 5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000 (пять тысяч) рублей 00 коп.)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numPr>
          <w:ilvl w:val="1"/>
          <w:numId w:val="13"/>
        </w:numPr>
        <w:ind w:left="0" w:firstLine="710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а</w:t>
      </w:r>
      <w:r>
        <w:rPr>
          <w:rFonts w:ascii="Times New Roman" w:hAnsi="Times New Roman" w:cs="Times New Roman"/>
        </w:rPr>
        <w:t xml:space="preserve">бзац</w:t>
      </w:r>
      <w:r>
        <w:rPr>
          <w:rFonts w:ascii="Times New Roman" w:hAnsi="Times New Roman" w:cs="Times New Roman"/>
        </w:rPr>
        <w:t xml:space="preserve">е третьем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ункта</w:t>
      </w:r>
      <w:r>
        <w:rPr>
          <w:rFonts w:ascii="Times New Roman" w:hAnsi="Times New Roman" w:cs="Times New Roman"/>
        </w:rPr>
        <w:t xml:space="preserve"> 2.5 раздела 2</w:t>
      </w:r>
      <w:r>
        <w:rPr>
          <w:rFonts w:ascii="Times New Roman" w:hAnsi="Times New Roman" w:cs="Times New Roman"/>
        </w:rPr>
        <w:t xml:space="preserve"> слова «</w:t>
      </w:r>
      <w:r>
        <w:rPr>
          <w:rFonts w:ascii="Times New Roman" w:hAnsi="Times New Roman" w:cs="Times New Roman"/>
        </w:rPr>
        <w:t xml:space="preserve">спорта</w:t>
      </w:r>
      <w:r>
        <w:rPr>
          <w:rFonts w:ascii="Times New Roman" w:hAnsi="Times New Roman" w:cs="Times New Roman"/>
        </w:rPr>
        <w:t xml:space="preserve"> и</w:t>
      </w:r>
      <w:r>
        <w:rPr>
          <w:rFonts w:ascii="Times New Roman" w:hAnsi="Times New Roman" w:cs="Times New Roman"/>
        </w:rPr>
        <w:t xml:space="preserve"> общественно - полезной деятельности</w:t>
      </w:r>
      <w:r>
        <w:rPr>
          <w:rFonts w:ascii="Times New Roman" w:hAnsi="Times New Roman" w:cs="Times New Roman"/>
        </w:rPr>
        <w:t xml:space="preserve">» заменить словами «</w:t>
      </w:r>
      <w:r>
        <w:rPr>
          <w:rFonts w:ascii="Times New Roman" w:hAnsi="Times New Roman" w:cs="Times New Roman"/>
        </w:rPr>
        <w:t xml:space="preserve">спорта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общественно - полезной деятельности</w:t>
      </w:r>
      <w:r>
        <w:rPr>
          <w:rFonts w:ascii="Times New Roman" w:hAnsi="Times New Roman" w:cs="Times New Roman"/>
        </w:rPr>
        <w:t xml:space="preserve"> и</w:t>
      </w:r>
      <w:r>
        <w:t xml:space="preserve"> </w:t>
      </w:r>
      <w:r>
        <w:rPr>
          <w:rFonts w:ascii="Times New Roman" w:hAnsi="Times New Roman" w:cs="Times New Roman"/>
        </w:rPr>
        <w:t xml:space="preserve">военно-патриотической деятельности</w:t>
      </w:r>
      <w:r>
        <w:rPr>
          <w:rFonts w:ascii="Times New Roman" w:hAnsi="Times New Roman" w:cs="Times New Roman"/>
        </w:rPr>
        <w:t xml:space="preserve">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numPr>
          <w:ilvl w:val="1"/>
          <w:numId w:val="13"/>
        </w:numPr>
        <w:ind w:left="0" w:firstLine="710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ункт</w:t>
      </w:r>
      <w:r>
        <w:rPr>
          <w:rFonts w:ascii="Times New Roman" w:hAnsi="Times New Roman" w:cs="Times New Roman"/>
        </w:rPr>
        <w:t xml:space="preserve">е</w:t>
      </w:r>
      <w:r>
        <w:rPr>
          <w:rFonts w:ascii="Times New Roman" w:hAnsi="Times New Roman" w:cs="Times New Roman"/>
        </w:rPr>
        <w:t xml:space="preserve"> 5.1 раздела 5 </w:t>
      </w:r>
      <w:r>
        <w:rPr>
          <w:rFonts w:ascii="Times New Roman" w:hAnsi="Times New Roman" w:cs="Times New Roman"/>
        </w:rPr>
        <w:t xml:space="preserve">слова «Молодежная политика» дополнить словами «и взаимодействие с общественными организациями в Печенгском муниципальном округе»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numPr>
          <w:ilvl w:val="1"/>
          <w:numId w:val="13"/>
        </w:numPr>
        <w:ind w:left="0" w:firstLine="710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риложение 4 </w:t>
      </w:r>
      <w:r>
        <w:rPr>
          <w:rFonts w:ascii="Times New Roman" w:hAnsi="Times New Roman" w:cs="Times New Roman"/>
        </w:rPr>
        <w:t xml:space="preserve">к Положению </w:t>
      </w:r>
      <w:r>
        <w:rPr>
          <w:rFonts w:ascii="Times New Roman" w:hAnsi="Times New Roman" w:cs="Times New Roman"/>
        </w:rPr>
        <w:t xml:space="preserve">«Критерии оценки ход</w:t>
      </w:r>
      <w:bookmarkStart w:id="0" w:name="_GoBack"/>
      <w:r/>
      <w:bookmarkEnd w:id="0"/>
      <w:r>
        <w:rPr>
          <w:rFonts w:ascii="Times New Roman" w:hAnsi="Times New Roman" w:cs="Times New Roman"/>
        </w:rPr>
        <w:t xml:space="preserve">атайств»</w:t>
      </w:r>
      <w:r>
        <w:rPr>
          <w:rFonts w:ascii="Times New Roman" w:hAnsi="Times New Roman" w:cs="Times New Roman"/>
        </w:rPr>
        <w:t xml:space="preserve"> изложить в редакции согласно приложению.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numPr>
          <w:ilvl w:val="0"/>
          <w:numId w:val="13"/>
        </w:numPr>
        <w:ind w:left="0" w:firstLine="709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после его опубликования в газете «Печенга».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numPr>
          <w:ilvl w:val="0"/>
          <w:numId w:val="13"/>
        </w:numPr>
        <w:ind w:left="0" w:firstLine="709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 xml:space="preserve"> Настоящее постановление подлежит размещению </w:t>
      </w:r>
      <w:r>
        <w:rPr>
          <w:rFonts w:ascii="Times New Roman" w:hAnsi="Times New Roman" w:cs="Times New Roman"/>
        </w:rPr>
        <w:t xml:space="preserve">на официальном сайте Печенгского муниципального округа </w:t>
      </w:r>
      <w:hyperlink r:id="rId10" w:tooltip="http://pechengamr.gov-murman.ru/" w:history="1">
        <w:r>
          <w:rPr>
            <w:rStyle w:val="879"/>
            <w:rFonts w:ascii="Times New Roman" w:hAnsi="Times New Roman" w:cs="Times New Roman"/>
            <w:color w:val="auto"/>
          </w:rPr>
          <w:t xml:space="preserve">http://pechengamr.gov-murman.ru/</w:t>
        </w:r>
      </w:hyperlink>
      <w:r>
        <w:rPr>
          <w:rFonts w:ascii="Times New Roman" w:hAnsi="Times New Roman" w:cs="Times New Roman"/>
          <w:bCs/>
          <w:iCs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7"/>
        <w:ind w:left="1135"/>
        <w:jc w:val="both"/>
        <w:widowControl/>
        <w:tabs>
          <w:tab w:val="left" w:pos="567" w:leader="none"/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</w:rPr>
      </w:r>
    </w:p>
    <w:p>
      <w:pPr>
        <w:pStyle w:val="877"/>
        <w:ind w:left="1135"/>
        <w:jc w:val="both"/>
        <w:widowControl/>
        <w:tabs>
          <w:tab w:val="left" w:pos="567" w:leader="none"/>
          <w:tab w:val="left" w:pos="993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iCs/>
        </w:rPr>
      </w:r>
      <w:r>
        <w:rPr>
          <w:rFonts w:ascii="Times New Roman" w:hAnsi="Times New Roman" w:cs="Times New Roman"/>
          <w:iCs/>
        </w:rPr>
      </w:r>
    </w:p>
    <w:p>
      <w:pPr>
        <w:jc w:val="both"/>
        <w:widowControl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 xml:space="preserve">И.о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Главы Печенгского муниципального округа              </w:t>
      </w:r>
      <w:r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А.В. </w:t>
      </w:r>
      <w:r>
        <w:rPr>
          <w:rFonts w:ascii="Times New Roman" w:hAnsi="Times New Roman" w:cs="Times New Roman"/>
        </w:rPr>
        <w:t xml:space="preserve">Пономарев</w:t>
      </w:r>
      <w:r>
        <w:rPr>
          <w:rFonts w:ascii="Times New Roman" w:hAnsi="Times New Roman" w:cs="Times New Roman"/>
          <w:bCs/>
          <w:color w:val="000000"/>
        </w:rPr>
      </w:r>
      <w:r>
        <w:rPr>
          <w:rFonts w:ascii="Times New Roman" w:hAnsi="Times New Roman" w:cs="Times New Roman"/>
          <w:bCs/>
          <w:color w:val="000000"/>
        </w:rPr>
      </w:r>
    </w:p>
    <w:p>
      <w:pPr>
        <w:ind w:firstLine="567"/>
        <w:jc w:val="right"/>
        <w:widowControl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</w:r>
      <w:r>
        <w:rPr>
          <w:rFonts w:ascii="Times New Roman" w:hAnsi="Times New Roman" w:cs="Times New Roman"/>
          <w:bCs/>
          <w:color w:val="000000"/>
        </w:rPr>
      </w:r>
      <w:r>
        <w:rPr>
          <w:rFonts w:ascii="Times New Roman" w:hAnsi="Times New Roman" w:cs="Times New Roman"/>
          <w:bCs/>
          <w:color w:val="000000"/>
        </w:rPr>
      </w:r>
    </w:p>
    <w:p>
      <w:pPr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Style w:val="869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9"/>
          <w:rFonts w:ascii="Times New Roman" w:hAnsi="Times New Roman" w:cs="Times New Roman"/>
          <w:b w:val="0"/>
          <w:sz w:val="20"/>
          <w:szCs w:val="20"/>
        </w:rPr>
        <w:t xml:space="preserve">Большакова О.В., 5-27-</w:t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  <w:t xml:space="preserve">25</w:t>
      </w:r>
      <w:r>
        <w:rPr>
          <w:rFonts w:ascii="Times New Roman" w:hAnsi="Times New Roman" w:cs="Times New Roman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ind w:firstLine="567"/>
        <w:jc w:val="right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  <w:highlight w:val="none"/>
        </w:rPr>
      </w:r>
      <w:r>
        <w:rPr>
          <w:rFonts w:ascii="Times New Roman" w:hAnsi="Times New Roman" w:cs="Times New Roman"/>
          <w:bCs/>
          <w:color w:val="000000"/>
          <w:highlight w:val="none"/>
        </w:rPr>
      </w:r>
      <w:r>
        <w:rPr>
          <w:rFonts w:ascii="Times New Roman" w:hAnsi="Times New Roman" w:cs="Times New Roman"/>
          <w:color w:val="000000"/>
        </w:rPr>
      </w:r>
    </w:p>
    <w:p>
      <w:pPr>
        <w:ind w:firstLine="567"/>
        <w:jc w:val="right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bCs/>
          <w:color w:val="000000"/>
          <w:highlight w:val="none"/>
        </w:rPr>
      </w:r>
      <w:r>
        <w:rPr>
          <w:rFonts w:ascii="Times New Roman" w:hAnsi="Times New Roman" w:cs="Times New Roman"/>
          <w:bCs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ind w:left="5386" w:firstLine="0"/>
        <w:jc w:val="left"/>
        <w:widowControl/>
        <w:rPr>
          <w:rFonts w:ascii="Times New Roman" w:hAnsi="Times New Roman" w:cs="Times New Roman"/>
          <w:color w:val="000000"/>
          <w:highlight w:val="none"/>
        </w:rPr>
        <w:suppressLineNumbers w:val="0"/>
      </w:pPr>
      <w:r>
        <w:rPr>
          <w:rFonts w:ascii="Times New Roman" w:hAnsi="Times New Roman" w:cs="Times New Roman"/>
          <w:bCs/>
          <w:color w:val="000000"/>
        </w:rPr>
        <w:t xml:space="preserve">Приложение </w:t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ind w:left="5386"/>
        <w:jc w:val="left"/>
        <w:rPr>
          <w:rFonts w:ascii="Times New Roman" w:hAnsi="Times New Roman" w:cs="Times New Roman" w:eastAsiaTheme="minorEastAsia"/>
          <w:bCs/>
        </w:rPr>
        <w:suppressLineNumbers w:val="0"/>
      </w:pPr>
      <w:r>
        <w:rPr>
          <w:rFonts w:ascii="Times New Roman" w:hAnsi="Times New Roman" w:cs="Times New Roman" w:eastAsiaTheme="minorEastAsia"/>
          <w:bCs/>
        </w:rPr>
        <w:t xml:space="preserve">к постановлению администрации</w:t>
      </w:r>
      <w:r>
        <w:rPr>
          <w:rFonts w:ascii="Times New Roman" w:hAnsi="Times New Roman" w:cs="Times New Roman" w:eastAsiaTheme="minorEastAsia"/>
          <w:bCs/>
        </w:rPr>
      </w:r>
      <w:r>
        <w:rPr>
          <w:rFonts w:ascii="Times New Roman" w:hAnsi="Times New Roman" w:cs="Times New Roman" w:eastAsiaTheme="minorEastAsia"/>
          <w:bCs/>
        </w:rPr>
      </w:r>
    </w:p>
    <w:p>
      <w:pPr>
        <w:ind w:left="5386"/>
        <w:jc w:val="left"/>
        <w:rPr>
          <w:rFonts w:ascii="Times New Roman" w:hAnsi="Times New Roman" w:cs="Times New Roman" w:eastAsiaTheme="minorEastAsia"/>
          <w:bCs/>
        </w:rPr>
        <w:suppressLineNumbers w:val="0"/>
      </w:pPr>
      <w:r>
        <w:rPr>
          <w:rFonts w:ascii="Times New Roman" w:hAnsi="Times New Roman" w:cs="Times New Roman" w:eastAsiaTheme="minorEastAsia"/>
          <w:bCs/>
        </w:rPr>
        <w:t xml:space="preserve">Печенгского муниципального округа</w:t>
      </w:r>
      <w:r>
        <w:rPr>
          <w:rFonts w:ascii="Times New Roman" w:hAnsi="Times New Roman" w:cs="Times New Roman" w:eastAsiaTheme="minorEastAsia"/>
          <w:bCs/>
        </w:rPr>
      </w:r>
      <w:r>
        <w:rPr>
          <w:rFonts w:ascii="Times New Roman" w:hAnsi="Times New Roman" w:cs="Times New Roman" w:eastAsiaTheme="minorEastAsia"/>
          <w:bCs/>
        </w:rPr>
      </w:r>
    </w:p>
    <w:p>
      <w:pPr>
        <w:ind w:left="5386"/>
        <w:jc w:val="left"/>
        <w:rPr>
          <w:rFonts w:ascii="Times New Roman" w:hAnsi="Times New Roman" w:cs="Times New Roman" w:eastAsiaTheme="minorEastAsia"/>
          <w:bCs/>
        </w:rPr>
        <w:suppressLineNumbers w:val="0"/>
      </w:pPr>
      <w:r>
        <w:rPr>
          <w:rFonts w:ascii="Times New Roman" w:hAnsi="Times New Roman" w:cs="Times New Roman" w:eastAsiaTheme="minorEastAsia"/>
          <w:bCs/>
        </w:rPr>
        <w:t xml:space="preserve">от 20.02.2025 № 265</w:t>
      </w:r>
      <w:r>
        <w:rPr>
          <w:rFonts w:ascii="Times New Roman" w:hAnsi="Times New Roman" w:cs="Times New Roman" w:eastAsiaTheme="minorEastAsia"/>
          <w:bCs/>
        </w:rPr>
      </w:r>
      <w:r>
        <w:rPr>
          <w:rFonts w:ascii="Times New Roman" w:hAnsi="Times New Roman" w:cs="Times New Roman" w:eastAsiaTheme="minorEastAsia"/>
          <w:bCs/>
        </w:rPr>
      </w:r>
    </w:p>
    <w:p>
      <w:pPr>
        <w:ind w:left="5386" w:firstLine="567"/>
        <w:jc w:val="left"/>
        <w:widowControl/>
        <w:rPr>
          <w:rFonts w:ascii="Times New Roman" w:hAnsi="Times New Roman" w:cs="Times New Roman"/>
          <w:bCs/>
          <w:color w:val="000000"/>
        </w:rPr>
        <w:suppressLineNumbers w:val="0"/>
      </w:pPr>
      <w:r>
        <w:rPr>
          <w:rFonts w:ascii="Times New Roman" w:hAnsi="Times New Roman" w:cs="Times New Roman"/>
          <w:bCs/>
          <w:color w:val="000000"/>
        </w:rPr>
      </w:r>
      <w:r>
        <w:rPr>
          <w:rFonts w:ascii="Times New Roman" w:hAnsi="Times New Roman" w:cs="Times New Roman"/>
          <w:bCs/>
          <w:color w:val="000000"/>
        </w:rPr>
      </w:r>
      <w:r>
        <w:rPr>
          <w:rFonts w:ascii="Times New Roman" w:hAnsi="Times New Roman" w:cs="Times New Roman"/>
          <w:bCs/>
          <w:color w:val="000000"/>
        </w:rPr>
      </w:r>
    </w:p>
    <w:p>
      <w:pPr>
        <w:ind w:left="5386" w:firstLine="0"/>
        <w:jc w:val="left"/>
        <w:widowControl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cs="Times New Roman"/>
          <w:bCs/>
          <w:color w:val="000000"/>
        </w:rPr>
        <w:t xml:space="preserve">«Приложение 4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ind w:left="5386" w:firstLine="0"/>
        <w:jc w:val="left"/>
        <w:widowControl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cs="Times New Roman"/>
          <w:bCs/>
          <w:color w:val="000000"/>
        </w:rPr>
        <w:t xml:space="preserve">к Положению о премиях Главы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ind w:left="5386" w:firstLine="0"/>
        <w:jc w:val="left"/>
        <w:widowControl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cs="Times New Roman"/>
          <w:bCs/>
          <w:color w:val="000000"/>
        </w:rPr>
        <w:t xml:space="preserve">Печенгского муниципального округа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ind w:left="5386"/>
        <w:jc w:val="left"/>
        <w:widowControl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cs="Times New Roman"/>
          <w:bCs/>
          <w:color w:val="000000"/>
        </w:rPr>
        <w:t xml:space="preserve">одаренным детям и учащейся молодежи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ind w:left="5386"/>
        <w:jc w:val="left"/>
        <w:widowControl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cs="Times New Roman"/>
          <w:bCs/>
          <w:color w:val="000000"/>
        </w:rPr>
        <w:t xml:space="preserve">от 14.04.2021 № 309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left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КРИТЕРИИ ОЦЕНКИ ХОДАТАЙСТВ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номинации «За особые успехи в учебной и научно-исследовательской деятельности»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tbl>
      <w:tblPr>
        <w:tblW w:w="95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5879"/>
        <w:gridCol w:w="2164"/>
        <w:gridCol w:w="962"/>
      </w:tblGrid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/п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Показатель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Критерии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5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(олимпиадах, конкурсах, викторинах и пр.) международного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(олимпиадах, конкурсах, викторинах и пр.) всероссийского (межрегионального)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(олимпиадах, конкурсах, викторинах и пр.) регионального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7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(олимпиадах, конкурсах, викторинах и пр.) муниципального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Успеваемость (по итогам учебного года)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Отличник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Хорошист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7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научных, творческих, исследовательских работ, проектов, различных рационализаторских изобретений, предложений и др. по данной номинации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номинации «За особые успехи в области культуры и искусства»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tbl>
      <w:tblPr>
        <w:tblW w:w="9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5899"/>
        <w:gridCol w:w="2155"/>
        <w:gridCol w:w="994"/>
      </w:tblGrid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п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/п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Показатель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Критерии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35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международного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8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всероссийского (межрегионального)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5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регионального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37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муниципального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Успеваемость (по итогам учебного года)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Отличник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Хорошист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номинации «За особые успехи в области спорта»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tbl>
      <w:tblPr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5922"/>
        <w:gridCol w:w="2164"/>
        <w:gridCol w:w="997"/>
      </w:tblGrid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/п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Показатель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Критерии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8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международного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всероссийского (межрегионального)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регионального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муниципального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номинации «За особые успехи в общественно значимой деятельности»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ind w:left="1353"/>
        <w:jc w:val="center"/>
        <w:widowControl/>
        <w:tabs>
          <w:tab w:val="left" w:pos="140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504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584"/>
        <w:gridCol w:w="3259"/>
        <w:gridCol w:w="4864"/>
        <w:gridCol w:w="952"/>
      </w:tblGrid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п/п</w:t>
            </w:r>
            <w:r>
              <w:rPr>
                <w:rFonts w:ascii="Times New Roman" w:hAnsi="Times New Roman" w:cs="Times New Roman"/>
                <w:lang w:val="en-US"/>
              </w:rPr>
            </w:r>
            <w:r>
              <w:rPr>
                <w:rFonts w:ascii="Times New Roman" w:hAnsi="Times New Roman" w:cs="Times New Roman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Показатель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Критерии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199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мероприятии/проекте в качестве волонтера (учитываются верифицированные часы из электронной книжки 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9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реализации проекта/проведении мероприятия в качестве организатора (учитываются верифицированные часы из электронной книжки 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руководство реализацией проекта (автор и руководитель проекта)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«За активное участие в военно-патриотической деятельности»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506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94"/>
        <w:gridCol w:w="3264"/>
        <w:gridCol w:w="4857"/>
        <w:gridCol w:w="971"/>
      </w:tblGrid>
      <w:tr>
        <w:tblPrEx/>
        <w:trPr>
          <w:trHeight w:val="5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п/п</w:t>
            </w:r>
            <w:r>
              <w:rPr>
                <w:rFonts w:ascii="Times New Roman" w:hAnsi="Times New Roman" w:cs="Times New Roman"/>
                <w:lang w:val="en-US"/>
              </w:rPr>
            </w:r>
            <w:r>
              <w:rPr>
                <w:rFonts w:ascii="Times New Roman" w:hAnsi="Times New Roman" w:cs="Times New Roman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Показатель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Критерии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(членство) в </w:t>
            </w:r>
            <w:r>
              <w:rPr>
                <w:rFonts w:ascii="Times New Roman" w:hAnsi="Times New Roman" w:cs="Times New Roman"/>
              </w:rPr>
              <w:t xml:space="preserve">деятельности общественного объединения (организации) военно-патриотической направленности, военно-патриотического клуба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 (член) объединения (организации, </w:t>
            </w:r>
            <w:r>
              <w:rPr>
                <w:rFonts w:ascii="Times New Roman" w:hAnsi="Times New Roman" w:cs="Times New Roman"/>
              </w:rPr>
              <w:t xml:space="preserve">клуба)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объединения (организации, клуба)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Победы претендента (организации претендента при условии непосредственного участия претендента) в конкурсах, слетах, соревнованиях, </w:t>
            </w:r>
            <w:r>
              <w:rPr>
                <w:rFonts w:ascii="Times New Roman" w:hAnsi="Times New Roman" w:cs="Times New Roman"/>
              </w:rPr>
              <w:t xml:space="preserve">квестах</w:t>
            </w:r>
            <w:r>
              <w:rPr>
                <w:rFonts w:ascii="Times New Roman" w:hAnsi="Times New Roman" w:cs="Times New Roman"/>
              </w:rPr>
              <w:t xml:space="preserve">, турнирах по направлению военно-патриотической деятельности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 уровень (победитель)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 уровень (призер)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 (победитель)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 (призер)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 (победитель)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 (призер)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поощрений (наград, благодарностей) за деятельность в сфере молодежной политики по направлению патриотическое воспитание молодежи (приуроченных к праздничным датам, событиям, а также за определенный период времени)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социально значимых проектах/ мероприятиях по направлению </w:t>
            </w:r>
            <w:r>
              <w:rPr>
                <w:rFonts w:ascii="Times New Roman" w:hAnsi="Times New Roman" w:cs="Times New Roman"/>
              </w:rPr>
              <w:t xml:space="preserve">патриотическое</w:t>
            </w:r>
            <w:r>
              <w:rPr>
                <w:rFonts w:ascii="Times New Roman" w:hAnsi="Times New Roman" w:cs="Times New Roman"/>
              </w:rPr>
              <w:t xml:space="preserve"> воспитание молодежи</w:t>
            </w:r>
            <w:r>
              <w:rPr>
                <w:rFonts w:ascii="Times New Roman" w:hAnsi="Times New Roman" w:cs="Times New Roman"/>
              </w:rPr>
              <w:t xml:space="preserve"> в качестве добровольца (волонтера)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(учитываются верифицированные часы из электронной книжки 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1».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9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  <w:r>
        <w:rPr>
          <w:rStyle w:val="869"/>
          <w:rFonts w:ascii="Times New Roman" w:hAnsi="Times New Roman" w:cs="Times New Roman"/>
          <w:b w:val="0"/>
          <w:sz w:val="20"/>
          <w:szCs w:val="20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sectPr>
      <w:footnotePr/>
      <w:endnotePr/>
      <w:type w:val="nextPage"/>
      <w:pgSz w:w="11906" w:h="16838" w:orient="portrait"/>
      <w:pgMar w:top="425" w:right="850" w:bottom="82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6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620" w:hanging="360"/>
      </w:pPr>
      <w:rPr>
        <w:rFonts w:hint="default" w:cs="Times New Roman"/>
        <w:b w:val="0"/>
        <w:bCs w:val="0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>
      <w:start w:val="7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 w:eastAsia="Times New Roman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3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9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num w:numId="1">
    <w:abstractNumId w:val="14"/>
  </w:num>
  <w:num w:numId="2">
    <w:abstractNumId w:val="16"/>
  </w:num>
  <w:num w:numId="3">
    <w:abstractNumId w:val="0"/>
  </w:num>
  <w:num w:numId="4">
    <w:abstractNumId w:val="10"/>
  </w:num>
  <w:num w:numId="5">
    <w:abstractNumId w:val="2"/>
  </w:num>
  <w:num w:numId="6">
    <w:abstractNumId w:val="8"/>
  </w:num>
  <w:num w:numId="7">
    <w:abstractNumId w:val="9"/>
  </w:num>
  <w:num w:numId="8">
    <w:abstractNumId w:val="17"/>
  </w:num>
  <w:num w:numId="9">
    <w:abstractNumId w:val="7"/>
  </w:num>
  <w:num w:numId="10">
    <w:abstractNumId w:val="6"/>
  </w:num>
  <w:num w:numId="11">
    <w:abstractNumId w:val="13"/>
  </w:num>
  <w:num w:numId="12">
    <w:abstractNumId w:val="5"/>
  </w:num>
  <w:num w:numId="13">
    <w:abstractNumId w:val="15"/>
  </w:num>
  <w:num w:numId="14">
    <w:abstractNumId w:val="3"/>
  </w:num>
  <w:num w:numId="15">
    <w:abstractNumId w:val="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0">
    <w:name w:val="Heading 1"/>
    <w:basedOn w:val="864"/>
    <w:next w:val="864"/>
    <w:link w:val="69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1">
    <w:name w:val="Heading 1 Char"/>
    <w:basedOn w:val="865"/>
    <w:link w:val="690"/>
    <w:uiPriority w:val="9"/>
    <w:rPr>
      <w:rFonts w:ascii="Arial" w:hAnsi="Arial" w:eastAsia="Arial" w:cs="Arial"/>
      <w:sz w:val="40"/>
      <w:szCs w:val="40"/>
    </w:rPr>
  </w:style>
  <w:style w:type="paragraph" w:styleId="692">
    <w:name w:val="Heading 2"/>
    <w:basedOn w:val="864"/>
    <w:next w:val="864"/>
    <w:link w:val="69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3">
    <w:name w:val="Heading 2 Char"/>
    <w:basedOn w:val="865"/>
    <w:link w:val="692"/>
    <w:uiPriority w:val="9"/>
    <w:rPr>
      <w:rFonts w:ascii="Arial" w:hAnsi="Arial" w:eastAsia="Arial" w:cs="Arial"/>
      <w:sz w:val="34"/>
    </w:rPr>
  </w:style>
  <w:style w:type="paragraph" w:styleId="694">
    <w:name w:val="Heading 3"/>
    <w:basedOn w:val="864"/>
    <w:next w:val="864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5">
    <w:name w:val="Heading 3 Char"/>
    <w:basedOn w:val="865"/>
    <w:link w:val="694"/>
    <w:uiPriority w:val="9"/>
    <w:rPr>
      <w:rFonts w:ascii="Arial" w:hAnsi="Arial" w:eastAsia="Arial" w:cs="Arial"/>
      <w:sz w:val="30"/>
      <w:szCs w:val="30"/>
    </w:rPr>
  </w:style>
  <w:style w:type="paragraph" w:styleId="696">
    <w:name w:val="Heading 4"/>
    <w:basedOn w:val="864"/>
    <w:next w:val="864"/>
    <w:link w:val="69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7">
    <w:name w:val="Heading 4 Char"/>
    <w:basedOn w:val="865"/>
    <w:link w:val="696"/>
    <w:uiPriority w:val="9"/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864"/>
    <w:next w:val="864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9">
    <w:name w:val="Heading 5 Char"/>
    <w:basedOn w:val="865"/>
    <w:link w:val="698"/>
    <w:uiPriority w:val="9"/>
    <w:rPr>
      <w:rFonts w:ascii="Arial" w:hAnsi="Arial" w:eastAsia="Arial" w:cs="Arial"/>
      <w:b/>
      <w:bCs/>
      <w:sz w:val="24"/>
      <w:szCs w:val="24"/>
    </w:rPr>
  </w:style>
  <w:style w:type="paragraph" w:styleId="700">
    <w:name w:val="Heading 6"/>
    <w:basedOn w:val="864"/>
    <w:next w:val="864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1">
    <w:name w:val="Heading 6 Char"/>
    <w:basedOn w:val="865"/>
    <w:link w:val="700"/>
    <w:uiPriority w:val="9"/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864"/>
    <w:next w:val="864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7 Char"/>
    <w:basedOn w:val="86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864"/>
    <w:next w:val="864"/>
    <w:link w:val="70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5">
    <w:name w:val="Heading 8 Char"/>
    <w:basedOn w:val="865"/>
    <w:link w:val="704"/>
    <w:uiPriority w:val="9"/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864"/>
    <w:next w:val="864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>
    <w:name w:val="Heading 9 Char"/>
    <w:basedOn w:val="865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  <w:pPr>
      <w:spacing w:before="0" w:after="0" w:line="240" w:lineRule="auto"/>
    </w:pPr>
  </w:style>
  <w:style w:type="paragraph" w:styleId="709">
    <w:name w:val="Title"/>
    <w:basedOn w:val="864"/>
    <w:next w:val="864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5"/>
    <w:link w:val="709"/>
    <w:uiPriority w:val="10"/>
    <w:rPr>
      <w:sz w:val="48"/>
      <w:szCs w:val="48"/>
    </w:rPr>
  </w:style>
  <w:style w:type="paragraph" w:styleId="711">
    <w:name w:val="Subtitle"/>
    <w:basedOn w:val="864"/>
    <w:next w:val="864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5"/>
    <w:link w:val="711"/>
    <w:uiPriority w:val="11"/>
    <w:rPr>
      <w:sz w:val="24"/>
      <w:szCs w:val="24"/>
    </w:rPr>
  </w:style>
  <w:style w:type="paragraph" w:styleId="713">
    <w:name w:val="Quote"/>
    <w:basedOn w:val="864"/>
    <w:next w:val="864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4"/>
    <w:next w:val="864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character" w:styleId="717">
    <w:name w:val="Header Char"/>
    <w:basedOn w:val="865"/>
    <w:link w:val="880"/>
    <w:uiPriority w:val="99"/>
  </w:style>
  <w:style w:type="character" w:styleId="718">
    <w:name w:val="Footer Char"/>
    <w:basedOn w:val="865"/>
    <w:link w:val="882"/>
    <w:uiPriority w:val="99"/>
  </w:style>
  <w:style w:type="paragraph" w:styleId="719">
    <w:name w:val="Caption"/>
    <w:basedOn w:val="864"/>
    <w:next w:val="8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882"/>
    <w:uiPriority w:val="99"/>
  </w:style>
  <w:style w:type="table" w:styleId="721">
    <w:name w:val="Table Grid"/>
    <w:basedOn w:val="8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1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2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3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4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5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6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3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4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5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6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7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8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5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6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7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8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9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0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3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4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5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6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7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8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9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0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1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2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3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4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5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6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8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9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0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1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1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2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3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4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5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6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basedOn w:val="865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basedOn w:val="865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paragraph" w:styleId="868" w:customStyle="1">
    <w:name w:val="Style3"/>
    <w:basedOn w:val="864"/>
    <w:pPr>
      <w:jc w:val="center"/>
      <w:spacing w:line="278" w:lineRule="exact"/>
    </w:pPr>
  </w:style>
  <w:style w:type="character" w:styleId="869" w:customStyle="1">
    <w:name w:val="Font Style14"/>
    <w:rPr>
      <w:rFonts w:ascii="Bookman Old Style" w:hAnsi="Bookman Old Style"/>
      <w:b/>
      <w:sz w:val="22"/>
    </w:rPr>
  </w:style>
  <w:style w:type="paragraph" w:styleId="870">
    <w:name w:val="Balloon Text"/>
    <w:basedOn w:val="864"/>
    <w:link w:val="871"/>
    <w:uiPriority w:val="99"/>
    <w:semiHidden/>
    <w:unhideWhenUsed/>
    <w:rPr>
      <w:rFonts w:ascii="Tahoma" w:hAnsi="Tahoma" w:cs="Tahoma"/>
      <w:sz w:val="16"/>
      <w:szCs w:val="16"/>
    </w:rPr>
  </w:style>
  <w:style w:type="character" w:styleId="871" w:customStyle="1">
    <w:name w:val="Текст выноски Знак"/>
    <w:basedOn w:val="865"/>
    <w:link w:val="87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72" w:customStyle="1">
    <w:name w:val="Font Style13"/>
    <w:rPr>
      <w:rFonts w:ascii="Bookman Old Style" w:hAnsi="Bookman Old Style"/>
      <w:sz w:val="22"/>
    </w:rPr>
  </w:style>
  <w:style w:type="paragraph" w:styleId="873" w:customStyle="1">
    <w:name w:val="Style7"/>
    <w:basedOn w:val="864"/>
    <w:pPr>
      <w:ind w:firstLine="739"/>
      <w:jc w:val="both"/>
      <w:spacing w:line="281" w:lineRule="exact"/>
    </w:pPr>
  </w:style>
  <w:style w:type="paragraph" w:styleId="874" w:customStyle="1">
    <w:name w:val="Style8"/>
    <w:basedOn w:val="864"/>
    <w:pPr>
      <w:ind w:firstLine="739"/>
      <w:jc w:val="both"/>
      <w:spacing w:line="288" w:lineRule="exact"/>
    </w:pPr>
  </w:style>
  <w:style w:type="paragraph" w:styleId="875" w:customStyle="1">
    <w:name w:val="Style6"/>
    <w:basedOn w:val="864"/>
    <w:pPr>
      <w:ind w:firstLine="110"/>
      <w:spacing w:line="288" w:lineRule="exact"/>
    </w:pPr>
  </w:style>
  <w:style w:type="paragraph" w:styleId="876" w:customStyle="1">
    <w:name w:val="Абзац списка1"/>
    <w:basedOn w:val="864"/>
    <w:pPr>
      <w:ind w:left="720"/>
    </w:pPr>
  </w:style>
  <w:style w:type="paragraph" w:styleId="877">
    <w:name w:val="List Paragraph"/>
    <w:basedOn w:val="864"/>
    <w:uiPriority w:val="34"/>
    <w:qFormat/>
    <w:pPr>
      <w:contextualSpacing/>
      <w:ind w:left="720"/>
    </w:pPr>
  </w:style>
  <w:style w:type="paragraph" w:styleId="878" w:customStyle="1">
    <w:name w:val="Абзац списка2"/>
    <w:basedOn w:val="864"/>
    <w:pPr>
      <w:ind w:left="720"/>
      <w:spacing w:after="200" w:line="276" w:lineRule="auto"/>
      <w:widowControl/>
    </w:pPr>
    <w:rPr>
      <w:rFonts w:ascii="Calibri" w:hAnsi="Calibri" w:cs="Times New Roman"/>
      <w:sz w:val="22"/>
      <w:szCs w:val="22"/>
      <w:lang w:eastAsia="en-US"/>
    </w:rPr>
  </w:style>
  <w:style w:type="character" w:styleId="879">
    <w:name w:val="Hyperlink"/>
    <w:uiPriority w:val="99"/>
    <w:unhideWhenUsed/>
    <w:rPr>
      <w:color w:val="0000ff"/>
      <w:u w:val="single"/>
    </w:rPr>
  </w:style>
  <w:style w:type="paragraph" w:styleId="880">
    <w:name w:val="Header"/>
    <w:basedOn w:val="864"/>
    <w:link w:val="88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1" w:customStyle="1">
    <w:name w:val="Верхний колонтитул Знак"/>
    <w:basedOn w:val="865"/>
    <w:link w:val="880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82">
    <w:name w:val="Footer"/>
    <w:basedOn w:val="864"/>
    <w:link w:val="88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3" w:customStyle="1">
    <w:name w:val="Нижний колонтитул Знак"/>
    <w:basedOn w:val="865"/>
    <w:link w:val="882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84">
    <w:name w:val="Normal (Web)"/>
    <w:basedOn w:val="864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revision>4</cp:revision>
  <dcterms:created xsi:type="dcterms:W3CDTF">2025-02-18T13:39:00Z</dcterms:created>
  <dcterms:modified xsi:type="dcterms:W3CDTF">2025-02-21T08:51:47Z</dcterms:modified>
</cp:coreProperties>
</file>