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05.02.2025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174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6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прекращении</w:t>
      </w:r>
      <w:r>
        <w:rPr>
          <w:rFonts w:eastAsia="Times New Roman"/>
          <w:b/>
          <w:bCs/>
          <w:sz w:val="20"/>
          <w:szCs w:val="20"/>
        </w:rPr>
        <w:t xml:space="preserve">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ст. 48 </w:t>
      </w:r>
      <w:r>
        <w:rPr>
          <w:sz w:val="24"/>
          <w:szCs w:val="24"/>
        </w:rPr>
        <w:t xml:space="preserve">Земельн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кодекс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Российской Федерации,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 xml:space="preserve">заявления</w:t>
      </w:r>
      <w:r>
        <w:rPr>
          <w:sz w:val="24"/>
          <w:szCs w:val="24"/>
        </w:rPr>
        <w:t xml:space="preserve"> 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(ИНН 5190907139, ОГРН 1095190009111) от </w:t>
      </w:r>
      <w:r>
        <w:rPr>
          <w:sz w:val="24"/>
          <w:szCs w:val="24"/>
        </w:rPr>
        <w:t xml:space="preserve">16.01.2025 № 1-28-40/744,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Прекратить</w:t>
      </w:r>
      <w:r>
        <w:rPr>
          <w:sz w:val="24"/>
          <w:szCs w:val="24"/>
        </w:rPr>
        <w:t xml:space="preserve"> публичный сервитут</w:t>
      </w:r>
      <w:r>
        <w:rPr>
          <w:sz w:val="24"/>
          <w:szCs w:val="24"/>
        </w:rPr>
        <w:t xml:space="preserve">, установленный сроком на 49 лет</w:t>
      </w:r>
      <w:r>
        <w:rPr>
          <w:sz w:val="24"/>
          <w:szCs w:val="24"/>
        </w:rPr>
        <w:t xml:space="preserve"> в интересах 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(ИНН 5190907139, ОГРН 1095190009111) с целью строительства питающей линии от опоры № 47 ВЛЭП 10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л-3 и КТПС 10/04кВ до щита учета электроэнергии освещения пешеходного п</w:t>
      </w:r>
      <w:r>
        <w:rPr>
          <w:sz w:val="24"/>
          <w:szCs w:val="24"/>
        </w:rPr>
        <w:t xml:space="preserve">ерехода, расположенного по адресу: Мурманская область, поселок Никель, участок автодороги Заполярный - </w:t>
      </w:r>
      <w:r>
        <w:rPr>
          <w:sz w:val="24"/>
          <w:szCs w:val="24"/>
        </w:rPr>
        <w:t xml:space="preserve">Сальмиярви</w:t>
      </w:r>
      <w:r>
        <w:rPr>
          <w:sz w:val="24"/>
          <w:szCs w:val="24"/>
        </w:rPr>
        <w:t xml:space="preserve"> с </w:t>
      </w:r>
      <w:r>
        <w:rPr>
          <w:sz w:val="24"/>
          <w:szCs w:val="24"/>
        </w:rPr>
        <w:t xml:space="preserve">км</w:t>
      </w:r>
      <w:r>
        <w:rPr>
          <w:sz w:val="24"/>
          <w:szCs w:val="24"/>
        </w:rPr>
        <w:t xml:space="preserve"> 23+410 по 23+414, а также для их дальнейшей эксплуатации, в отношении земельного участка с кадастровым номером 51:03:0040102:42 (его част</w:t>
      </w:r>
      <w:r>
        <w:rPr>
          <w:sz w:val="24"/>
          <w:szCs w:val="24"/>
        </w:rPr>
        <w:t xml:space="preserve">ей), расположенного по адресу: Мурманская обл., МО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р-н, р-н «Старые парники», площадью 804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Постановление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от 13.05.2024 № 761 «Об установлении публичного сервитута».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ind w:firstLine="709"/>
        <w:jc w:val="both"/>
        <w:spacing w:before="0" w:beforeAutospacing="0" w:after="0" w:afterAutospacing="0"/>
      </w:pPr>
      <w:r>
        <w:t xml:space="preserve">3</w:t>
      </w:r>
      <w:r>
        <w:t xml:space="preserve">. Комитету по управлению имуществом администрации </w:t>
      </w:r>
      <w:r>
        <w:t xml:space="preserve">Печенгского</w:t>
      </w:r>
      <w:r>
        <w:t xml:space="preserve"> муниципального округа (</w:t>
      </w:r>
      <w:r>
        <w:t xml:space="preserve">Лаврущик</w:t>
      </w:r>
      <w:r>
        <w:t xml:space="preserve"> С.С.) в течение пяти рабочих дней со дня подписания настоящего постановления:</w:t>
      </w:r>
      <w:r/>
    </w:p>
    <w:p>
      <w:pPr>
        <w:pStyle w:val="866"/>
        <w:ind w:firstLine="709"/>
        <w:jc w:val="both"/>
        <w:spacing w:before="0" w:beforeAutospacing="0" w:after="0" w:afterAutospacing="0"/>
      </w:pPr>
      <w:r>
        <w:t xml:space="preserve">- направи</w:t>
      </w:r>
      <w:r>
        <w:t xml:space="preserve">ть в орган регистрации прав копию настоящего постановления</w:t>
      </w:r>
      <w:r>
        <w:t xml:space="preserve">;</w:t>
      </w:r>
      <w:r/>
    </w:p>
    <w:p>
      <w:pPr>
        <w:pStyle w:val="866"/>
        <w:ind w:firstLine="709"/>
        <w:jc w:val="both"/>
        <w:spacing w:before="0" w:beforeAutospacing="0" w:after="0" w:afterAutospacing="0"/>
      </w:pPr>
      <w:r>
        <w:t xml:space="preserve">- направить обладателю публичного сервитута копию настоящего постановления</w:t>
      </w:r>
      <w:r>
        <w:t xml:space="preserve">.</w:t>
      </w:r>
      <w:r/>
    </w:p>
    <w:p>
      <w:pPr>
        <w:pStyle w:val="85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Настоящее постановление вступает в силу пос</w:t>
      </w:r>
      <w:r>
        <w:rPr>
          <w:sz w:val="24"/>
          <w:szCs w:val="24"/>
        </w:rPr>
        <w:t xml:space="preserve">ле его подписания, подлежит </w:t>
      </w:r>
      <w:r>
        <w:rPr>
          <w:sz w:val="24"/>
          <w:szCs w:val="24"/>
        </w:rPr>
        <w:t xml:space="preserve">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865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Лаврущик</w:t>
      </w:r>
      <w:r>
        <w:t xml:space="preserve"> С.С., 5-05-79</w:t>
      </w:r>
      <w:r/>
    </w:p>
    <w:p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05.02.2025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174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00" w:line="276" w:lineRule="auto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146322</wp:posOffset>
                </wp:positionV>
                <wp:extent cx="5940310" cy="8404827"/>
                <wp:effectExtent l="0" t="0" r="0" b="0"/>
                <wp:wrapNone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9573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40308" cy="84048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1312;o:allowoverlap:true;o:allowincell:true;mso-position-horizontal-relative:margin;mso-position-horizontal:center;mso-position-vertical-relative:text;margin-top:11.52pt;mso-position-vertical:absolute;width:467.74pt;height:661.80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br w:type="page" w:clear="all"/>
      </w:r>
      <w:r/>
    </w:p>
    <w:tbl>
      <w:tblPr>
        <w:tblStyle w:val="867"/>
        <w:tblW w:w="9835" w:type="dxa"/>
        <w:tblInd w:w="-39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7"/>
        <w:gridCol w:w="1614"/>
        <w:gridCol w:w="72"/>
        <w:gridCol w:w="1629"/>
        <w:gridCol w:w="57"/>
        <w:gridCol w:w="3345"/>
        <w:gridCol w:w="590"/>
        <w:gridCol w:w="1023"/>
      </w:tblGrid>
      <w:tr>
        <w:tblPrEx/>
        <w:trPr>
          <w:trHeight w:val="884"/>
        </w:trPr>
        <w:tc>
          <w:tcPr>
            <w:gridSpan w:val="9"/>
            <w:tcW w:w="9835" w:type="dxa"/>
            <w:textDirection w:val="lrTb"/>
            <w:noWrap w:val="false"/>
          </w:tcPr>
          <w:p>
            <w:pPr>
              <w:ind w:left="3179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val="ru-RU" w:eastAsia="en-US"/>
              </w:rPr>
              <w:t xml:space="preserve">Описание</w:t>
            </w:r>
            <w:r>
              <w:rPr>
                <w:color w:val="auto"/>
                <w:spacing w:val="-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границ</w:t>
            </w:r>
            <w:r>
              <w:rPr>
                <w:color w:val="auto"/>
                <w:spacing w:val="-3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публичного сервитута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  <w:p>
            <w:pPr>
              <w:ind w:left="20" w:right="-29"/>
              <w:spacing w:before="93" w:line="244" w:lineRule="auto"/>
              <w:tabs>
                <w:tab w:val="left" w:pos="2260" w:leader="none"/>
                <w:tab w:val="left" w:pos="3213" w:leader="none"/>
                <w:tab w:val="left" w:pos="5568" w:leader="none"/>
                <w:tab w:val="left" w:pos="10480" w:leader="none"/>
              </w:tabs>
              <w:rPr>
                <w:color w:val="auto"/>
                <w:sz w:val="18"/>
                <w:szCs w:val="18"/>
              </w:rPr>
            </w:pPr>
            <w:r>
              <w:rPr>
                <w:color w:val="auto"/>
                <w:position w:val="3"/>
                <w:sz w:val="20"/>
                <w:szCs w:val="20"/>
                <w:lang w:val="ru-RU" w:eastAsia="en-US"/>
              </w:rPr>
              <w:t xml:space="preserve">Местоположение</w:t>
            </w:r>
            <w:r>
              <w:rPr>
                <w:color w:val="auto"/>
                <w:position w:val="3"/>
                <w:sz w:val="20"/>
                <w:szCs w:val="20"/>
                <w:lang w:val="ru-RU" w:eastAsia="en-US"/>
              </w:rPr>
              <w:tab/>
            </w:r>
            <w:r>
              <w:rPr>
                <w:color w:val="auto"/>
                <w:sz w:val="20"/>
                <w:szCs w:val="20"/>
                <w:u w:val="single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u w:val="single"/>
                <w:lang w:val="ru-RU" w:eastAsia="en-US"/>
              </w:rPr>
              <w:tab/>
              <w:t xml:space="preserve">Российская Федерация, Мурманская область, </w:t>
            </w:r>
            <w:r>
              <w:rPr>
                <w:color w:val="auto"/>
                <w:sz w:val="20"/>
                <w:szCs w:val="20"/>
                <w:u w:val="single"/>
                <w:lang w:val="ru-RU" w:eastAsia="en-US"/>
              </w:rPr>
              <w:t xml:space="preserve">Печенгский</w:t>
            </w:r>
            <w:r>
              <w:rPr>
                <w:color w:val="auto"/>
                <w:sz w:val="20"/>
                <w:szCs w:val="20"/>
                <w:u w:val="single"/>
                <w:lang w:val="ru-RU" w:eastAsia="en-US"/>
              </w:rPr>
              <w:t xml:space="preserve"> р-н</w:t>
            </w:r>
            <w:r>
              <w:rPr>
                <w:color w:val="auto"/>
                <w:sz w:val="20"/>
                <w:szCs w:val="20"/>
                <w:u w:val="single"/>
                <w:lang w:val="ru-RU" w:eastAsia="en-US"/>
              </w:rPr>
              <w:tab/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 Система координат</w:t>
            </w:r>
            <w:r>
              <w:rPr>
                <w:color w:val="auto"/>
                <w:sz w:val="20"/>
                <w:szCs w:val="20"/>
                <w:lang w:val="ru-RU" w:eastAsia="en-US"/>
              </w:rPr>
              <w:tab/>
            </w:r>
            <w:r>
              <w:rPr>
                <w:color w:val="auto"/>
                <w:sz w:val="20"/>
                <w:szCs w:val="20"/>
                <w:lang w:val="ru-RU" w:eastAsia="en-US"/>
              </w:rPr>
              <w:tab/>
            </w:r>
            <w:r>
              <w:rPr>
                <w:color w:val="auto"/>
                <w:sz w:val="20"/>
                <w:szCs w:val="20"/>
                <w:lang w:val="ru-RU" w:eastAsia="en-US"/>
              </w:rPr>
              <w:tab/>
              <w:t xml:space="preserve">МСК-51, зона 1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8"/>
        </w:trPr>
        <w:tc>
          <w:tcPr>
            <w:gridSpan w:val="7"/>
            <w:tcBorders>
              <w:bottom w:val="single" w:color="000000" w:sz="12" w:space="0"/>
            </w:tcBorders>
            <w:tcW w:w="8222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val="ru-RU" w:eastAsia="en-US"/>
              </w:rPr>
              <w:t xml:space="preserve">Площадь объекта +/- величина погрешности определения площади (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Р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 +/- Дельта Р)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bottom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right="130"/>
              <w:spacing w:line="231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804 ± 14,00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12" w:space="0"/>
              <w:bottom w:val="single" w:color="000000" w:sz="12" w:space="0"/>
            </w:tcBorders>
            <w:tcW w:w="1418" w:type="dxa"/>
            <w:textDirection w:val="lrTb"/>
            <w:noWrap w:val="false"/>
          </w:tcPr>
          <w:p>
            <w:pPr>
              <w:ind w:left="19" w:right="4"/>
              <w:jc w:val="center"/>
              <w:spacing w:before="5" w:line="26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Номер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точки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1701" w:type="dxa"/>
            <w:textDirection w:val="lrTb"/>
            <w:noWrap w:val="false"/>
          </w:tcPr>
          <w:p>
            <w:pPr>
              <w:ind w:left="125"/>
              <w:spacing w:before="5" w:line="26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Координата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X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1701" w:type="dxa"/>
            <w:textDirection w:val="lrTb"/>
            <w:noWrap w:val="false"/>
          </w:tcPr>
          <w:p>
            <w:pPr>
              <w:ind w:left="125"/>
              <w:spacing w:before="5" w:line="26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Координата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Y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3402" w:type="dxa"/>
            <w:textDirection w:val="lrTb"/>
            <w:noWrap w:val="false"/>
          </w:tcPr>
          <w:p>
            <w:pPr>
              <w:ind w:left="972"/>
              <w:spacing w:before="5" w:line="26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Метод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определения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right="130"/>
              <w:jc w:val="center"/>
              <w:spacing w:before="5" w:line="26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Погрешность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8"/>
        </w:trPr>
        <w:tc>
          <w:tcPr>
            <w:gridSpan w:val="9"/>
            <w:tcBorders>
              <w:top w:val="single" w:color="000000" w:sz="12" w:space="0"/>
              <w:bottom w:val="single" w:color="000000" w:sz="12" w:space="0"/>
            </w:tcBorders>
            <w:tcW w:w="9835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:ЗУ1(1)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1"/>
        </w:trPr>
        <w:tc>
          <w:tcPr>
            <w:tcBorders>
              <w:top w:val="single" w:color="000000" w:sz="12" w:space="0"/>
            </w:tcBorders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000000" w:sz="12" w:space="0"/>
            </w:tcBorders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691 332,44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000000" w:sz="12" w:space="0"/>
            </w:tcBorders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1 326 784,86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7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2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691 329,00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1 326 782,47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691 345,28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1 326 770,36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4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691 365,93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1 326 750,07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5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691 421,08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1 326 700,74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691 428,06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1 326 692,57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691 431,07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1 326 694,49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691 424,02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1 326 703,48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9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691 368,66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1 326 752,99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691 347,88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1 326 773,40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tcBorders>
              <w:bottom w:val="single" w:color="000000" w:sz="12" w:space="0"/>
            </w:tcBorders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3"/>
            <w:tcBorders>
              <w:bottom w:val="single" w:color="000000" w:sz="12" w:space="0"/>
            </w:tcBorders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691 332,44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bottom w:val="single" w:color="000000" w:sz="12" w:space="0"/>
            </w:tcBorders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1 326 784,86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bottom w:val="single" w:color="000000" w:sz="12" w:space="0"/>
            </w:tcBorders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bottom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8"/>
        </w:trPr>
        <w:tc>
          <w:tcPr>
            <w:gridSpan w:val="9"/>
            <w:tcBorders>
              <w:top w:val="single" w:color="000000" w:sz="12" w:space="0"/>
              <w:bottom w:val="single" w:color="000000" w:sz="12" w:space="0"/>
            </w:tcBorders>
            <w:tcW w:w="9835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:ЗУ1(2)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1"/>
        </w:trPr>
        <w:tc>
          <w:tcPr>
            <w:gridSpan w:val="2"/>
            <w:tcBorders>
              <w:top w:val="single" w:color="000000" w:sz="12" w:space="0"/>
            </w:tcBorders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11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691 121,33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1 326 674,96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single" w:color="000000" w:sz="12" w:space="0"/>
            </w:tcBorders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73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12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691 123,30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1 326 671,48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691 140,32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1 326 681,13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14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691 161,43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1 326 696,81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15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691 182,39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1 326 697,63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691 182,23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1 326 701,63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691 160,04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1 326 700,75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691 138,13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1 326 684,49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11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691 121,33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1 326 674,96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0"/>
                <w:szCs w:val="20"/>
                <w:lang w:val="ru-RU" w:eastAsia="en-US"/>
              </w:rPr>
              <w:t xml:space="preserve"> </w:t>
            </w:r>
            <w:r>
              <w:rPr>
                <w:color w:val="auto"/>
                <w:sz w:val="20"/>
                <w:szCs w:val="20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0,10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</w:tbl>
    <w:p>
      <w:pPr>
        <w:jc w:val="both"/>
        <w:spacing w:after="200" w:line="276" w:lineRule="auto"/>
      </w:pPr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2"/>
    <w:link w:val="674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5 Char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Title Char"/>
    <w:basedOn w:val="682"/>
    <w:link w:val="695"/>
    <w:uiPriority w:val="10"/>
    <w:rPr>
      <w:sz w:val="48"/>
      <w:szCs w:val="48"/>
    </w:rPr>
  </w:style>
  <w:style w:type="character" w:styleId="669">
    <w:name w:val="Subtitle Char"/>
    <w:basedOn w:val="682"/>
    <w:link w:val="697"/>
    <w:uiPriority w:val="11"/>
    <w:rPr>
      <w:sz w:val="24"/>
      <w:szCs w:val="24"/>
    </w:rPr>
  </w:style>
  <w:style w:type="character" w:styleId="670">
    <w:name w:val="Quote Char"/>
    <w:link w:val="699"/>
    <w:uiPriority w:val="29"/>
    <w:rPr>
      <w:i/>
    </w:rPr>
  </w:style>
  <w:style w:type="character" w:styleId="671">
    <w:name w:val="Intense Quote Char"/>
    <w:link w:val="701"/>
    <w:uiPriority w:val="30"/>
    <w:rPr>
      <w:i/>
    </w:rPr>
  </w:style>
  <w:style w:type="paragraph" w:styleId="6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3">
    <w:name w:val="Heading 1"/>
    <w:basedOn w:val="672"/>
    <w:next w:val="672"/>
    <w:link w:val="68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845"/>
    <w:qFormat/>
    <w:pPr>
      <w:ind w:firstLine="709"/>
      <w:keepNext/>
      <w:outlineLvl w:val="3"/>
    </w:pPr>
    <w:rPr>
      <w:sz w:val="28"/>
    </w:rPr>
  </w:style>
  <w:style w:type="paragraph" w:styleId="677">
    <w:name w:val="Heading 5"/>
    <w:basedOn w:val="672"/>
    <w:next w:val="672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after="0" w:line="240" w:lineRule="auto"/>
    </w:pPr>
  </w:style>
  <w:style w:type="paragraph" w:styleId="695">
    <w:name w:val="Title"/>
    <w:basedOn w:val="672"/>
    <w:next w:val="672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 w:customStyle="1">
    <w:name w:val="Название Знак"/>
    <w:basedOn w:val="682"/>
    <w:link w:val="695"/>
    <w:uiPriority w:val="10"/>
    <w:rPr>
      <w:sz w:val="48"/>
      <w:szCs w:val="48"/>
    </w:rPr>
  </w:style>
  <w:style w:type="paragraph" w:styleId="697">
    <w:name w:val="Subtitle"/>
    <w:basedOn w:val="672"/>
    <w:next w:val="672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 w:customStyle="1">
    <w:name w:val="Подзаголовок Знак"/>
    <w:basedOn w:val="682"/>
    <w:link w:val="697"/>
    <w:uiPriority w:val="11"/>
    <w:rPr>
      <w:sz w:val="24"/>
      <w:szCs w:val="24"/>
    </w:rPr>
  </w:style>
  <w:style w:type="paragraph" w:styleId="699">
    <w:name w:val="Quote"/>
    <w:basedOn w:val="672"/>
    <w:next w:val="672"/>
    <w:link w:val="700"/>
    <w:uiPriority w:val="29"/>
    <w:qFormat/>
    <w:pPr>
      <w:ind w:left="720" w:right="720"/>
    </w:pPr>
    <w:rPr>
      <w:i/>
    </w:rPr>
  </w:style>
  <w:style w:type="character" w:styleId="700" w:customStyle="1">
    <w:name w:val="Цитата 2 Знак"/>
    <w:link w:val="699"/>
    <w:uiPriority w:val="29"/>
    <w:rPr>
      <w:i/>
    </w:rPr>
  </w:style>
  <w:style w:type="paragraph" w:styleId="701">
    <w:name w:val="Intense Quote"/>
    <w:basedOn w:val="672"/>
    <w:next w:val="672"/>
    <w:link w:val="7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 w:customStyle="1">
    <w:name w:val="Выделенная цитата Знак"/>
    <w:link w:val="701"/>
    <w:uiPriority w:val="30"/>
    <w:rPr>
      <w:i/>
    </w:rPr>
  </w:style>
  <w:style w:type="character" w:styleId="703" w:customStyle="1">
    <w:name w:val="Header Char"/>
    <w:basedOn w:val="682"/>
    <w:uiPriority w:val="99"/>
  </w:style>
  <w:style w:type="character" w:styleId="704" w:customStyle="1">
    <w:name w:val="Footer Char"/>
    <w:basedOn w:val="682"/>
    <w:uiPriority w:val="99"/>
  </w:style>
  <w:style w:type="paragraph" w:styleId="705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6" w:customStyle="1">
    <w:name w:val="Caption Char"/>
    <w:uiPriority w:val="99"/>
  </w:style>
  <w:style w:type="table" w:styleId="707" w:customStyle="1">
    <w:name w:val="Table Grid Light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 w:customStyle="1">
    <w:name w:val="Plain Table 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 w:customStyle="1">
    <w:name w:val="Plain Table 2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 w:customStyle="1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 w:customStyle="1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 w:customStyle="1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 w:customStyle="1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2" w:customStyle="1">
    <w:name w:val="Footnote Text Char"/>
    <w:uiPriority w:val="99"/>
    <w:rPr>
      <w:sz w:val="18"/>
    </w:rPr>
  </w:style>
  <w:style w:type="character" w:styleId="833" w:customStyle="1">
    <w:name w:val="Endnote Text Char"/>
    <w:uiPriority w:val="99"/>
    <w:rPr>
      <w:sz w:val="20"/>
    </w:rPr>
  </w:style>
  <w:style w:type="paragraph" w:styleId="834">
    <w:name w:val="toc 1"/>
    <w:basedOn w:val="672"/>
    <w:next w:val="672"/>
    <w:uiPriority w:val="39"/>
    <w:unhideWhenUsed/>
    <w:pPr>
      <w:spacing w:after="57"/>
    </w:pPr>
  </w:style>
  <w:style w:type="paragraph" w:styleId="835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36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37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38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39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40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41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42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672"/>
    <w:next w:val="672"/>
    <w:uiPriority w:val="99"/>
    <w:unhideWhenUsed/>
  </w:style>
  <w:style w:type="character" w:styleId="845" w:customStyle="1">
    <w:name w:val="Заголовок 4 Знак"/>
    <w:basedOn w:val="682"/>
    <w:link w:val="67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6">
    <w:name w:val="Body Text 2"/>
    <w:basedOn w:val="672"/>
    <w:link w:val="847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47" w:customStyle="1">
    <w:name w:val="Основной текст 2 Знак"/>
    <w:basedOn w:val="682"/>
    <w:link w:val="846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48">
    <w:name w:val="Balloon Text"/>
    <w:basedOn w:val="672"/>
    <w:link w:val="849"/>
    <w:uiPriority w:val="99"/>
    <w:semiHidden/>
    <w:unhideWhenUsed/>
    <w:rPr>
      <w:rFonts w:ascii="Tahoma" w:hAnsi="Tahoma" w:cs="Tahoma"/>
      <w:sz w:val="16"/>
      <w:szCs w:val="16"/>
    </w:rPr>
  </w:style>
  <w:style w:type="character" w:styleId="849" w:customStyle="1">
    <w:name w:val="Текст выноски Знак"/>
    <w:basedOn w:val="682"/>
    <w:link w:val="84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50">
    <w:name w:val="List Paragraph"/>
    <w:basedOn w:val="672"/>
    <w:uiPriority w:val="34"/>
    <w:qFormat/>
    <w:pPr>
      <w:contextualSpacing/>
      <w:ind w:left="720"/>
    </w:pPr>
  </w:style>
  <w:style w:type="paragraph" w:styleId="851">
    <w:name w:val="Header"/>
    <w:basedOn w:val="672"/>
    <w:link w:val="85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52" w:customStyle="1">
    <w:name w:val="Верхний колонтитул Знак"/>
    <w:basedOn w:val="682"/>
    <w:link w:val="85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3">
    <w:name w:val="Footer"/>
    <w:basedOn w:val="672"/>
    <w:link w:val="85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54" w:customStyle="1">
    <w:name w:val="Нижний колонтитул Знак"/>
    <w:basedOn w:val="682"/>
    <w:link w:val="85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5">
    <w:name w:val="footnote text"/>
    <w:basedOn w:val="672"/>
    <w:link w:val="856"/>
    <w:uiPriority w:val="99"/>
    <w:semiHidden/>
    <w:rPr>
      <w:color w:val="auto"/>
    </w:rPr>
  </w:style>
  <w:style w:type="character" w:styleId="856" w:customStyle="1">
    <w:name w:val="Текст сноски Знак"/>
    <w:basedOn w:val="682"/>
    <w:link w:val="85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7">
    <w:name w:val="footnote reference"/>
    <w:basedOn w:val="682"/>
    <w:uiPriority w:val="99"/>
    <w:semiHidden/>
    <w:rPr>
      <w:rFonts w:cs="Times New Roman"/>
      <w:vertAlign w:val="superscript"/>
    </w:rPr>
  </w:style>
  <w:style w:type="paragraph" w:styleId="858">
    <w:name w:val="endnote text"/>
    <w:basedOn w:val="672"/>
    <w:link w:val="859"/>
    <w:uiPriority w:val="99"/>
    <w:semiHidden/>
    <w:rPr>
      <w:color w:val="auto"/>
    </w:rPr>
  </w:style>
  <w:style w:type="character" w:styleId="859" w:customStyle="1">
    <w:name w:val="Текст концевой сноски Знак"/>
    <w:basedOn w:val="682"/>
    <w:link w:val="858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0">
    <w:name w:val="endnote reference"/>
    <w:basedOn w:val="682"/>
    <w:uiPriority w:val="99"/>
    <w:semiHidden/>
    <w:rPr>
      <w:rFonts w:cs="Times New Roman"/>
      <w:vertAlign w:val="superscript"/>
    </w:rPr>
  </w:style>
  <w:style w:type="paragraph" w:styleId="861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62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63" w:customStyle="1">
    <w:name w:val="Сетка таблицы1"/>
    <w:basedOn w:val="683"/>
    <w:next w:val="864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4">
    <w:name w:val="Table Grid"/>
    <w:basedOn w:val="68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5">
    <w:name w:val="Hyperlink"/>
    <w:basedOn w:val="682"/>
    <w:uiPriority w:val="99"/>
    <w:unhideWhenUsed/>
    <w:rPr>
      <w:color w:val="0000ff" w:themeColor="hyperlink"/>
      <w:u w:val="single"/>
    </w:rPr>
  </w:style>
  <w:style w:type="paragraph" w:styleId="866" w:customStyle="1">
    <w:name w:val="s_1"/>
    <w:basedOn w:val="672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67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21</cp:revision>
  <dcterms:created xsi:type="dcterms:W3CDTF">2024-03-19T08:44:00Z</dcterms:created>
  <dcterms:modified xsi:type="dcterms:W3CDTF">2025-02-21T12:35:36Z</dcterms:modified>
</cp:coreProperties>
</file>