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05.02.2025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  № 175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 </w:t>
      </w:r>
      <w:r>
        <w:rPr>
          <w:rFonts w:eastAsia="Times New Roman"/>
          <w:b/>
          <w:bCs/>
          <w:sz w:val="20"/>
          <w:szCs w:val="20"/>
        </w:rPr>
        <w:t xml:space="preserve">прекращении</w:t>
      </w:r>
      <w:r>
        <w:rPr>
          <w:rFonts w:eastAsia="Times New Roman"/>
          <w:b/>
          <w:bCs/>
          <w:sz w:val="20"/>
          <w:szCs w:val="20"/>
        </w:rPr>
        <w:t xml:space="preserve">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ст. 48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кодекс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Российской Федерации, </w:t>
      </w:r>
      <w:r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 xml:space="preserve">заявления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Прекратить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публичный сервитут</w:t>
      </w:r>
      <w:r>
        <w:rPr>
          <w:sz w:val="24"/>
          <w:szCs w:val="24"/>
        </w:rPr>
        <w:t xml:space="preserve">, установленный сроком на 49 лет</w:t>
      </w:r>
      <w:r>
        <w:rPr>
          <w:sz w:val="24"/>
          <w:szCs w:val="24"/>
        </w:rPr>
        <w:t xml:space="preserve">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ОГРН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(далее по тексту </w:t>
      </w:r>
      <w:r>
        <w:rPr>
          <w:sz w:val="24"/>
          <w:szCs w:val="24"/>
        </w:rPr>
        <w:t xml:space="preserve">АО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целью строительства линии электропередачи 0,4кВ от РУ-0,4кВ КТП-10 до блока гаражей, расположенных по адресу: </w:t>
      </w:r>
      <w:r>
        <w:rPr>
          <w:sz w:val="24"/>
          <w:szCs w:val="24"/>
        </w:rPr>
        <w:t xml:space="preserve">Мурманская</w:t>
      </w:r>
      <w:r>
        <w:rPr>
          <w:sz w:val="24"/>
          <w:szCs w:val="24"/>
        </w:rPr>
        <w:t xml:space="preserve"> обл., муниципальный ок</w:t>
      </w:r>
      <w:r>
        <w:rPr>
          <w:sz w:val="24"/>
          <w:szCs w:val="24"/>
        </w:rPr>
        <w:t xml:space="preserve">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</w:t>
      </w:r>
      <w:r>
        <w:rPr>
          <w:sz w:val="24"/>
          <w:szCs w:val="24"/>
        </w:rPr>
        <w:t xml:space="preserve">ул. Спортивная, а также для их дальнейшей эксплуатации, в отношении земельного участка с кадастровым номером 51:03:0080301:9 (его частей), расположенного по адресу: 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поселок городского типа Никель, улица Спортивная, площадью 431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Постановление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  <w:br/>
        <w:t xml:space="preserve">от 13.05.2024 № 760 «Об установлении публичного сервитута» признать утратившим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3</w:t>
      </w:r>
      <w:r>
        <w:t xml:space="preserve">. </w:t>
      </w:r>
      <w:r>
        <w:t xml:space="preserve">Комитету по управлению имуществом</w:t>
      </w:r>
      <w:r>
        <w:t xml:space="preserve"> </w:t>
      </w:r>
      <w:r>
        <w:t xml:space="preserve">администрации Печенгского </w:t>
      </w:r>
      <w:r>
        <w:t xml:space="preserve">муниципального округа</w:t>
      </w:r>
      <w:r>
        <w:t xml:space="preserve"> (</w:t>
      </w:r>
      <w:r>
        <w:t xml:space="preserve">Лаврущик</w:t>
      </w:r>
      <w:r>
        <w:t xml:space="preserve"> С.С.)</w:t>
      </w:r>
      <w:r>
        <w:t xml:space="preserve"> в</w:t>
      </w:r>
      <w:r>
        <w:t xml:space="preserve"> течение пяти рабочих дней со дня подписания настоящего постановления: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</w:t>
      </w:r>
      <w:r>
        <w:t xml:space="preserve"> направить в орган регистрации прав</w:t>
      </w:r>
      <w:r>
        <w:t xml:space="preserve"> </w:t>
      </w:r>
      <w:r>
        <w:t xml:space="preserve">копию настоящего постановления</w:t>
      </w:r>
      <w:r>
        <w:t xml:space="preserve">;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</w:t>
      </w:r>
      <w:r>
        <w:t xml:space="preserve"> направить обладателю публичного сервитута копию настоящего постановления</w:t>
      </w:r>
      <w:r>
        <w:t xml:space="preserve">.</w:t>
      </w:r>
      <w:r/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Настоящее постановление вступает в</w:t>
      </w:r>
      <w:r>
        <w:rPr>
          <w:sz w:val="24"/>
          <w:szCs w:val="24"/>
        </w:rPr>
        <w:t xml:space="preserve"> силу после его подписания</w:t>
      </w:r>
      <w:r>
        <w:rPr>
          <w:sz w:val="24"/>
          <w:szCs w:val="24"/>
        </w:rPr>
        <w:t xml:space="preserve">, подлежит </w:t>
      </w:r>
      <w:bookmarkStart w:id="0" w:name="_GoBack"/>
      <w:r/>
      <w:bookmarkEnd w:id="0"/>
      <w:r>
        <w:rPr>
          <w:sz w:val="24"/>
          <w:szCs w:val="24"/>
        </w:rPr>
        <w:t xml:space="preserve">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</w:pPr>
      <w:r>
        <w:t xml:space="preserve">Лаврущик</w:t>
      </w:r>
      <w:r>
        <w:t xml:space="preserve"> С.С.</w:t>
      </w:r>
      <w:r>
        <w:t xml:space="preserve"> </w:t>
      </w:r>
      <w:r>
        <w:t xml:space="preserve">5-05-79</w:t>
      </w:r>
      <w:r/>
    </w:p>
    <w:p>
      <w:pPr>
        <w:spacing w:after="200" w:line="276" w:lineRule="auto"/>
      </w:pPr>
      <w:r>
        <w:br w:type="page" w:clear="all"/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05.02.2025 № 175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/>
      <w:r/>
    </w:p>
    <w:p>
      <w:pPr>
        <w:jc w:val="both"/>
        <w:spacing w:after="200" w:line="276" w:lineRule="auto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20130" cy="8664523"/>
                <wp:effectExtent l="0" t="0" r="0" b="0"/>
                <wp:wrapNone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16061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20129" cy="86645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1312;o:allowoverlap:true;o:allowincell:true;mso-position-horizontal-relative:margin;mso-position-horizontal:center;mso-position-vertical-relative:text;margin-top:0.00pt;mso-position-vertical:absolute;width:481.90pt;height:682.25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/>
    </w:p>
    <w:p>
      <w:r>
        <w:br w:type="page" w:clear="all"/>
      </w:r>
      <w:r/>
    </w:p>
    <w:tbl>
      <w:tblPr>
        <w:tblStyle w:val="855"/>
        <w:tblW w:w="9923" w:type="dxa"/>
        <w:tblInd w:w="-416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1E0" w:firstRow="1" w:lastRow="1" w:firstColumn="1" w:lastColumn="1" w:noHBand="0" w:noVBand="0"/>
      </w:tblPr>
      <w:tblGrid>
        <w:gridCol w:w="1522"/>
        <w:gridCol w:w="859"/>
        <w:gridCol w:w="843"/>
        <w:gridCol w:w="37"/>
        <w:gridCol w:w="1664"/>
        <w:gridCol w:w="3580"/>
        <w:gridCol w:w="1418"/>
      </w:tblGrid>
      <w:tr>
        <w:tblPrEx/>
        <w:trPr>
          <w:trHeight w:val="276"/>
        </w:trPr>
        <w:tc>
          <w:tcPr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13"/>
              <w:jc w:val="center"/>
              <w:spacing w:line="25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Описание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границ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публичного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сервитута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81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2381" w:type="dxa"/>
            <w:vMerge w:val="restart"/>
            <w:textDirection w:val="lrTb"/>
            <w:noWrap w:val="false"/>
          </w:tcPr>
          <w:p>
            <w:pPr>
              <w:ind w:left="20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Местоположение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  <w:p>
            <w:pPr>
              <w:spacing w:before="4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  <w:p>
            <w:pPr>
              <w:ind w:left="20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Система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координат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W w:w="7542" w:type="dxa"/>
            <w:textDirection w:val="lrTb"/>
            <w:noWrap w:val="false"/>
          </w:tcPr>
          <w:p>
            <w:pPr>
              <w:ind w:left="3146" w:right="93" w:hanging="3025"/>
              <w:spacing w:before="10" w:line="270" w:lineRule="atLeast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z w:val="24"/>
                <w:szCs w:val="22"/>
                <w:lang w:val="ru-RU" w:eastAsia="en-US"/>
              </w:rPr>
              <w:t xml:space="preserve">184421,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Российская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Федерация,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Мурманская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область,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Печенгский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р-н,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Никель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пгт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, Спортивная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ул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</w:tr>
      <w:tr>
        <w:tblPrEx/>
        <w:trPr>
          <w:trHeight w:val="295"/>
        </w:trPr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2381" w:type="dxa"/>
            <w:vMerge w:val="continue"/>
            <w:textDirection w:val="lrTb"/>
            <w:noWrap w:val="false"/>
          </w:tcPr>
          <w:p>
            <w:pPr>
              <w:rPr>
                <w:color w:val="auto"/>
                <w:sz w:val="2"/>
                <w:szCs w:val="2"/>
                <w:lang w:val="ru-RU" w:eastAsia="en-US"/>
              </w:rPr>
            </w:pPr>
            <w:r>
              <w:rPr>
                <w:color w:val="auto"/>
                <w:sz w:val="2"/>
                <w:szCs w:val="2"/>
                <w:lang w:val="ru-RU" w:eastAsia="en-US"/>
              </w:rPr>
            </w:r>
            <w:r>
              <w:rPr>
                <w:color w:val="auto"/>
                <w:sz w:val="2"/>
                <w:szCs w:val="2"/>
                <w:lang w:val="ru-RU" w:eastAsia="en-US"/>
              </w:rPr>
            </w:r>
            <w:r>
              <w:rPr>
                <w:color w:val="auto"/>
                <w:sz w:val="2"/>
                <w:szCs w:val="2"/>
                <w:lang w:val="ru-RU"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W w:w="7542" w:type="dxa"/>
            <w:textDirection w:val="lrTb"/>
            <w:noWrap w:val="false"/>
          </w:tcPr>
          <w:p>
            <w:pPr>
              <w:ind w:left="27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МСК-51,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зона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51"/>
        </w:trPr>
        <w:tc>
          <w:tcPr>
            <w:gridSpan w:val="6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22"/>
                <w:szCs w:val="22"/>
                <w:lang w:val="ru-RU" w:eastAsia="en-US"/>
              </w:rPr>
            </w:pPr>
            <w:r>
              <w:rPr>
                <w:color w:val="auto"/>
                <w:sz w:val="22"/>
                <w:szCs w:val="22"/>
                <w:lang w:val="ru-RU" w:eastAsia="en-US"/>
              </w:rPr>
              <w:t xml:space="preserve">Площадь объекта +/- величина погрешности определения площади (</w:t>
            </w:r>
            <w:r>
              <w:rPr>
                <w:color w:val="auto"/>
                <w:sz w:val="22"/>
                <w:szCs w:val="22"/>
                <w:lang w:val="ru-RU" w:eastAsia="en-US"/>
              </w:rPr>
              <w:t xml:space="preserve">Р</w:t>
            </w:r>
            <w:r>
              <w:rPr>
                <w:color w:val="auto"/>
                <w:sz w:val="22"/>
                <w:szCs w:val="22"/>
                <w:lang w:val="ru-RU" w:eastAsia="en-US"/>
              </w:rPr>
              <w:t xml:space="preserve"> +/- Дельта </w:t>
            </w:r>
            <w:r>
              <w:rPr>
                <w:color w:val="auto"/>
                <w:spacing w:val="-5"/>
                <w:sz w:val="22"/>
                <w:szCs w:val="22"/>
                <w:lang w:val="ru-RU" w:eastAsia="en-US"/>
              </w:rPr>
              <w:t xml:space="preserve">Р)</w:t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31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431 ± </w:t>
            </w:r>
            <w:r>
              <w:rPr>
                <w:color w:val="auto"/>
                <w:spacing w:val="-4"/>
                <w:sz w:val="22"/>
                <w:szCs w:val="22"/>
                <w:lang w:eastAsia="en-US"/>
              </w:rPr>
              <w:t xml:space="preserve">0,00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Номер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точки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702" w:type="dxa"/>
            <w:textDirection w:val="lrTb"/>
            <w:noWrap w:val="false"/>
          </w:tcPr>
          <w:p>
            <w:pPr>
              <w:ind w:left="125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X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ind w:left="12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Y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971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определения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Погрешность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7"/>
            <w:tcBorders>
              <w:left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35"/>
              <w:spacing w:line="224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2"/>
                <w:szCs w:val="22"/>
                <w:lang w:eastAsia="en-US"/>
              </w:rPr>
              <w:t xml:space="preserve">:ЗУ1(1)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523,54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733,79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530,27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728,32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538,09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745,40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558,99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804,20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555,96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805,87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549,69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789,76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544,04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782,11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542,43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783,30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547,92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790,73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554,93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808,73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560,69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805,54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572,84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799,00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571,89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797,24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560,76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803,23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539,95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744,65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531,86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727,00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541,89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718,50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546,64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741,35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549,55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744,96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551,10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743,71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548,50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740,47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543,16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714,79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725,95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522,23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732,28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523,54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733,79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7"/>
            <w:tcBorders>
              <w:left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35"/>
              <w:spacing w:line="224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2"/>
                <w:szCs w:val="22"/>
                <w:lang w:eastAsia="en-US"/>
              </w:rPr>
              <w:t xml:space="preserve">:ЗУ1(2)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757,54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513,10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518,70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736,44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520,02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737,94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516,13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532,49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756,68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532,49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760,17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760,17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757,54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</w:tbl>
    <w:p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1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2025-01-27T12:37:00Z</dcterms:created>
  <dcterms:modified xsi:type="dcterms:W3CDTF">2025-02-21T12:36:03Z</dcterms:modified>
</cp:coreProperties>
</file>