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11.03.2025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№ 359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установлении размеров авансовых платежей при заключении муниципальных контрактов,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гражданско-правовых договоров </w:t>
      </w:r>
      <w:r>
        <w:rPr>
          <w:b/>
        </w:rPr>
      </w:r>
      <w:r>
        <w:rPr>
          <w:b/>
        </w:rPr>
      </w:r>
    </w:p>
    <w:p>
      <w:pPr>
        <w:pStyle w:val="871"/>
        <w:ind w:firstLine="708"/>
        <w:jc w:val="both"/>
        <w:spacing w:before="0" w:beforeAutospacing="0" w:after="0" w:afterAutospacing="0"/>
      </w:pPr>
      <w:r/>
      <w:r/>
    </w:p>
    <w:p>
      <w:pPr>
        <w:pStyle w:val="871"/>
        <w:ind w:firstLine="708"/>
        <w:jc w:val="both"/>
        <w:spacing w:before="0" w:beforeAutospacing="0" w:after="0" w:afterAutospacing="0"/>
      </w:pPr>
      <w:r/>
      <w:r/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Федеральными законами от 06.10.2003 № 131-ФЗ «Об общих принципах организации местного самоуправления в Российской Федерации, от </w:t>
      </w:r>
      <w:r>
        <w:rPr>
          <w:sz w:val="24"/>
          <w:szCs w:val="24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4"/>
          <w:szCs w:val="24"/>
        </w:rPr>
        <w:t xml:space="preserve">, в целях </w:t>
      </w:r>
      <w:r>
        <w:rPr>
          <w:sz w:val="24"/>
          <w:szCs w:val="24"/>
        </w:rPr>
        <w:t xml:space="preserve">установления</w:t>
      </w:r>
      <w:r>
        <w:rPr>
          <w:sz w:val="24"/>
          <w:szCs w:val="24"/>
        </w:rPr>
        <w:t xml:space="preserve"> размеров авансовых платежей </w:t>
      </w:r>
      <w:r>
        <w:rPr>
          <w:sz w:val="24"/>
          <w:szCs w:val="24"/>
        </w:rPr>
        <w:t xml:space="preserve">при заключении муниципальных</w:t>
      </w:r>
      <w:r>
        <w:rPr>
          <w:sz w:val="24"/>
          <w:szCs w:val="24"/>
        </w:rPr>
        <w:t xml:space="preserve"> контрактов </w:t>
      </w:r>
      <w:r>
        <w:rPr>
          <w:sz w:val="24"/>
          <w:szCs w:val="24"/>
        </w:rPr>
        <w:t xml:space="preserve">и гражданско - правовых договоров в 2025 году,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709"/>
        <w:numPr>
          <w:ilvl w:val="0"/>
          <w:numId w:val="7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Установить, что получатели средств местного бюджета вправе предусматривать в заключаемых ими муниципальных контра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тах (гражданско - правовых договорах) </w:t>
        <w:br/>
        <w:t xml:space="preserve">(дале</w:t>
      </w:r>
      <w:r>
        <w:rPr>
          <w:sz w:val="24"/>
          <w:szCs w:val="24"/>
        </w:rPr>
        <w:t xml:space="preserve">е – контракт, договор) на поставку товара, выполнение работ, оказание услуг авансовые платежи в размере и порядке, которые установлены настоящим пунктом, если иное не установлено законодательством Российской Федерации, нормативными правовыми актами Мурманс</w:t>
      </w:r>
      <w:r>
        <w:rPr>
          <w:sz w:val="24"/>
          <w:szCs w:val="24"/>
        </w:rPr>
        <w:t xml:space="preserve">кой области, нормативными правовыми актами Печенгского муниципального округа для такого контракта (договора), но не более лимитов бюджетных обязательств на соответствующий финансовый год, доведенных до них в установленном порядке на соответствующие цели: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в размере, не превышающем 30 процентов от суммы контракта (договора) на пост</w:t>
      </w:r>
      <w:r>
        <w:rPr>
          <w:sz w:val="24"/>
          <w:szCs w:val="24"/>
        </w:rPr>
        <w:t xml:space="preserve">авку товара, выполнение работ, оказание услуг, в том числе от контракта (договора) на выполнение работ по строительству, реконструкции и капитальному ремонту объектов капитального строительства муниципальной собственности Печенгского муниципального округа,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за исключением контрактов (договоров), указанных в подпункте 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настоящего пункта;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</w:t>
      </w:r>
      <w:r>
        <w:rPr>
          <w:sz w:val="24"/>
          <w:szCs w:val="24"/>
        </w:rPr>
        <w:t xml:space="preserve">. до 100 процентов включительно от суммы контракта (договора):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 оказании услуг почтовой связи;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подписке на печатные издания и их приобретении, в том числе на электронные издания;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профессиональной переподготовке и повышении квалификации (курсы, семинары), обучении сотрудников;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 организации проведения совещаний, выставок, конференций, презентаций, бизнес-миссий, фестивалей, конкурсов, форумов, тренингов,</w:t>
      </w:r>
      <w:r>
        <w:t xml:space="preserve"> </w:t>
      </w:r>
      <w:r>
        <w:rPr>
          <w:sz w:val="24"/>
          <w:szCs w:val="24"/>
        </w:rPr>
        <w:t xml:space="preserve">культурно-массовых, праздничных мероприятий и мероприятий, посвященных памятным датам Российской Федерации, Мурманской области, Печенгского муни</w:t>
      </w:r>
      <w:r>
        <w:rPr>
          <w:sz w:val="24"/>
          <w:szCs w:val="24"/>
        </w:rPr>
        <w:t xml:space="preserve">ципального округа, мероприятий в</w:t>
      </w:r>
      <w:r>
        <w:rPr>
          <w:sz w:val="24"/>
          <w:szCs w:val="24"/>
        </w:rPr>
        <w:t xml:space="preserve"> сфере</w:t>
      </w:r>
      <w:bookmarkStart w:id="0" w:name="_GoBack"/>
      <w:r/>
      <w:bookmarkEnd w:id="0"/>
      <w:r>
        <w:rPr>
          <w:sz w:val="24"/>
          <w:szCs w:val="24"/>
        </w:rPr>
        <w:t xml:space="preserve"> молодежной политики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физкультурных и спортивных мероприятий, всероссийских олимпиад, а также о приобретении товаров, работ, услуг, необходимых для проведения и (или) участия в указанных мероприятиях;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проведении государственной экспертизы проектной документации и результатов инженерных изысканий;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проведении проверки достоверности определения сметной стоимости объектов капитального строительства;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 оплате авиа - и железнодорожных билетов, билетов для проезда городским и пригородным транспортом, путевок на санаторно - курортное лечение;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 оказании услуг обязательного страхования гражданской ответственности владельцев транспортных средств;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 оказании услуг на организацию отдыха, оздоровления и лечения;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поставке бланков свидетельств о государственной регистрации актов гражданского состояния;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 оказании гостиничных услуг по месту командирования;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проведение государственной экологической экспертизы;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проведении мероприятий по тушению пожаров;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приобретении горюче - смазочных материалов;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приобретении программного обеспечения, лицензии на программное обеспечение, услуги по настройке и модернизации программного обеспечения, услуг в сфере информационных техн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логий;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закупке товаров, работ, услуг у учреждений и предприятий уголовно-исполнительной системы;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9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пр</w:t>
      </w:r>
      <w:r>
        <w:rPr>
          <w:sz w:val="24"/>
          <w:szCs w:val="24"/>
        </w:rPr>
        <w:t xml:space="preserve">едоставлении коммунальных услуг.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Установить, что получатели средств местного бюджета вправе в соответствии с частью 65.1 статьи 112 Фе</w:t>
      </w:r>
      <w:r>
        <w:rPr>
          <w:sz w:val="24"/>
          <w:szCs w:val="24"/>
        </w:rPr>
        <w:t xml:space="preserve">дерального закона от 05.04.2013 № 44-ФЗ «О контрактной системе в сфере закупок товаров, работ, услуг для обеспечения государственных и муниципальных нужд» внести по соглашению сторон в заключенные до дня вступления в силу настоящего постановления муниципал</w:t>
      </w:r>
      <w:r>
        <w:rPr>
          <w:sz w:val="24"/>
          <w:szCs w:val="24"/>
        </w:rPr>
        <w:t xml:space="preserve">ьные контракты (договоры) на поставку товаров, выполнение работ, оказание услуг изменения в части увеличения предусмотренных ими размеров авансовых платежей до размеров, определенных в соответствии с пунктом 1 настоящего постановления, с соблюдением размер</w:t>
      </w:r>
      <w:r>
        <w:rPr>
          <w:sz w:val="24"/>
          <w:szCs w:val="24"/>
        </w:rPr>
        <w:t xml:space="preserve">а обеспечения исполнения муници</w:t>
      </w:r>
      <w:r>
        <w:rPr>
          <w:sz w:val="24"/>
          <w:szCs w:val="24"/>
        </w:rPr>
        <w:t xml:space="preserve">пального контракта (договора), устанавливаемого в соответствии с частью 6 статьи 96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Вопрос о допустимости изменения существенных условий муниципального контракта (договора) в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оответствии с частью 65.1 статьи 112 Федерального закона </w:t>
        <w:br/>
        <w:t xml:space="preserve">от 05.04.2013 № 44-ФЗ «О контрактной системе в сфере закупок товаров, работ, услуг для обеспечения государственных и муниципальных нужд» в случае, если при исполнении муниципального контракта (догов</w:t>
      </w:r>
      <w:r>
        <w:rPr>
          <w:sz w:val="24"/>
          <w:szCs w:val="24"/>
        </w:rPr>
        <w:t xml:space="preserve">ора), заключенного до 01.01.2026</w:t>
      </w:r>
      <w:r>
        <w:rPr>
          <w:sz w:val="24"/>
          <w:szCs w:val="24"/>
        </w:rPr>
        <w:t xml:space="preserve">, возникли независящие от сторон муниципального контракта (договора) обстоятельства, влекущие невозможность его исполнения, рассматривается Комиссией, утвержденной распоряжением администрации Печенгско</w:t>
      </w:r>
      <w:r>
        <w:rPr>
          <w:sz w:val="24"/>
          <w:szCs w:val="24"/>
        </w:rPr>
        <w:t xml:space="preserve">го муниципального округа от 02.06.2022 № 45 «Об утверждении Положения о комиссии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вступает в силу после его подписания.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79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</w:t>
      </w:r>
      <w:r>
        <w:rPr>
          <w:sz w:val="24"/>
          <w:szCs w:val="24"/>
        </w:rPr>
        <w:t xml:space="preserve">Контроль за исполнением настоящего постановления возложить на главных распорядителей средств бюджета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"/>
        <w:jc w:val="both"/>
        <w:tabs>
          <w:tab w:val="left" w:pos="935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highlight w:val="none"/>
        </w:rPr>
      </w:pPr>
      <w:r>
        <w:rPr>
          <w:bCs/>
        </w:rPr>
        <w:t xml:space="preserve">Стрелкова Т.И., 62165</w:t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sectPr>
      <w:footnotePr/>
      <w:endnotePr/>
      <w:type w:val="nextPage"/>
      <w:pgSz w:w="11906" w:h="16838" w:orient="portrait"/>
      <w:pgMar w:top="28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697"/>
    <w:link w:val="688"/>
    <w:uiPriority w:val="9"/>
    <w:rPr>
      <w:rFonts w:ascii="Arial" w:hAnsi="Arial" w:eastAsia="Arial" w:cs="Arial"/>
      <w:sz w:val="40"/>
      <w:szCs w:val="40"/>
    </w:rPr>
  </w:style>
  <w:style w:type="character" w:styleId="673">
    <w:name w:val="Heading 2 Char"/>
    <w:basedOn w:val="697"/>
    <w:link w:val="689"/>
    <w:uiPriority w:val="9"/>
    <w:rPr>
      <w:rFonts w:ascii="Arial" w:hAnsi="Arial" w:eastAsia="Arial" w:cs="Arial"/>
      <w:sz w:val="34"/>
    </w:rPr>
  </w:style>
  <w:style w:type="character" w:styleId="674">
    <w:name w:val="Heading 5 Char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675">
    <w:name w:val="Heading 6 Char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676">
    <w:name w:val="Heading 7 Char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8 Char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678">
    <w:name w:val="Heading 9 Char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character" w:styleId="679">
    <w:name w:val="Title Char"/>
    <w:basedOn w:val="697"/>
    <w:link w:val="711"/>
    <w:uiPriority w:val="10"/>
    <w:rPr>
      <w:sz w:val="48"/>
      <w:szCs w:val="48"/>
    </w:rPr>
  </w:style>
  <w:style w:type="character" w:styleId="680">
    <w:name w:val="Subtitle Char"/>
    <w:basedOn w:val="697"/>
    <w:link w:val="713"/>
    <w:uiPriority w:val="11"/>
    <w:rPr>
      <w:sz w:val="24"/>
      <w:szCs w:val="24"/>
    </w:rPr>
  </w:style>
  <w:style w:type="character" w:styleId="681">
    <w:name w:val="Quote Char"/>
    <w:link w:val="715"/>
    <w:uiPriority w:val="29"/>
    <w:rPr>
      <w:i/>
    </w:rPr>
  </w:style>
  <w:style w:type="character" w:styleId="682">
    <w:name w:val="Intense Quote Char"/>
    <w:link w:val="717"/>
    <w:uiPriority w:val="30"/>
    <w:rPr>
      <w:i/>
    </w:rPr>
  </w:style>
  <w:style w:type="character" w:styleId="683">
    <w:name w:val="Header Char"/>
    <w:basedOn w:val="697"/>
    <w:link w:val="719"/>
    <w:uiPriority w:val="99"/>
  </w:style>
  <w:style w:type="character" w:styleId="684">
    <w:name w:val="Caption Char"/>
    <w:basedOn w:val="723"/>
    <w:link w:val="721"/>
    <w:uiPriority w:val="99"/>
  </w:style>
  <w:style w:type="character" w:styleId="685">
    <w:name w:val="Footnote Text Char"/>
    <w:link w:val="850"/>
    <w:uiPriority w:val="99"/>
    <w:rPr>
      <w:sz w:val="18"/>
    </w:rPr>
  </w:style>
  <w:style w:type="character" w:styleId="686">
    <w:name w:val="Endnote Text Char"/>
    <w:link w:val="853"/>
    <w:uiPriority w:val="99"/>
    <w:rPr>
      <w:sz w:val="20"/>
    </w:rPr>
  </w:style>
  <w:style w:type="paragraph" w:styleId="687" w:default="1">
    <w:name w:val="Normal"/>
    <w:qFormat/>
    <w:rPr>
      <w:rFonts w:ascii="Times New Roman" w:hAnsi="Times New Roman" w:eastAsia="Times New Roman"/>
    </w:rPr>
  </w:style>
  <w:style w:type="paragraph" w:styleId="688">
    <w:name w:val="Heading 1"/>
    <w:basedOn w:val="687"/>
    <w:next w:val="687"/>
    <w:link w:val="70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9">
    <w:name w:val="Heading 2"/>
    <w:basedOn w:val="687"/>
    <w:next w:val="687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0">
    <w:name w:val="Heading 3"/>
    <w:basedOn w:val="687"/>
    <w:next w:val="687"/>
    <w:link w:val="876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91">
    <w:name w:val="Heading 4"/>
    <w:basedOn w:val="687"/>
    <w:next w:val="687"/>
    <w:link w:val="867"/>
    <w:qFormat/>
    <w:pPr>
      <w:ind w:firstLine="709"/>
      <w:keepNext/>
      <w:outlineLvl w:val="3"/>
    </w:pPr>
    <w:rPr>
      <w:sz w:val="28"/>
    </w:rPr>
  </w:style>
  <w:style w:type="paragraph" w:styleId="692">
    <w:name w:val="Heading 5"/>
    <w:basedOn w:val="687"/>
    <w:next w:val="687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687"/>
    <w:next w:val="687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687"/>
    <w:next w:val="687"/>
    <w:link w:val="70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5">
    <w:name w:val="Heading 8"/>
    <w:basedOn w:val="687"/>
    <w:next w:val="687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6">
    <w:name w:val="Heading 9"/>
    <w:basedOn w:val="687"/>
    <w:next w:val="687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Заголовок 1 Знак"/>
    <w:basedOn w:val="697"/>
    <w:link w:val="688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Заголовок 2 Знак"/>
    <w:basedOn w:val="697"/>
    <w:link w:val="689"/>
    <w:uiPriority w:val="9"/>
    <w:rPr>
      <w:rFonts w:ascii="Arial" w:hAnsi="Arial" w:eastAsia="Arial" w:cs="Arial"/>
      <w:sz w:val="34"/>
    </w:rPr>
  </w:style>
  <w:style w:type="character" w:styleId="702" w:customStyle="1">
    <w:name w:val="Heading 3 Char"/>
    <w:basedOn w:val="697"/>
    <w:uiPriority w:val="9"/>
    <w:rPr>
      <w:rFonts w:ascii="Arial" w:hAnsi="Arial" w:eastAsia="Arial" w:cs="Arial"/>
      <w:sz w:val="30"/>
      <w:szCs w:val="30"/>
    </w:rPr>
  </w:style>
  <w:style w:type="character" w:styleId="703" w:customStyle="1">
    <w:name w:val="Heading 4 Char"/>
    <w:basedOn w:val="697"/>
    <w:uiPriority w:val="9"/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Заголовок 5 Знак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Заголовок 6 Знак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Заголовок 7 Знак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Заголовок 8 Знак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Заголовок 9 Знак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List Paragraph"/>
    <w:basedOn w:val="687"/>
    <w:uiPriority w:val="34"/>
    <w:qFormat/>
    <w:pPr>
      <w:contextualSpacing/>
      <w:ind w:left="720"/>
    </w:pPr>
  </w:style>
  <w:style w:type="paragraph" w:styleId="710">
    <w:name w:val="No Spacing"/>
    <w:uiPriority w:val="1"/>
    <w:qFormat/>
  </w:style>
  <w:style w:type="paragraph" w:styleId="711">
    <w:name w:val="Title"/>
    <w:basedOn w:val="687"/>
    <w:next w:val="687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 w:customStyle="1">
    <w:name w:val="Заголовок Знак"/>
    <w:basedOn w:val="697"/>
    <w:link w:val="711"/>
    <w:uiPriority w:val="10"/>
    <w:rPr>
      <w:sz w:val="48"/>
      <w:szCs w:val="48"/>
    </w:rPr>
  </w:style>
  <w:style w:type="paragraph" w:styleId="713">
    <w:name w:val="Subtitle"/>
    <w:basedOn w:val="687"/>
    <w:next w:val="687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 w:customStyle="1">
    <w:name w:val="Подзаголовок Знак"/>
    <w:basedOn w:val="697"/>
    <w:link w:val="713"/>
    <w:uiPriority w:val="11"/>
    <w:rPr>
      <w:sz w:val="24"/>
      <w:szCs w:val="24"/>
    </w:rPr>
  </w:style>
  <w:style w:type="paragraph" w:styleId="715">
    <w:name w:val="Quote"/>
    <w:basedOn w:val="687"/>
    <w:next w:val="687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87"/>
    <w:next w:val="687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paragraph" w:styleId="719">
    <w:name w:val="Header"/>
    <w:basedOn w:val="687"/>
    <w:link w:val="7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0" w:customStyle="1">
    <w:name w:val="Верхний колонтитул Знак"/>
    <w:basedOn w:val="697"/>
    <w:link w:val="719"/>
    <w:uiPriority w:val="99"/>
  </w:style>
  <w:style w:type="paragraph" w:styleId="721">
    <w:name w:val="Footer"/>
    <w:basedOn w:val="687"/>
    <w:link w:val="72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2" w:customStyle="1">
    <w:name w:val="Footer Char"/>
    <w:basedOn w:val="697"/>
    <w:uiPriority w:val="99"/>
  </w:style>
  <w:style w:type="paragraph" w:styleId="723">
    <w:name w:val="Caption"/>
    <w:basedOn w:val="687"/>
    <w:next w:val="6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 w:customStyle="1">
    <w:name w:val="Нижний колонтитул Знак"/>
    <w:link w:val="721"/>
    <w:uiPriority w:val="99"/>
  </w:style>
  <w:style w:type="table" w:styleId="725" w:customStyle="1">
    <w:name w:val="Table Grid Light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6">
    <w:name w:val="Plain Table 1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69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69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1"/>
    <w:basedOn w:val="6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2"/>
    <w:basedOn w:val="6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3"/>
    <w:basedOn w:val="6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4"/>
    <w:basedOn w:val="6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5"/>
    <w:basedOn w:val="6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6"/>
    <w:basedOn w:val="6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1"/>
    <w:basedOn w:val="6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5"/>
    <w:basedOn w:val="6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6"/>
    <w:basedOn w:val="6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1"/>
    <w:basedOn w:val="6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5"/>
    <w:basedOn w:val="6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6"/>
    <w:basedOn w:val="6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69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 w:customStyle="1">
    <w:name w:val="Grid Table 4 - Accent 1"/>
    <w:basedOn w:val="69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4" w:customStyle="1">
    <w:name w:val="Grid Table 4 - Accent 2"/>
    <w:basedOn w:val="69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5" w:customStyle="1">
    <w:name w:val="Grid Table 4 - Accent 3"/>
    <w:basedOn w:val="69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6" w:customStyle="1">
    <w:name w:val="Grid Table 4 - Accent 4"/>
    <w:basedOn w:val="69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7" w:customStyle="1">
    <w:name w:val="Grid Table 4 - Accent 5"/>
    <w:basedOn w:val="69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8" w:customStyle="1">
    <w:name w:val="Grid Table 4 - Accent 6"/>
    <w:basedOn w:val="69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9">
    <w:name w:val="Grid Table 5 Dark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1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2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3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4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5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6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6">
    <w:name w:val="Grid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7" w:customStyle="1">
    <w:name w:val="Grid Table 6 Colorful - Accent 1"/>
    <w:basedOn w:val="69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8" w:customStyle="1">
    <w:name w:val="Grid Table 6 Colorful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9" w:customStyle="1">
    <w:name w:val="Grid Table 6 Colorful - Accent 3"/>
    <w:basedOn w:val="69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0" w:customStyle="1">
    <w:name w:val="Grid Table 6 Colorful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1" w:customStyle="1">
    <w:name w:val="Grid Table 6 Colorful - Accent 5"/>
    <w:basedOn w:val="69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 w:customStyle="1">
    <w:name w:val="Grid Table 6 Colorful - Accent 6"/>
    <w:basedOn w:val="69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3">
    <w:name w:val="Grid Table 7 Colorful"/>
    <w:basedOn w:val="69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1"/>
    <w:basedOn w:val="69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7 Colorful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5"/>
    <w:basedOn w:val="69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6"/>
    <w:basedOn w:val="69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69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1"/>
    <w:basedOn w:val="69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2"/>
    <w:basedOn w:val="69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3"/>
    <w:basedOn w:val="69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4"/>
    <w:basedOn w:val="69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5"/>
    <w:basedOn w:val="69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6"/>
    <w:basedOn w:val="69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69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1"/>
    <w:basedOn w:val="69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2"/>
    <w:basedOn w:val="69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3"/>
    <w:basedOn w:val="69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4"/>
    <w:basedOn w:val="69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5"/>
    <w:basedOn w:val="69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6"/>
    <w:basedOn w:val="69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1"/>
    <w:basedOn w:val="69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1"/>
    <w:basedOn w:val="69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2"/>
    <w:basedOn w:val="69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3"/>
    <w:basedOn w:val="69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4"/>
    <w:basedOn w:val="69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5"/>
    <w:basedOn w:val="69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6"/>
    <w:basedOn w:val="69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69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1"/>
    <w:basedOn w:val="69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>
    <w:name w:val="List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6" w:customStyle="1">
    <w:name w:val="List Table 6 Colorful - Accent 1"/>
    <w:basedOn w:val="69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7" w:customStyle="1">
    <w:name w:val="List Table 6 Colorful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8" w:customStyle="1">
    <w:name w:val="List Table 6 Colorful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9" w:customStyle="1">
    <w:name w:val="List Table 6 Colorful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0" w:customStyle="1">
    <w:name w:val="List Table 6 Colorful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1" w:customStyle="1">
    <w:name w:val="List Table 6 Colorful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2">
    <w:name w:val="List Table 7 Colorful"/>
    <w:basedOn w:val="69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1"/>
    <w:basedOn w:val="69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2"/>
    <w:basedOn w:val="69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7 Colorful - Accent 3"/>
    <w:basedOn w:val="69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4"/>
    <w:basedOn w:val="69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5"/>
    <w:basedOn w:val="69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6"/>
    <w:basedOn w:val="69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ned - Accent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Lined - Accent 1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Lined - Accent 2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Lined - Accent 3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Lined - Accent 4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Lined - Accent 5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Lined - Accent 6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 &amp; Lined - Accent"/>
    <w:basedOn w:val="69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Bordered &amp; Lined - Accent 1"/>
    <w:basedOn w:val="69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8" w:customStyle="1">
    <w:name w:val="Bordered &amp; Lined - Accent 2"/>
    <w:basedOn w:val="69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9" w:customStyle="1">
    <w:name w:val="Bordered &amp; Lined - Accent 3"/>
    <w:basedOn w:val="69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0" w:customStyle="1">
    <w:name w:val="Bordered &amp; Lined - Accent 4"/>
    <w:basedOn w:val="69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1" w:customStyle="1">
    <w:name w:val="Bordered &amp; Lined - Accent 5"/>
    <w:basedOn w:val="69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2" w:customStyle="1">
    <w:name w:val="Bordered &amp; Lined - Accent 6"/>
    <w:basedOn w:val="69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3" w:customStyle="1">
    <w:name w:val="Bordered"/>
    <w:basedOn w:val="69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4" w:customStyle="1">
    <w:name w:val="Bordered - Accent 1"/>
    <w:basedOn w:val="6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5" w:customStyle="1">
    <w:name w:val="Bordered - Accent 2"/>
    <w:basedOn w:val="6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6" w:customStyle="1">
    <w:name w:val="Bordered - Accent 3"/>
    <w:basedOn w:val="6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7" w:customStyle="1">
    <w:name w:val="Bordered - Accent 4"/>
    <w:basedOn w:val="6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8" w:customStyle="1">
    <w:name w:val="Bordered - Accent 5"/>
    <w:basedOn w:val="6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9" w:customStyle="1">
    <w:name w:val="Bordered - Accent 6"/>
    <w:basedOn w:val="6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0">
    <w:name w:val="footnote text"/>
    <w:basedOn w:val="687"/>
    <w:link w:val="851"/>
    <w:uiPriority w:val="99"/>
    <w:semiHidden/>
    <w:unhideWhenUsed/>
    <w:pPr>
      <w:spacing w:after="40"/>
    </w:pPr>
    <w:rPr>
      <w:sz w:val="18"/>
    </w:rPr>
  </w:style>
  <w:style w:type="character" w:styleId="851" w:customStyle="1">
    <w:name w:val="Текст сноски Знак"/>
    <w:link w:val="850"/>
    <w:uiPriority w:val="99"/>
    <w:rPr>
      <w:sz w:val="18"/>
    </w:rPr>
  </w:style>
  <w:style w:type="character" w:styleId="852">
    <w:name w:val="footnote reference"/>
    <w:basedOn w:val="697"/>
    <w:uiPriority w:val="99"/>
    <w:unhideWhenUsed/>
    <w:rPr>
      <w:vertAlign w:val="superscript"/>
    </w:rPr>
  </w:style>
  <w:style w:type="paragraph" w:styleId="853">
    <w:name w:val="endnote text"/>
    <w:basedOn w:val="687"/>
    <w:link w:val="854"/>
    <w:uiPriority w:val="99"/>
    <w:semiHidden/>
    <w:unhideWhenUsed/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basedOn w:val="697"/>
    <w:uiPriority w:val="99"/>
    <w:semiHidden/>
    <w:unhideWhenUsed/>
    <w:rPr>
      <w:vertAlign w:val="superscript"/>
    </w:rPr>
  </w:style>
  <w:style w:type="paragraph" w:styleId="856">
    <w:name w:val="toc 1"/>
    <w:basedOn w:val="687"/>
    <w:next w:val="687"/>
    <w:uiPriority w:val="39"/>
    <w:unhideWhenUsed/>
    <w:pPr>
      <w:spacing w:after="57"/>
    </w:pPr>
  </w:style>
  <w:style w:type="paragraph" w:styleId="857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58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59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60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61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62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63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864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687"/>
    <w:next w:val="687"/>
    <w:uiPriority w:val="99"/>
    <w:unhideWhenUsed/>
  </w:style>
  <w:style w:type="character" w:styleId="867" w:customStyle="1">
    <w:name w:val="Заголовок 4 Знак"/>
    <w:link w:val="69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68">
    <w:name w:val="Balloon Text"/>
    <w:basedOn w:val="687"/>
    <w:link w:val="869"/>
    <w:uiPriority w:val="99"/>
    <w:semiHidden/>
    <w:unhideWhenUsed/>
    <w:rPr>
      <w:rFonts w:ascii="Tahoma" w:hAnsi="Tahoma"/>
      <w:sz w:val="16"/>
      <w:szCs w:val="16"/>
    </w:rPr>
  </w:style>
  <w:style w:type="character" w:styleId="869" w:customStyle="1">
    <w:name w:val="Текст выноски Знак"/>
    <w:link w:val="86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70" w:customStyle="1">
    <w:name w:val="Знак Знак3"/>
    <w:basedOn w:val="68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1">
    <w:name w:val="Normal (Web)"/>
    <w:basedOn w:val="687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72" w:customStyle="1">
    <w:name w:val="[ ]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873" w:customStyle="1">
    <w:name w:val="Знак Знак3"/>
    <w:basedOn w:val="68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74">
    <w:name w:val="Table Grid"/>
    <w:basedOn w:val="69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5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character" w:styleId="876" w:customStyle="1">
    <w:name w:val="Заголовок 3 Знак"/>
    <w:link w:val="690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877" w:customStyle="1">
    <w:name w:val="spelle"/>
  </w:style>
  <w:style w:type="paragraph" w:styleId="87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character" w:styleId="879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13</cp:revision>
  <dcterms:created xsi:type="dcterms:W3CDTF">2025-03-06T07:42:00Z</dcterms:created>
  <dcterms:modified xsi:type="dcterms:W3CDTF">2025-03-12T07:49:42Z</dcterms:modified>
</cp:coreProperties>
</file>