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24840" cy="778510"/>
                <wp:effectExtent l="0" t="0" r="3810" b="254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24840" cy="778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9.20pt;height:61.3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  <w:r>
        <w:rPr>
          <w:b/>
          <w:sz w:val="16"/>
        </w:rPr>
      </w:r>
    </w:p>
    <w:p>
      <w:pPr>
        <w:jc w:val="center"/>
        <w:rPr>
          <w:b/>
          <w:bCs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bCs/>
          <w:color w:val="000000"/>
          <w:sz w:val="44"/>
          <w:szCs w:val="44"/>
        </w:rPr>
      </w:r>
      <w:r>
        <w:rPr>
          <w:b/>
          <w:bCs/>
          <w:color w:val="000000"/>
          <w:sz w:val="44"/>
          <w:szCs w:val="44"/>
        </w:rPr>
      </w:r>
    </w:p>
    <w:p>
      <w:pPr>
        <w:jc w:val="center"/>
        <w:rPr>
          <w:b/>
          <w:bCs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bCs/>
          <w:color w:val="000000"/>
          <w:sz w:val="28"/>
        </w:rPr>
      </w:r>
      <w:r>
        <w:rPr>
          <w:b/>
          <w:bCs/>
          <w:color w:val="000000"/>
          <w:sz w:val="28"/>
        </w:rPr>
      </w:r>
    </w:p>
    <w:p>
      <w:pPr>
        <w:jc w:val="center"/>
        <w:rPr>
          <w:b/>
          <w:bCs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bCs/>
          <w:color w:val="000000"/>
          <w:sz w:val="28"/>
        </w:rPr>
      </w:r>
      <w:r>
        <w:rPr>
          <w:b/>
          <w:bCs/>
          <w:color w:val="000000"/>
          <w:sz w:val="28"/>
        </w:rPr>
      </w:r>
    </w:p>
    <w:p>
      <w:pPr>
        <w:jc w:val="center"/>
        <w:rPr>
          <w:b/>
          <w:bCs/>
          <w:color w:val="000000"/>
          <w:sz w:val="16"/>
          <w:szCs w:val="16"/>
        </w:rPr>
      </w:pPr>
      <w:r>
        <w:rPr>
          <w:b/>
          <w:bCs/>
          <w:color w:val="000000"/>
          <w:sz w:val="16"/>
          <w:szCs w:val="16"/>
        </w:rPr>
      </w:r>
      <w:r>
        <w:rPr>
          <w:b/>
          <w:bCs/>
          <w:color w:val="000000"/>
          <w:sz w:val="16"/>
          <w:szCs w:val="16"/>
        </w:rPr>
      </w:r>
      <w:r>
        <w:rPr>
          <w:b/>
          <w:bCs/>
          <w:color w:val="000000"/>
          <w:sz w:val="16"/>
          <w:szCs w:val="16"/>
        </w:rPr>
      </w:r>
    </w:p>
    <w:p>
      <w:pPr>
        <w:jc w:val="center"/>
        <w:rPr>
          <w:b/>
          <w:bCs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bCs/>
          <w:color w:val="000000"/>
          <w:sz w:val="44"/>
          <w:szCs w:val="44"/>
        </w:rPr>
      </w:r>
      <w:r>
        <w:rPr>
          <w:b/>
          <w:bCs/>
          <w:color w:val="000000"/>
          <w:sz w:val="44"/>
          <w:szCs w:val="44"/>
        </w:rPr>
      </w:r>
    </w:p>
    <w:p>
      <w:r/>
      <w:r/>
    </w:p>
    <w:p>
      <w:r/>
      <w:r/>
    </w:p>
    <w:p>
      <w:pPr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13.03.2025</w:t>
      </w:r>
      <w:r>
        <w:rPr>
          <w:b/>
          <w:sz w:val="24"/>
        </w:rPr>
        <w:t xml:space="preserve">             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</w:t>
      </w:r>
      <w:r>
        <w:rPr>
          <w:b/>
          <w:sz w:val="24"/>
        </w:rPr>
        <w:t xml:space="preserve">№ </w:t>
      </w:r>
      <w:r>
        <w:rPr>
          <w:b/>
          <w:sz w:val="24"/>
        </w:rPr>
        <w:t xml:space="preserve">381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</w:rPr>
        <w:t xml:space="preserve">п.</w:t>
      </w:r>
      <w:r>
        <w:rPr>
          <w:b/>
          <w:sz w:val="24"/>
        </w:rPr>
        <w:t xml:space="preserve">г.т.</w:t>
      </w:r>
      <w:r>
        <w:rPr>
          <w:b/>
          <w:sz w:val="24"/>
        </w:rPr>
        <w:t xml:space="preserve"> Никель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highlight w:val="none"/>
        </w:rPr>
      </w:r>
      <w:r>
        <w:rPr>
          <w:b/>
          <w:sz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pStyle w:val="849"/>
        <w:jc w:val="center"/>
        <w:widowControl w:val="off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 внесении изменений в </w:t>
      </w:r>
      <w:r>
        <w:rPr>
          <w:rFonts w:ascii="Times New Roman" w:hAnsi="Times New Roman"/>
          <w:sz w:val="20"/>
          <w:szCs w:val="20"/>
        </w:rPr>
        <w:t xml:space="preserve">постановление</w:t>
      </w:r>
      <w:r>
        <w:rPr>
          <w:rFonts w:ascii="Times New Roman" w:hAnsi="Times New Roman"/>
          <w:sz w:val="20"/>
          <w:szCs w:val="20"/>
        </w:rPr>
        <w:t xml:space="preserve"> администрации Печенгского муниципального округа </w:t>
        <w:br/>
        <w:t xml:space="preserve">от 27.02.2023 № 324</w:t>
      </w:r>
      <w:r>
        <w:rPr>
          <w:rFonts w:ascii="Times New Roman" w:hAnsi="Times New Roman"/>
          <w:sz w:val="20"/>
          <w:szCs w:val="20"/>
        </w:rPr>
        <w:t xml:space="preserve"> «Об определении </w:t>
      </w:r>
      <w:r>
        <w:rPr>
          <w:rFonts w:ascii="Times New Roman" w:hAnsi="Times New Roman"/>
          <w:sz w:val="20"/>
          <w:szCs w:val="20"/>
        </w:rPr>
        <w:t xml:space="preserve">определении</w:t>
      </w:r>
      <w:r>
        <w:rPr>
          <w:rFonts w:ascii="Times New Roman" w:hAnsi="Times New Roman"/>
          <w:sz w:val="20"/>
          <w:szCs w:val="20"/>
        </w:rPr>
        <w:t xml:space="preserve"> мест отбывания наказания для лиц, осужденных к исправительным работам, перечня видов работ и организаций для отбывания наказания в виде обязательных работ на территории Печенгского муниципального округа</w:t>
      </w:r>
      <w:r>
        <w:rPr>
          <w:rFonts w:ascii="Times New Roman" w:hAnsi="Times New Roman"/>
          <w:sz w:val="20"/>
          <w:szCs w:val="20"/>
        </w:rPr>
        <w:t xml:space="preserve">»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r/>
      <w:r/>
    </w:p>
    <w:p>
      <w:r/>
      <w:r/>
    </w:p>
    <w:p>
      <w:pPr>
        <w:pStyle w:val="864"/>
        <w:ind w:firstLine="708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</w:t>
      </w:r>
      <w:r>
        <w:rPr>
          <w:rFonts w:ascii="Times New Roman" w:hAnsi="Times New Roman" w:cs="Times New Roman"/>
          <w:sz w:val="24"/>
          <w:szCs w:val="24"/>
        </w:rPr>
        <w:t xml:space="preserve"> ст</w:t>
      </w:r>
      <w:r>
        <w:rPr>
          <w:rFonts w:ascii="Times New Roman" w:hAnsi="Times New Roman" w:cs="Times New Roman"/>
          <w:sz w:val="24"/>
          <w:szCs w:val="24"/>
        </w:rPr>
        <w:t xml:space="preserve">ать</w:t>
      </w:r>
      <w:r>
        <w:rPr>
          <w:rFonts w:ascii="Times New Roman" w:hAnsi="Times New Roman" w:cs="Times New Roman"/>
          <w:sz w:val="24"/>
          <w:szCs w:val="24"/>
        </w:rPr>
        <w:t xml:space="preserve">ей</w:t>
      </w:r>
      <w:r>
        <w:rPr>
          <w:rFonts w:ascii="Times New Roman" w:hAnsi="Times New Roman" w:cs="Times New Roman"/>
          <w:sz w:val="24"/>
          <w:szCs w:val="24"/>
        </w:rPr>
        <w:t xml:space="preserve"> 49 Уголовного кодекса Р</w:t>
      </w:r>
      <w:r>
        <w:rPr>
          <w:rFonts w:ascii="Times New Roman" w:hAnsi="Times New Roman" w:cs="Times New Roman"/>
          <w:sz w:val="24"/>
          <w:szCs w:val="24"/>
        </w:rPr>
        <w:t xml:space="preserve">оссий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кой </w:t>
      </w:r>
      <w:r>
        <w:rPr>
          <w:rFonts w:ascii="Times New Roman" w:hAnsi="Times New Roman" w:cs="Times New Roman"/>
          <w:sz w:val="24"/>
          <w:szCs w:val="24"/>
        </w:rPr>
        <w:t xml:space="preserve">Ф</w:t>
      </w:r>
      <w:r>
        <w:rPr>
          <w:rFonts w:ascii="Times New Roman" w:hAnsi="Times New Roman" w:cs="Times New Roman"/>
          <w:sz w:val="24"/>
          <w:szCs w:val="24"/>
        </w:rPr>
        <w:t xml:space="preserve">едерации</w:t>
      </w:r>
      <w:r>
        <w:rPr>
          <w:rFonts w:ascii="Times New Roman" w:hAnsi="Times New Roman" w:cs="Times New Roman"/>
          <w:sz w:val="24"/>
          <w:szCs w:val="24"/>
        </w:rPr>
        <w:t xml:space="preserve">, ст</w:t>
      </w:r>
      <w:r>
        <w:rPr>
          <w:rFonts w:ascii="Times New Roman" w:hAnsi="Times New Roman" w:cs="Times New Roman"/>
          <w:sz w:val="24"/>
          <w:szCs w:val="24"/>
        </w:rPr>
        <w:t xml:space="preserve">ать</w:t>
      </w:r>
      <w:r>
        <w:rPr>
          <w:rFonts w:ascii="Times New Roman" w:hAnsi="Times New Roman" w:cs="Times New Roman"/>
          <w:sz w:val="24"/>
          <w:szCs w:val="24"/>
        </w:rPr>
        <w:t xml:space="preserve">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25 Уголовно-исполнительного кодекса </w:t>
      </w:r>
      <w:r>
        <w:rPr>
          <w:rFonts w:ascii="Times New Roman" w:hAnsi="Times New Roman" w:cs="Times New Roman"/>
          <w:sz w:val="24"/>
          <w:szCs w:val="24"/>
        </w:rPr>
        <w:t xml:space="preserve">Россий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кой Федерации,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по согласованию с филиалом по Печенгскому району Федерального казенного учреждения уголовно-исполнительная инспекция УФСИН России по Мурманской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с целью надлежащего исполнения на территории 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уголовных наказаний </w:t>
      </w:r>
      <w:r>
        <w:rPr>
          <w:rFonts w:ascii="Times New Roman" w:hAnsi="Times New Roman" w:cs="Times New Roman"/>
          <w:sz w:val="24"/>
          <w:szCs w:val="24"/>
        </w:rPr>
        <w:t xml:space="preserve">в виде обязательных работ,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864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4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</w:t>
      </w:r>
      <w:r>
        <w:rPr>
          <w:rFonts w:ascii="Times New Roman" w:hAnsi="Times New Roman" w:cs="Times New Roman"/>
          <w:b/>
          <w:sz w:val="24"/>
          <w:szCs w:val="24"/>
        </w:rPr>
        <w:t xml:space="preserve">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6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6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Внести </w:t>
      </w:r>
      <w:r>
        <w:rPr>
          <w:rFonts w:ascii="Times New Roman" w:hAnsi="Times New Roman" w:cs="Times New Roman"/>
          <w:sz w:val="24"/>
          <w:szCs w:val="24"/>
        </w:rPr>
        <w:t xml:space="preserve">в постановление администрации Печенгского муниципального округа от 27.02.2023 № 324 «Об определении </w:t>
      </w:r>
      <w:r>
        <w:rPr>
          <w:rFonts w:ascii="Times New Roman" w:hAnsi="Times New Roman" w:cs="Times New Roman"/>
          <w:sz w:val="24"/>
          <w:szCs w:val="24"/>
        </w:rPr>
        <w:t xml:space="preserve">определении</w:t>
      </w:r>
      <w:r>
        <w:rPr>
          <w:rFonts w:ascii="Times New Roman" w:hAnsi="Times New Roman" w:cs="Times New Roman"/>
          <w:sz w:val="24"/>
          <w:szCs w:val="24"/>
        </w:rPr>
        <w:t xml:space="preserve"> мест отбывания наказания для лиц, осужденных к исправительным работам, перечня видов работ и организаций для отбывания наказания в виде обязательных работ на территории Печенгского муниципального округа»</w:t>
      </w:r>
      <w:r>
        <w:rPr>
          <w:rFonts w:ascii="Times New Roman" w:hAnsi="Times New Roman" w:cs="Times New Roman"/>
          <w:sz w:val="24"/>
          <w:szCs w:val="24"/>
        </w:rPr>
        <w:t xml:space="preserve"> (в редакции постановления администрации Печенгского муниципального округа от 05.03.2024 № 330) </w:t>
      </w:r>
      <w:r>
        <w:rPr>
          <w:rFonts w:ascii="Times New Roman" w:hAnsi="Times New Roman" w:cs="Times New Roman"/>
          <w:sz w:val="24"/>
          <w:szCs w:val="24"/>
        </w:rPr>
        <w:t xml:space="preserve">(далее – постановление) следующие изменения: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Приложение № 1 к постановлению изложить в сле</w:t>
      </w:r>
      <w:r>
        <w:rPr>
          <w:rFonts w:ascii="Times New Roman" w:hAnsi="Times New Roman" w:cs="Times New Roman"/>
          <w:sz w:val="24"/>
          <w:szCs w:val="24"/>
        </w:rPr>
        <w:t xml:space="preserve">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4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4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видов обязательных работ для лиц, которым назначено уголовное наказание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4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виде обязательных работ на территории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4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4"/>
        <w:numPr>
          <w:ilvl w:val="0"/>
          <w:numId w:val="12"/>
        </w:numPr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Благоустройство, санитарная очистка, озеленение территории.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4"/>
        <w:numPr>
          <w:ilvl w:val="0"/>
          <w:numId w:val="12"/>
        </w:numPr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Погрузочно-разгрузочные работы, </w:t>
      </w:r>
      <w:r>
        <w:rPr>
          <w:rFonts w:ascii="Times New Roman" w:hAnsi="Times New Roman" w:cs="Times New Roman"/>
          <w:sz w:val="24"/>
          <w:szCs w:val="24"/>
        </w:rPr>
        <w:t xml:space="preserve">вырубка кустарников и мелколесья </w:t>
      </w:r>
      <w:r>
        <w:rPr>
          <w:rFonts w:ascii="Times New Roman" w:hAnsi="Times New Roman" w:cs="Times New Roman"/>
          <w:sz w:val="24"/>
          <w:szCs w:val="24"/>
        </w:rPr>
        <w:t xml:space="preserve">при выполнении которых исключается воздействие вредных и (или) опасных производственных факторов.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4"/>
        <w:numPr>
          <w:ilvl w:val="0"/>
          <w:numId w:val="12"/>
        </w:numPr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Подсобные работы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снегоочистетиельные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работы</w:t>
      </w:r>
      <w:r>
        <w:rPr>
          <w:rFonts w:ascii="Times New Roman" w:hAnsi="Times New Roman" w:cs="Times New Roman"/>
          <w:sz w:val="24"/>
          <w:szCs w:val="24"/>
        </w:rPr>
        <w:t xml:space="preserve">, за исключением работ, связанных с вредными и опасными условиями труда.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4"/>
        <w:ind w:firstLine="0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64"/>
        <w:ind w:firstLine="0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64"/>
        <w:ind w:left="0" w:right="0" w:firstLine="709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1.2. Приложение № 2 </w:t>
      </w:r>
      <w:r>
        <w:rPr>
          <w:rFonts w:ascii="Times New Roman" w:hAnsi="Times New Roman" w:cs="Times New Roman"/>
          <w:sz w:val="24"/>
          <w:szCs w:val="24"/>
        </w:rPr>
        <w:t xml:space="preserve">к постановлению изложить в сле</w:t>
      </w:r>
      <w:r>
        <w:rPr>
          <w:rFonts w:ascii="Times New Roman" w:hAnsi="Times New Roman" w:cs="Times New Roman"/>
          <w:sz w:val="24"/>
          <w:szCs w:val="24"/>
        </w:rPr>
        <w:t xml:space="preserve">дующей редакции: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64"/>
        <w:ind w:left="0" w:right="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«ПЕРЕЧЕНЬ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4"/>
        <w:ind w:left="0" w:right="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 для отбывания уголовного наказания в виде обязательных работ на территории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45" w:type="pct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1346"/>
        <w:gridCol w:w="8029"/>
      </w:tblGrid>
      <w:tr>
        <w:tblPrEx/>
        <w:trPr>
          <w:trHeight w:val="4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pct"/>
            <w:vAlign w:val="center"/>
            <w:textDirection w:val="lrTb"/>
            <w:noWrap w:val="false"/>
          </w:tcPr>
          <w:p>
            <w:pPr>
              <w:pStyle w:val="86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2" w:type="pct"/>
            <w:vAlign w:val="center"/>
            <w:textDirection w:val="lrTb"/>
            <w:noWrap w:val="false"/>
          </w:tcPr>
          <w:p>
            <w:pPr>
              <w:pStyle w:val="8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предприятия (организации), адрес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pct"/>
            <w:vAlign w:val="center"/>
            <w:textDirection w:val="lrTb"/>
            <w:noWrap w:val="false"/>
          </w:tcPr>
          <w:p>
            <w:pPr>
              <w:pStyle w:val="86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2" w:type="pct"/>
            <w:vAlign w:val="center"/>
            <w:textDirection w:val="lrTb"/>
            <w:noWrap w:val="false"/>
          </w:tcPr>
          <w:p>
            <w:pPr>
              <w:pStyle w:val="86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Никель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9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pct"/>
            <w:vAlign w:val="center"/>
            <w:textDirection w:val="lrTb"/>
            <w:noWrap w:val="false"/>
          </w:tcPr>
          <w:p>
            <w:pPr>
              <w:pStyle w:val="86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2" w:type="pct"/>
            <w:vAlign w:val="bottom"/>
            <w:textDirection w:val="lrTb"/>
            <w:noWrap w:val="false"/>
          </w:tcPr>
          <w:p>
            <w:pPr>
              <w:pStyle w:val="864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«Ремонтно-эксплуатационная служба»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4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п.г.т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Никель, ул. 3 Линия, дом 9А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pct"/>
            <w:vAlign w:val="center"/>
            <w:textDirection w:val="lrTb"/>
            <w:noWrap w:val="false"/>
          </w:tcPr>
          <w:p>
            <w:pPr>
              <w:pStyle w:val="86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2" w:type="pct"/>
            <w:vAlign w:val="bottom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МКУ «Управление по обеспечению деятельности администрации муниципального образования Печенгский </w:t>
            </w:r>
            <w:r>
              <w:rPr>
                <w:bCs/>
                <w:sz w:val="24"/>
                <w:szCs w:val="24"/>
              </w:rPr>
              <w:t xml:space="preserve">муниципальный округ</w:t>
            </w:r>
            <w:r>
              <w:rPr>
                <w:bCs/>
                <w:sz w:val="24"/>
                <w:szCs w:val="24"/>
              </w:rPr>
              <w:t xml:space="preserve"> Мурманской области»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Style w:val="866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п.г.т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rStyle w:val="866"/>
                <w:sz w:val="24"/>
                <w:szCs w:val="24"/>
              </w:rPr>
              <w:t xml:space="preserve">Никель, ул. Пионерская, дом 2</w:t>
            </w:r>
            <w:r>
              <w:rPr>
                <w:rStyle w:val="866"/>
                <w:sz w:val="24"/>
                <w:szCs w:val="24"/>
              </w:rPr>
            </w:r>
            <w:r>
              <w:rPr>
                <w:rStyle w:val="866"/>
                <w:sz w:val="24"/>
                <w:szCs w:val="24"/>
              </w:rPr>
            </w:r>
          </w:p>
        </w:tc>
      </w:tr>
      <w:tr>
        <w:tblPrEx/>
        <w:trPr>
          <w:trHeight w:val="4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pct"/>
            <w:vAlign w:val="center"/>
            <w:textDirection w:val="lrTb"/>
            <w:noWrap w:val="false"/>
          </w:tcPr>
          <w:p>
            <w:pPr>
              <w:pStyle w:val="86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2" w:type="pct"/>
            <w:vAlign w:val="center"/>
            <w:textDirection w:val="lrTb"/>
            <w:noWrap w:val="false"/>
          </w:tcPr>
          <w:p>
            <w:pPr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МБУ «Никельская дорожная служба», </w:t>
            </w:r>
            <w:r>
              <w:rPr>
                <w:sz w:val="24"/>
                <w:szCs w:val="24"/>
              </w:rPr>
              <w:t xml:space="preserve">п.г.т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bCs/>
                <w:sz w:val="24"/>
                <w:szCs w:val="24"/>
              </w:rPr>
              <w:t xml:space="preserve">Никель, </w:t>
            </w:r>
            <w:r>
              <w:rPr>
                <w:bCs/>
                <w:sz w:val="24"/>
                <w:szCs w:val="24"/>
              </w:rPr>
              <w:t xml:space="preserve">Бредова</w:t>
            </w:r>
            <w:r>
              <w:rPr>
                <w:bCs/>
                <w:sz w:val="24"/>
                <w:szCs w:val="24"/>
              </w:rPr>
              <w:t xml:space="preserve"> 15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pct"/>
            <w:vAlign w:val="center"/>
            <w:textDirection w:val="lrTb"/>
            <w:noWrap w:val="false"/>
          </w:tcPr>
          <w:p>
            <w:pPr>
              <w:pStyle w:val="86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2" w:type="pct"/>
            <w:vAlign w:val="bottom"/>
            <w:textDirection w:val="lrTb"/>
            <w:noWrap w:val="false"/>
          </w:tcPr>
          <w:p>
            <w:pPr>
              <w:pStyle w:val="86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Заполярный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pct"/>
            <w:vAlign w:val="center"/>
            <w:textDirection w:val="lrTb"/>
            <w:noWrap w:val="false"/>
          </w:tcPr>
          <w:p>
            <w:pPr>
              <w:pStyle w:val="86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2" w:type="pct"/>
            <w:vAlign w:val="bottom"/>
            <w:textDirection w:val="lrTb"/>
            <w:noWrap w:val="false"/>
          </w:tcPr>
          <w:p>
            <w:pPr>
              <w:pStyle w:val="864"/>
              <w:ind w:firstLine="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МУП «Жилищный сервис»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4"/>
              <w:ind w:firstLine="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Заполярный, пер. Ясный, дом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pct"/>
            <w:vAlign w:val="center"/>
            <w:textDirection w:val="lrTb"/>
            <w:noWrap w:val="false"/>
          </w:tcPr>
          <w:p>
            <w:pPr>
              <w:pStyle w:val="86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2" w:type="pct"/>
            <w:vAlign w:val="bottom"/>
            <w:textDirection w:val="lrTb"/>
            <w:noWrap w:val="false"/>
          </w:tcPr>
          <w:p>
            <w:pPr>
              <w:ind w:firstLine="69"/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МУП «Тепловые сети»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г. Заполярный, пер. Ясный, дом 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pct"/>
            <w:vAlign w:val="center"/>
            <w:textDirection w:val="lrTb"/>
            <w:noWrap w:val="false"/>
          </w:tcPr>
          <w:p>
            <w:pPr>
              <w:pStyle w:val="86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2" w:type="pct"/>
            <w:vAlign w:val="bottom"/>
            <w:textDirection w:val="lrTb"/>
            <w:noWrap w:val="false"/>
          </w:tcPr>
          <w:p>
            <w:pPr>
              <w:pStyle w:val="86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п.г.т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Печенга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pct"/>
            <w:vAlign w:val="center"/>
            <w:textDirection w:val="lrTb"/>
            <w:noWrap w:val="false"/>
          </w:tcPr>
          <w:p>
            <w:pPr>
              <w:pStyle w:val="86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2" w:type="pct"/>
            <w:vAlign w:val="bottom"/>
            <w:textDirection w:val="lrTb"/>
            <w:noWrap w:val="false"/>
          </w:tcPr>
          <w:p>
            <w:pPr>
              <w:ind w:left="69"/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МКП «Жилищное хозяйство»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pStyle w:val="864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п.г.т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Печенга, ул. Печенгское шоссе, дом 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pct"/>
            <w:vAlign w:val="center"/>
            <w:textDirection w:val="lrTb"/>
            <w:noWrap w:val="false"/>
          </w:tcPr>
          <w:p>
            <w:pPr>
              <w:pStyle w:val="86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2" w:type="pct"/>
            <w:vAlign w:val="bottom"/>
            <w:textDirection w:val="lrTb"/>
            <w:noWrap w:val="false"/>
          </w:tcPr>
          <w:p>
            <w:pPr>
              <w:pStyle w:val="86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Корзуново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8" w:type="pct"/>
            <w:vAlign w:val="center"/>
            <w:textDirection w:val="lrTb"/>
            <w:noWrap w:val="false"/>
          </w:tcPr>
          <w:p>
            <w:pPr>
              <w:pStyle w:val="864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2" w:type="pct"/>
            <w:vAlign w:val="bottom"/>
            <w:textDirection w:val="lrTb"/>
            <w:noWrap w:val="false"/>
          </w:tcPr>
          <w:p>
            <w:pPr>
              <w:pStyle w:val="864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ФГБУ «ЦЖКУ» Минобороны России по ОСК Северного флота ЖЭ(К)Щ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3 г. Полярный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Корзуново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61"/>
        <w:ind w:firstLine="709"/>
        <w:jc w:val="both"/>
        <w:spacing w:line="240" w:lineRule="auto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61"/>
        <w:ind w:firstLine="709"/>
        <w:jc w:val="both"/>
        <w:spacing w:line="240" w:lineRule="auto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61"/>
        <w:ind w:firstLine="0"/>
        <w:jc w:val="both"/>
        <w:spacing w:line="240" w:lineRule="auto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Примечание.</w:t>
      </w:r>
      <w:r>
        <w:rPr>
          <w:color w:val="auto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В соответствии с </w:t>
      </w:r>
      <w:hyperlink r:id="rId11" w:tooltip="consultantplus://offline/ref=C36D596E1AE7464CF496A8E62E69578FE7126CBB4D4844268A99969A2E9C9E95030588A5DE6A4D50F5CD2EC6A96C5F3B58299B198889F772h4e7J" w:history="1">
        <w:r>
          <w:rPr>
            <w:rFonts w:eastAsia="Calibri"/>
            <w:sz w:val="24"/>
            <w:szCs w:val="24"/>
          </w:rPr>
          <w:t xml:space="preserve">ч. 1 ст. 351.1</w:t>
        </w:r>
      </w:hyperlink>
      <w:r>
        <w:rPr>
          <w:rFonts w:eastAsia="Calibri"/>
          <w:sz w:val="24"/>
          <w:szCs w:val="24"/>
        </w:rPr>
        <w:t xml:space="preserve"> ТК РФ к трудо</w:t>
      </w:r>
      <w:r>
        <w:rPr>
          <w:rFonts w:eastAsia="Calibri"/>
          <w:sz w:val="24"/>
          <w:szCs w:val="24"/>
        </w:rPr>
        <w:t xml:space="preserve">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 и искусства с участием н</w:t>
      </w:r>
      <w:r>
        <w:rPr>
          <w:rFonts w:eastAsia="Calibri"/>
          <w:sz w:val="24"/>
          <w:szCs w:val="24"/>
        </w:rPr>
        <w:t xml:space="preserve">есовершеннолетних не допускаются лица, имеющие или имевшие судимость, а равно и подвергавшиеся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преступления, указанные в </w:t>
      </w:r>
      <w:hyperlink r:id="rId12" w:tooltip="consultantplus://offline/ref=C36D596E1AE7464CF496A8E62E69578FE7126CBB4D4844268A99969A2E9C9E95030588A6DF614D5AA9973EC2E03956255C32851E9689hFe6J" w:history="1">
        <w:r>
          <w:rPr>
            <w:rFonts w:eastAsia="Calibri"/>
            <w:sz w:val="24"/>
            <w:szCs w:val="24"/>
          </w:rPr>
          <w:t xml:space="preserve">абзацах третьем</w:t>
        </w:r>
      </w:hyperlink>
      <w:r>
        <w:rPr>
          <w:rFonts w:eastAsia="Calibri"/>
          <w:sz w:val="24"/>
          <w:szCs w:val="24"/>
        </w:rPr>
        <w:t xml:space="preserve"> и </w:t>
      </w:r>
      <w:hyperlink r:id="rId13" w:tooltip="consultantplus://offline/ref=C36D596E1AE7464CF496A8E62E69578FE7126CBB4D4844268A99969A2E9C9E95030588A5DE6A4D50FECD2EC6A96C5F3B58299B198889F772h4e7J" w:history="1">
        <w:r>
          <w:rPr>
            <w:rFonts w:eastAsia="Calibri"/>
            <w:sz w:val="24"/>
            <w:szCs w:val="24"/>
          </w:rPr>
          <w:t xml:space="preserve">четвертом части второй статьи 331</w:t>
        </w:r>
      </w:hyperlink>
      <w:r>
        <w:rPr>
          <w:rFonts w:eastAsia="Calibri"/>
          <w:sz w:val="24"/>
          <w:szCs w:val="24"/>
        </w:rPr>
        <w:t xml:space="preserve"> ТК РФ, за исключением случаев, предусмотренных </w:t>
      </w:r>
      <w:hyperlink r:id="rId14" w:tooltip="consultantplus://offline/ref=C36D596E1AE7464CF496A8E62E69578FE7126CBB4D4844268A99969A2E9C9E95030588A6DF61435AA9973EC2E03956255C32851E9689hFe6J" w:history="1">
        <w:r>
          <w:rPr>
            <w:rFonts w:eastAsia="Calibri"/>
            <w:sz w:val="24"/>
            <w:szCs w:val="24"/>
          </w:rPr>
          <w:t xml:space="preserve">частью третьей статьи 351.1</w:t>
        </w:r>
      </w:hyperlink>
      <w:r>
        <w:rPr>
          <w:rFonts w:eastAsia="Calibri"/>
          <w:sz w:val="24"/>
          <w:szCs w:val="24"/>
        </w:rPr>
        <w:t xml:space="preserve"> ТК РФ.</w:t>
      </w:r>
      <w:r>
        <w:rPr>
          <w:rFonts w:eastAsia="Calibri"/>
          <w:sz w:val="24"/>
          <w:szCs w:val="24"/>
        </w:rPr>
        <w:t xml:space="preserve">».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 постановление вступает в силу </w:t>
      </w:r>
      <w:r>
        <w:rPr>
          <w:sz w:val="24"/>
          <w:szCs w:val="24"/>
        </w:rPr>
        <w:t xml:space="preserve">после</w:t>
      </w:r>
      <w:r>
        <w:rPr>
          <w:sz w:val="24"/>
          <w:szCs w:val="24"/>
        </w:rPr>
        <w:t xml:space="preserve"> его опубликования в </w:t>
      </w:r>
      <w:r>
        <w:rPr>
          <w:sz w:val="24"/>
          <w:szCs w:val="24"/>
        </w:rPr>
        <w:t xml:space="preserve">газете «Печенга» и подлежит</w:t>
      </w:r>
      <w:r>
        <w:rPr>
          <w:rFonts w:eastAsia="Calibri"/>
          <w:sz w:val="24"/>
          <w:szCs w:val="24"/>
          <w:lang w:eastAsia="ar-SA"/>
        </w:rPr>
        <w:t xml:space="preserve"> размещению </w:t>
      </w:r>
      <w:r>
        <w:rPr>
          <w:rFonts w:eastAsia="Calibri"/>
          <w:sz w:val="24"/>
          <w:szCs w:val="24"/>
        </w:rPr>
        <w:t xml:space="preserve">на официальном сайте Печенгского муниципального округа https://pechengamr.gov-murman.ru/</w:t>
      </w:r>
      <w:r>
        <w:rPr>
          <w:rFonts w:eastAsia="Calibri"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</w:t>
      </w: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 Печенгского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муниципального округа </w:t>
      </w:r>
      <w:r>
        <w:rPr>
          <w:bCs/>
          <w:sz w:val="24"/>
          <w:szCs w:val="24"/>
        </w:rPr>
        <w:t xml:space="preserve">            </w:t>
      </w:r>
      <w:r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 xml:space="preserve">       </w:t>
      </w:r>
      <w:r>
        <w:rPr>
          <w:bCs/>
          <w:sz w:val="24"/>
          <w:szCs w:val="24"/>
        </w:rPr>
        <w:t xml:space="preserve">     </w:t>
      </w:r>
      <w:r>
        <w:rPr>
          <w:bCs/>
          <w:sz w:val="24"/>
          <w:szCs w:val="24"/>
        </w:rPr>
        <w:t xml:space="preserve">   </w:t>
      </w:r>
      <w:r>
        <w:rPr>
          <w:bCs/>
          <w:sz w:val="24"/>
          <w:szCs w:val="24"/>
        </w:rPr>
        <w:t xml:space="preserve">          </w:t>
      </w:r>
      <w:r>
        <w:rPr>
          <w:bCs/>
          <w:sz w:val="24"/>
          <w:szCs w:val="24"/>
        </w:rPr>
        <w:t xml:space="preserve">                </w:t>
      </w:r>
      <w:r>
        <w:rPr>
          <w:bCs/>
          <w:sz w:val="24"/>
          <w:szCs w:val="24"/>
        </w:rPr>
        <w:t xml:space="preserve">А.В. </w:t>
      </w:r>
      <w:r>
        <w:rPr>
          <w:bCs/>
          <w:sz w:val="24"/>
          <w:szCs w:val="24"/>
        </w:rPr>
        <w:t xml:space="preserve">Кузнецов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bCs/>
        </w:rPr>
        <w:t xml:space="preserve">Стрелкова Т.И., 62165</w:t>
      </w:r>
      <w:r>
        <w:rPr>
          <w:highlight w:val="none"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5" w:right="850" w:bottom="680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1804" w:hanging="1095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</w:pPr>
      <w:rPr>
        <w:rFonts w:hint="default" w:ascii="Symbol" w:hAnsi="Symbol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</w:pPr>
      <w:rPr>
        <w:rFonts w:hint="default" w:ascii="Symbol" w:hAnsi="Symbol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9"/>
  </w:num>
  <w:num w:numId="6">
    <w:abstractNumId w:val="7"/>
  </w:num>
  <w:num w:numId="7">
    <w:abstractNumId w:val="8"/>
  </w:num>
  <w:num w:numId="8">
    <w:abstractNumId w:val="5"/>
  </w:num>
  <w:num w:numId="9">
    <w:abstractNumId w:val="0"/>
  </w:num>
  <w:num w:numId="10">
    <w:abstractNumId w:val="6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7">
    <w:name w:val="Heading 1 Char"/>
    <w:basedOn w:val="853"/>
    <w:link w:val="849"/>
    <w:uiPriority w:val="9"/>
    <w:rPr>
      <w:rFonts w:ascii="Arial" w:hAnsi="Arial" w:eastAsia="Arial" w:cs="Arial"/>
      <w:sz w:val="40"/>
      <w:szCs w:val="40"/>
    </w:rPr>
  </w:style>
  <w:style w:type="character" w:styleId="678">
    <w:name w:val="Heading 2 Char"/>
    <w:basedOn w:val="853"/>
    <w:link w:val="850"/>
    <w:uiPriority w:val="9"/>
    <w:rPr>
      <w:rFonts w:ascii="Arial" w:hAnsi="Arial" w:eastAsia="Arial" w:cs="Arial"/>
      <w:sz w:val="34"/>
    </w:rPr>
  </w:style>
  <w:style w:type="character" w:styleId="679">
    <w:name w:val="Heading 3 Char"/>
    <w:basedOn w:val="853"/>
    <w:link w:val="851"/>
    <w:uiPriority w:val="9"/>
    <w:rPr>
      <w:rFonts w:ascii="Arial" w:hAnsi="Arial" w:eastAsia="Arial" w:cs="Arial"/>
      <w:sz w:val="30"/>
      <w:szCs w:val="30"/>
    </w:rPr>
  </w:style>
  <w:style w:type="character" w:styleId="680">
    <w:name w:val="Heading 4 Char"/>
    <w:basedOn w:val="853"/>
    <w:link w:val="852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8"/>
    <w:next w:val="848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3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8"/>
    <w:next w:val="848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3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8"/>
    <w:next w:val="848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3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8"/>
    <w:next w:val="848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3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8"/>
    <w:next w:val="848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3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No Spacing"/>
    <w:uiPriority w:val="1"/>
    <w:qFormat/>
    <w:pPr>
      <w:spacing w:before="0" w:after="0" w:line="240" w:lineRule="auto"/>
    </w:pPr>
  </w:style>
  <w:style w:type="paragraph" w:styleId="692">
    <w:name w:val="Title"/>
    <w:basedOn w:val="848"/>
    <w:next w:val="848"/>
    <w:link w:val="6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3">
    <w:name w:val="Title Char"/>
    <w:basedOn w:val="853"/>
    <w:link w:val="692"/>
    <w:uiPriority w:val="10"/>
    <w:rPr>
      <w:sz w:val="48"/>
      <w:szCs w:val="48"/>
    </w:rPr>
  </w:style>
  <w:style w:type="paragraph" w:styleId="694">
    <w:name w:val="Subtitle"/>
    <w:basedOn w:val="848"/>
    <w:next w:val="848"/>
    <w:link w:val="695"/>
    <w:uiPriority w:val="11"/>
    <w:qFormat/>
    <w:pPr>
      <w:spacing w:before="200" w:after="200"/>
    </w:pPr>
    <w:rPr>
      <w:sz w:val="24"/>
      <w:szCs w:val="24"/>
    </w:rPr>
  </w:style>
  <w:style w:type="character" w:styleId="695">
    <w:name w:val="Subtitle Char"/>
    <w:basedOn w:val="853"/>
    <w:link w:val="694"/>
    <w:uiPriority w:val="11"/>
    <w:rPr>
      <w:sz w:val="24"/>
      <w:szCs w:val="24"/>
    </w:rPr>
  </w:style>
  <w:style w:type="paragraph" w:styleId="696">
    <w:name w:val="Quote"/>
    <w:basedOn w:val="848"/>
    <w:next w:val="848"/>
    <w:link w:val="697"/>
    <w:uiPriority w:val="29"/>
    <w:qFormat/>
    <w:pPr>
      <w:ind w:left="720" w:right="720"/>
    </w:pPr>
    <w:rPr>
      <w:i/>
    </w:rPr>
  </w:style>
  <w:style w:type="character" w:styleId="697">
    <w:name w:val="Quote Char"/>
    <w:link w:val="696"/>
    <w:uiPriority w:val="29"/>
    <w:rPr>
      <w:i/>
    </w:rPr>
  </w:style>
  <w:style w:type="paragraph" w:styleId="698">
    <w:name w:val="Intense Quote"/>
    <w:basedOn w:val="848"/>
    <w:next w:val="848"/>
    <w:link w:val="6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>
    <w:name w:val="Intense Quote Char"/>
    <w:link w:val="698"/>
    <w:uiPriority w:val="30"/>
    <w:rPr>
      <w:i/>
    </w:rPr>
  </w:style>
  <w:style w:type="paragraph" w:styleId="700">
    <w:name w:val="Header"/>
    <w:basedOn w:val="848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>
    <w:name w:val="Header Char"/>
    <w:basedOn w:val="853"/>
    <w:link w:val="700"/>
    <w:uiPriority w:val="99"/>
  </w:style>
  <w:style w:type="paragraph" w:styleId="702">
    <w:name w:val="Footer"/>
    <w:basedOn w:val="848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>
    <w:name w:val="Footer Char"/>
    <w:basedOn w:val="853"/>
    <w:link w:val="702"/>
    <w:uiPriority w:val="99"/>
  </w:style>
  <w:style w:type="paragraph" w:styleId="704">
    <w:name w:val="Caption"/>
    <w:basedOn w:val="848"/>
    <w:next w:val="8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5">
    <w:name w:val="Caption Char"/>
    <w:basedOn w:val="704"/>
    <w:link w:val="702"/>
    <w:uiPriority w:val="99"/>
  </w:style>
  <w:style w:type="table" w:styleId="706">
    <w:name w:val="Table Grid Light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1">
    <w:name w:val="footnote text"/>
    <w:basedOn w:val="848"/>
    <w:link w:val="832"/>
    <w:uiPriority w:val="99"/>
    <w:semiHidden/>
    <w:unhideWhenUsed/>
    <w:pPr>
      <w:spacing w:after="40" w:line="240" w:lineRule="auto"/>
    </w:pPr>
    <w:rPr>
      <w:sz w:val="18"/>
    </w:rPr>
  </w:style>
  <w:style w:type="character" w:styleId="832">
    <w:name w:val="Footnote Text Char"/>
    <w:link w:val="831"/>
    <w:uiPriority w:val="99"/>
    <w:rPr>
      <w:sz w:val="18"/>
    </w:rPr>
  </w:style>
  <w:style w:type="character" w:styleId="833">
    <w:name w:val="footnote reference"/>
    <w:basedOn w:val="853"/>
    <w:uiPriority w:val="99"/>
    <w:unhideWhenUsed/>
    <w:rPr>
      <w:vertAlign w:val="superscript"/>
    </w:rPr>
  </w:style>
  <w:style w:type="paragraph" w:styleId="834">
    <w:name w:val="endnote text"/>
    <w:basedOn w:val="848"/>
    <w:link w:val="835"/>
    <w:uiPriority w:val="99"/>
    <w:semiHidden/>
    <w:unhideWhenUsed/>
    <w:pPr>
      <w:spacing w:after="0" w:line="240" w:lineRule="auto"/>
    </w:pPr>
    <w:rPr>
      <w:sz w:val="20"/>
    </w:rPr>
  </w:style>
  <w:style w:type="character" w:styleId="835">
    <w:name w:val="Endnote Text Char"/>
    <w:link w:val="834"/>
    <w:uiPriority w:val="99"/>
    <w:rPr>
      <w:sz w:val="20"/>
    </w:rPr>
  </w:style>
  <w:style w:type="character" w:styleId="836">
    <w:name w:val="endnote reference"/>
    <w:basedOn w:val="853"/>
    <w:uiPriority w:val="99"/>
    <w:semiHidden/>
    <w:unhideWhenUsed/>
    <w:rPr>
      <w:vertAlign w:val="superscript"/>
    </w:rPr>
  </w:style>
  <w:style w:type="paragraph" w:styleId="837">
    <w:name w:val="toc 1"/>
    <w:basedOn w:val="848"/>
    <w:next w:val="848"/>
    <w:uiPriority w:val="39"/>
    <w:unhideWhenUsed/>
    <w:pPr>
      <w:ind w:left="0" w:right="0" w:firstLine="0"/>
      <w:spacing w:after="57"/>
    </w:pPr>
  </w:style>
  <w:style w:type="paragraph" w:styleId="838">
    <w:name w:val="toc 2"/>
    <w:basedOn w:val="848"/>
    <w:next w:val="848"/>
    <w:uiPriority w:val="39"/>
    <w:unhideWhenUsed/>
    <w:pPr>
      <w:ind w:left="283" w:right="0" w:firstLine="0"/>
      <w:spacing w:after="57"/>
    </w:pPr>
  </w:style>
  <w:style w:type="paragraph" w:styleId="839">
    <w:name w:val="toc 3"/>
    <w:basedOn w:val="848"/>
    <w:next w:val="848"/>
    <w:uiPriority w:val="39"/>
    <w:unhideWhenUsed/>
    <w:pPr>
      <w:ind w:left="567" w:right="0" w:firstLine="0"/>
      <w:spacing w:after="57"/>
    </w:pPr>
  </w:style>
  <w:style w:type="paragraph" w:styleId="840">
    <w:name w:val="toc 4"/>
    <w:basedOn w:val="848"/>
    <w:next w:val="848"/>
    <w:uiPriority w:val="39"/>
    <w:unhideWhenUsed/>
    <w:pPr>
      <w:ind w:left="850" w:right="0" w:firstLine="0"/>
      <w:spacing w:after="57"/>
    </w:pPr>
  </w:style>
  <w:style w:type="paragraph" w:styleId="841">
    <w:name w:val="toc 5"/>
    <w:basedOn w:val="848"/>
    <w:next w:val="848"/>
    <w:uiPriority w:val="39"/>
    <w:unhideWhenUsed/>
    <w:pPr>
      <w:ind w:left="1134" w:right="0" w:firstLine="0"/>
      <w:spacing w:after="57"/>
    </w:pPr>
  </w:style>
  <w:style w:type="paragraph" w:styleId="842">
    <w:name w:val="toc 6"/>
    <w:basedOn w:val="848"/>
    <w:next w:val="848"/>
    <w:uiPriority w:val="39"/>
    <w:unhideWhenUsed/>
    <w:pPr>
      <w:ind w:left="1417" w:right="0" w:firstLine="0"/>
      <w:spacing w:after="57"/>
    </w:pPr>
  </w:style>
  <w:style w:type="paragraph" w:styleId="843">
    <w:name w:val="toc 7"/>
    <w:basedOn w:val="848"/>
    <w:next w:val="848"/>
    <w:uiPriority w:val="39"/>
    <w:unhideWhenUsed/>
    <w:pPr>
      <w:ind w:left="1701" w:right="0" w:firstLine="0"/>
      <w:spacing w:after="57"/>
    </w:pPr>
  </w:style>
  <w:style w:type="paragraph" w:styleId="844">
    <w:name w:val="toc 8"/>
    <w:basedOn w:val="848"/>
    <w:next w:val="848"/>
    <w:uiPriority w:val="39"/>
    <w:unhideWhenUsed/>
    <w:pPr>
      <w:ind w:left="1984" w:right="0" w:firstLine="0"/>
      <w:spacing w:after="57"/>
    </w:pPr>
  </w:style>
  <w:style w:type="paragraph" w:styleId="845">
    <w:name w:val="toc 9"/>
    <w:basedOn w:val="848"/>
    <w:next w:val="848"/>
    <w:uiPriority w:val="39"/>
    <w:unhideWhenUsed/>
    <w:pPr>
      <w:ind w:left="2268" w:right="0" w:firstLine="0"/>
      <w:spacing w:after="57"/>
    </w:pPr>
  </w:style>
  <w:style w:type="paragraph" w:styleId="846">
    <w:name w:val="TOC Heading"/>
    <w:uiPriority w:val="39"/>
    <w:unhideWhenUsed/>
  </w:style>
  <w:style w:type="paragraph" w:styleId="847">
    <w:name w:val="table of figures"/>
    <w:basedOn w:val="848"/>
    <w:next w:val="848"/>
    <w:uiPriority w:val="99"/>
    <w:unhideWhenUsed/>
    <w:pPr>
      <w:spacing w:after="0" w:afterAutospacing="0"/>
    </w:pPr>
  </w:style>
  <w:style w:type="paragraph" w:styleId="848" w:default="1">
    <w:name w:val="Normal"/>
    <w:qFormat/>
    <w:rPr>
      <w:rFonts w:ascii="Times New Roman" w:hAnsi="Times New Roman" w:eastAsia="Times New Roman"/>
    </w:rPr>
  </w:style>
  <w:style w:type="paragraph" w:styleId="849">
    <w:name w:val="Heading 1"/>
    <w:basedOn w:val="848"/>
    <w:next w:val="848"/>
    <w:link w:val="868"/>
    <w:uiPriority w:val="9"/>
    <w:qFormat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850">
    <w:name w:val="Heading 2"/>
    <w:basedOn w:val="848"/>
    <w:next w:val="848"/>
    <w:link w:val="875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851">
    <w:name w:val="Heading 3"/>
    <w:basedOn w:val="848"/>
    <w:next w:val="848"/>
    <w:link w:val="873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852">
    <w:name w:val="Heading 4"/>
    <w:basedOn w:val="848"/>
    <w:next w:val="848"/>
    <w:link w:val="856"/>
    <w:qFormat/>
    <w:pPr>
      <w:ind w:firstLine="709"/>
      <w:keepNext/>
      <w:outlineLvl w:val="3"/>
    </w:pPr>
    <w:rPr>
      <w:sz w:val="28"/>
    </w:rPr>
  </w:style>
  <w:style w:type="character" w:styleId="853" w:default="1">
    <w:name w:val="Default Paragraph Font"/>
    <w:uiPriority w:val="1"/>
    <w:semiHidden/>
    <w:unhideWhenUsed/>
  </w:style>
  <w:style w:type="table" w:styleId="85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5" w:default="1">
    <w:name w:val="No List"/>
    <w:uiPriority w:val="99"/>
    <w:semiHidden/>
    <w:unhideWhenUsed/>
  </w:style>
  <w:style w:type="character" w:styleId="856" w:customStyle="1">
    <w:name w:val="Заголовок 4 Знак"/>
    <w:link w:val="852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57">
    <w:name w:val="Balloon Text"/>
    <w:basedOn w:val="848"/>
    <w:link w:val="858"/>
    <w:uiPriority w:val="99"/>
    <w:semiHidden/>
    <w:unhideWhenUsed/>
    <w:rPr>
      <w:rFonts w:ascii="Tahoma" w:hAnsi="Tahoma"/>
      <w:sz w:val="16"/>
      <w:szCs w:val="16"/>
    </w:rPr>
  </w:style>
  <w:style w:type="character" w:styleId="858" w:customStyle="1">
    <w:name w:val="Текст выноски Знак"/>
    <w:link w:val="85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9" w:customStyle="1">
    <w:name w:val="Знак Знак3"/>
    <w:basedOn w:val="84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0">
    <w:name w:val="Normal (Web)"/>
    <w:basedOn w:val="848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861" w:customStyle="1">
    <w:name w:val="[ ]"/>
    <w:uiPriority w:val="99"/>
    <w:pPr>
      <w:spacing w:line="288" w:lineRule="auto"/>
    </w:pPr>
    <w:rPr>
      <w:rFonts w:ascii="Times New Roman" w:hAnsi="Times New Roman" w:eastAsia="Times New Roman"/>
      <w:color w:val="000000"/>
      <w:sz w:val="24"/>
      <w:szCs w:val="24"/>
    </w:rPr>
  </w:style>
  <w:style w:type="paragraph" w:styleId="862" w:customStyle="1">
    <w:name w:val="Знак Знак3"/>
    <w:basedOn w:val="848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63">
    <w:name w:val="Table Grid"/>
    <w:basedOn w:val="85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4" w:customStyle="1">
    <w:name w:val="ConsPlusNormal"/>
    <w:link w:val="865"/>
    <w:uiPriority w:val="99"/>
    <w:pPr>
      <w:ind w:firstLine="720"/>
      <w:widowControl w:val="off"/>
    </w:pPr>
    <w:rPr>
      <w:rFonts w:ascii="Arial" w:hAnsi="Arial" w:eastAsia="Times New Roman" w:cs="Arial"/>
    </w:rPr>
  </w:style>
  <w:style w:type="character" w:styleId="865" w:customStyle="1">
    <w:name w:val="ConsPlusNormal Знак"/>
    <w:link w:val="864"/>
    <w:uiPriority w:val="99"/>
    <w:rPr>
      <w:rFonts w:ascii="Arial" w:hAnsi="Arial" w:eastAsia="Times New Roman" w:cs="Arial"/>
    </w:rPr>
  </w:style>
  <w:style w:type="character" w:styleId="866" w:customStyle="1">
    <w:name w:val="upper"/>
  </w:style>
  <w:style w:type="paragraph" w:styleId="867" w:customStyle="1">
    <w:name w:val="Знак Знак5 Знак Знак Знак Знак Знак Знак Знак Знак"/>
    <w:basedOn w:val="84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68" w:customStyle="1">
    <w:name w:val="Заголовок 1 Знак"/>
    <w:link w:val="849"/>
    <w:uiPriority w:val="9"/>
    <w:rPr>
      <w:rFonts w:ascii="Cambria" w:hAnsi="Cambria" w:eastAsia="Times New Roman" w:cs="Times New Roman"/>
      <w:b/>
      <w:bCs/>
      <w:sz w:val="32"/>
      <w:szCs w:val="32"/>
    </w:rPr>
  </w:style>
  <w:style w:type="character" w:styleId="869">
    <w:name w:val="Strong"/>
    <w:uiPriority w:val="22"/>
    <w:qFormat/>
    <w:rPr>
      <w:b/>
      <w:bCs/>
    </w:rPr>
  </w:style>
  <w:style w:type="character" w:styleId="870" w:customStyle="1">
    <w:name w:val="tmpl-phone-label"/>
  </w:style>
  <w:style w:type="character" w:styleId="871" w:customStyle="1">
    <w:name w:val="tmpl-code"/>
  </w:style>
  <w:style w:type="character" w:styleId="872">
    <w:name w:val="Hyperlink"/>
    <w:uiPriority w:val="99"/>
    <w:semiHidden/>
    <w:unhideWhenUsed/>
    <w:rPr>
      <w:color w:val="0000ff"/>
      <w:u w:val="single"/>
    </w:rPr>
  </w:style>
  <w:style w:type="character" w:styleId="873" w:customStyle="1">
    <w:name w:val="Заголовок 3 Знак"/>
    <w:link w:val="851"/>
    <w:uiPriority w:val="9"/>
    <w:semiHidden/>
    <w:rPr>
      <w:rFonts w:ascii="Cambria" w:hAnsi="Cambria" w:eastAsia="Times New Roman" w:cs="Times New Roman"/>
      <w:b/>
      <w:bCs/>
      <w:sz w:val="26"/>
      <w:szCs w:val="26"/>
    </w:rPr>
  </w:style>
  <w:style w:type="character" w:styleId="874" w:customStyle="1">
    <w:name w:val="article-section"/>
  </w:style>
  <w:style w:type="character" w:styleId="875" w:customStyle="1">
    <w:name w:val="Заголовок 2 Знак"/>
    <w:link w:val="850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876" w:customStyle="1">
    <w:name w:val="Стиль0"/>
    <w:pPr>
      <w:jc w:val="both"/>
    </w:pPr>
    <w:rPr>
      <w:rFonts w:ascii="Arial" w:hAnsi="Arial" w:eastAsia="Times New Roman"/>
      <w:sz w:val="22"/>
    </w:rPr>
  </w:style>
  <w:style w:type="paragraph" w:styleId="877">
    <w:name w:val="List Paragraph"/>
    <w:basedOn w:val="848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C36D596E1AE7464CF496A8E62E69578FE7126CBB4D4844268A99969A2E9C9E95030588A5DE6A4D50F5CD2EC6A96C5F3B58299B198889F772h4e7J" TargetMode="External"/><Relationship Id="rId12" Type="http://schemas.openxmlformats.org/officeDocument/2006/relationships/hyperlink" Target="consultantplus://offline/ref=C36D596E1AE7464CF496A8E62E69578FE7126CBB4D4844268A99969A2E9C9E95030588A6DF614D5AA9973EC2E03956255C32851E9689hFe6J" TargetMode="External"/><Relationship Id="rId13" Type="http://schemas.openxmlformats.org/officeDocument/2006/relationships/hyperlink" Target="consultantplus://offline/ref=C36D596E1AE7464CF496A8E62E69578FE7126CBB4D4844268A99969A2E9C9E95030588A5DE6A4D50FECD2EC6A96C5F3B58299B198889F772h4e7J" TargetMode="External"/><Relationship Id="rId14" Type="http://schemas.openxmlformats.org/officeDocument/2006/relationships/hyperlink" Target="consultantplus://offline/ref=C36D596E1AE7464CF496A8E62E69578FE7126CBB4D4844268A99969A2E9C9E95030588A6DF61435AA9973EC2E03956255C32851E9689hFe6J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4EE1F-0CF6-44DC-923F-252FB9FAE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Царевская Юлия Михайловна</dc:creator>
  <cp:revision>51</cp:revision>
  <dcterms:created xsi:type="dcterms:W3CDTF">2023-02-27T09:22:00Z</dcterms:created>
  <dcterms:modified xsi:type="dcterms:W3CDTF">2025-03-14T06:15:57Z</dcterms:modified>
</cp:coreProperties>
</file>