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b/>
        </w:rPr>
      </w:pPr>
      <w:r>
        <w:rPr>
          <w:rFonts w:ascii="Calibri" w:hAnsi="Calibri"/>
          <w:sz w:val="20"/>
          <w:szCs w:val="20"/>
        </w:rPr>
        <mc:AlternateContent>
          <mc:Choice Requires="wpg">
            <w:drawing>
              <wp:inline xmlns:wp="http://schemas.openxmlformats.org/drawingml/2006/wordprocessingDrawing" distT="0" distB="0" distL="0" distR="0">
                <wp:extent cx="600075" cy="733425"/>
                <wp:effectExtent l="0" t="0" r="9525" b="9525"/>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pic:cNvPicPr>
                        <pic:nvPr/>
                      </pic:nvPicPr>
                      <pic:blipFill>
                        <a:blip r:embed="rId11"/>
                        <a:stretch/>
                      </pic:blipFill>
                      <pic:spPr bwMode="auto">
                        <a:xfrm>
                          <a:off x="0" y="0"/>
                          <a:ext cx="600075"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25pt;height:57.75pt;mso-wrap-distance-left:0.00pt;mso-wrap-distance-top:0.00pt;mso-wrap-distance-right:0.00pt;mso-wrap-distance-bottom:0.00pt;" stroked="f">
                <v:path textboxrect="0,0,0,0"/>
                <v:imagedata r:id="rId11" o:title=""/>
              </v:shape>
            </w:pict>
          </mc:Fallback>
        </mc:AlternateContent>
      </w:r>
      <w:r>
        <w:rPr>
          <w:b/>
        </w:rPr>
      </w:r>
      <w:r>
        <w:rPr>
          <w:b/>
        </w:rPr>
      </w:r>
    </w:p>
    <w:p>
      <w:pP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ГЛАВА</w:t>
      </w:r>
      <w:r>
        <w:rPr>
          <w:b/>
          <w:color w:val="000000"/>
          <w:sz w:val="44"/>
          <w:szCs w:val="44"/>
        </w:rPr>
        <w:t xml:space="preserve">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color w:val="000000"/>
          <w:szCs w:val="20"/>
        </w:rPr>
      </w:pPr>
      <w:r>
        <w:rPr>
          <w:b/>
          <w:color w:val="000000"/>
          <w:szCs w:val="20"/>
        </w:rPr>
        <w:t xml:space="preserve">от18.03.2025                                                                                                                              № 3</w:t>
      </w:r>
      <w:r>
        <w:rPr>
          <w:b/>
          <w:color w:val="000000"/>
          <w:szCs w:val="20"/>
        </w:rPr>
      </w:r>
      <w:r>
        <w:rPr>
          <w:b/>
          <w:color w:val="000000"/>
          <w:szCs w:val="20"/>
        </w:rPr>
      </w:r>
    </w:p>
    <w:p>
      <w:pPr>
        <w:jc w:val="center"/>
        <w:rPr>
          <w:b/>
          <w:bCs/>
          <w:color w:val="000000"/>
          <w:highlight w:val="none"/>
        </w:rPr>
      </w:pPr>
      <w:r>
        <w:rPr>
          <w:b/>
          <w:color w:val="000000"/>
          <w:szCs w:val="20"/>
        </w:rPr>
        <w:t xml:space="preserve">п.г.т</w:t>
      </w:r>
      <w:r>
        <w:rPr>
          <w:b/>
          <w:color w:val="000000"/>
          <w:szCs w:val="20"/>
        </w:rPr>
        <w:t xml:space="preserve">. Никель</w:t>
      </w:r>
      <w:r>
        <w:rPr>
          <w:b/>
          <w:bCs/>
          <w:color w:val="000000"/>
          <w:highlight w:val="none"/>
        </w:rPr>
      </w:r>
      <w:r>
        <w:rPr>
          <w:b/>
          <w:bCs/>
          <w:color w:val="000000"/>
          <w:highlight w:val="none"/>
        </w:rPr>
      </w:r>
    </w:p>
    <w:p>
      <w:pPr>
        <w:jc w:val="center"/>
        <w:rPr>
          <w:b/>
          <w:bCs/>
          <w:color w:val="000000"/>
          <w:sz w:val="28"/>
          <w:szCs w:val="28"/>
        </w:rPr>
      </w:pPr>
      <w:r>
        <w:rPr>
          <w:b/>
          <w:bCs/>
          <w:color w:val="000000"/>
          <w:sz w:val="28"/>
          <w:szCs w:val="28"/>
        </w:rPr>
      </w:r>
      <w:r>
        <w:rPr>
          <w:b/>
          <w:bCs/>
          <w:color w:val="000000"/>
          <w:sz w:val="28"/>
          <w:szCs w:val="28"/>
        </w:rPr>
      </w:r>
      <w:r>
        <w:rPr>
          <w:b/>
          <w:bCs/>
          <w:color w:val="000000"/>
          <w:sz w:val="28"/>
          <w:szCs w:val="28"/>
        </w:rPr>
      </w:r>
    </w:p>
    <w:p>
      <w:pPr>
        <w:jc w:val="center"/>
        <w:rPr>
          <w:b/>
          <w:bCs/>
          <w:color w:val="000000"/>
          <w:sz w:val="28"/>
          <w:szCs w:val="28"/>
        </w:rPr>
      </w:pPr>
      <w:r>
        <w:rPr>
          <w:b/>
          <w:bCs/>
          <w:color w:val="000000"/>
          <w:sz w:val="28"/>
          <w:szCs w:val="28"/>
        </w:rPr>
      </w:r>
      <w:r>
        <w:rPr>
          <w:b/>
          <w:bCs/>
          <w:color w:val="000000"/>
          <w:sz w:val="28"/>
          <w:szCs w:val="28"/>
        </w:rPr>
      </w:r>
      <w:r>
        <w:rPr>
          <w:b/>
          <w:bCs/>
          <w:color w:val="000000"/>
          <w:sz w:val="28"/>
          <w:szCs w:val="28"/>
        </w:rPr>
      </w:r>
    </w:p>
    <w:p>
      <w:pPr>
        <w:jc w:val="center"/>
        <w:widowControl/>
        <w:rPr>
          <w:b/>
          <w:sz w:val="20"/>
          <w:szCs w:val="20"/>
        </w:rPr>
      </w:pPr>
      <w:r>
        <w:rPr>
          <w:b/>
          <w:sz w:val="20"/>
          <w:szCs w:val="20"/>
        </w:rPr>
        <w:t xml:space="preserve">О признани</w:t>
      </w:r>
      <w:r>
        <w:rPr>
          <w:b/>
          <w:sz w:val="20"/>
          <w:szCs w:val="20"/>
        </w:rPr>
        <w:t xml:space="preserve">и утратившим силу муниципальное задание</w:t>
      </w:r>
      <w:r>
        <w:rPr>
          <w:b/>
          <w:sz w:val="20"/>
          <w:szCs w:val="20"/>
        </w:rPr>
        <w:t xml:space="preserve"> № 1</w:t>
      </w:r>
      <w:r>
        <w:rPr>
          <w:b/>
          <w:sz w:val="20"/>
          <w:szCs w:val="20"/>
        </w:rPr>
        <w:t xml:space="preserve"> </w:t>
      </w:r>
      <w:r>
        <w:rPr>
          <w:b/>
          <w:sz w:val="20"/>
          <w:szCs w:val="20"/>
        </w:rPr>
        <w:t xml:space="preserve">муниципально</w:t>
      </w:r>
      <w:r>
        <w:rPr>
          <w:b/>
          <w:sz w:val="20"/>
          <w:szCs w:val="20"/>
        </w:rPr>
        <w:t xml:space="preserve">го</w:t>
      </w:r>
      <w:r>
        <w:rPr>
          <w:b/>
          <w:sz w:val="20"/>
          <w:szCs w:val="20"/>
        </w:rPr>
        <w:t xml:space="preserve"> бюджетно</w:t>
      </w:r>
      <w:r>
        <w:rPr>
          <w:b/>
          <w:sz w:val="20"/>
          <w:szCs w:val="20"/>
        </w:rPr>
        <w:t xml:space="preserve">го</w:t>
      </w:r>
      <w:r>
        <w:rPr>
          <w:b/>
          <w:sz w:val="20"/>
          <w:szCs w:val="20"/>
        </w:rPr>
        <w:t xml:space="preserve"> учреждени</w:t>
      </w:r>
      <w:r>
        <w:rPr>
          <w:b/>
          <w:sz w:val="20"/>
          <w:szCs w:val="20"/>
        </w:rPr>
        <w:t xml:space="preserve">я</w:t>
      </w:r>
      <w:r>
        <w:rPr>
          <w:b/>
          <w:sz w:val="20"/>
          <w:szCs w:val="20"/>
        </w:rPr>
        <w:t xml:space="preserve"> «Централизованная бухгалтерия по обслуживанию муниципальных учреждений муниципального образования Печенгский муниципальный округ</w:t>
      </w:r>
      <w:r>
        <w:rPr>
          <w:b/>
          <w:sz w:val="20"/>
          <w:szCs w:val="20"/>
        </w:rPr>
        <w:t xml:space="preserve"> </w:t>
      </w:r>
      <w:r>
        <w:rPr>
          <w:b/>
          <w:sz w:val="20"/>
          <w:szCs w:val="20"/>
        </w:rPr>
        <w:t xml:space="preserve">Мурманской области»</w:t>
      </w:r>
      <w:r>
        <w:rPr>
          <w:b/>
          <w:sz w:val="20"/>
          <w:szCs w:val="20"/>
        </w:rPr>
        <w:t xml:space="preserve"> </w:t>
      </w:r>
      <w:r>
        <w:rPr>
          <w:b/>
          <w:sz w:val="20"/>
          <w:szCs w:val="20"/>
        </w:rPr>
      </w:r>
      <w:r>
        <w:rPr>
          <w:b/>
          <w:sz w:val="20"/>
          <w:szCs w:val="20"/>
        </w:rPr>
      </w:r>
    </w:p>
    <w:p>
      <w:pPr>
        <w:jc w:val="center"/>
        <w:rPr>
          <w:b/>
          <w:bCs/>
          <w:color w:val="000000"/>
          <w:highlight w:val="none"/>
        </w:rPr>
      </w:pPr>
      <w:r>
        <w:rPr>
          <w:rFonts w:eastAsia="Calibri"/>
          <w:b/>
          <w:sz w:val="20"/>
          <w:szCs w:val="20"/>
          <w:lang w:eastAsia="en-US"/>
        </w:rPr>
        <w:t xml:space="preserve">на 2025 год и на плановый период 2026 и 2027 годов</w:t>
      </w:r>
      <w:r>
        <w:rPr>
          <w:b/>
          <w:color w:val="000000"/>
          <w:szCs w:val="20"/>
          <w:highlight w:val="none"/>
        </w:rPr>
      </w:r>
      <w:r>
        <w:rPr>
          <w:b/>
          <w:bCs/>
          <w:color w:val="000000"/>
          <w:highlight w:val="none"/>
        </w:rPr>
      </w:r>
    </w:p>
    <w:p>
      <w:pPr>
        <w:jc w:val="center"/>
        <w:rPr>
          <w:b/>
          <w:bCs/>
          <w:color w:val="000000"/>
          <w:sz w:val="28"/>
          <w:szCs w:val="28"/>
        </w:rPr>
      </w:pPr>
      <w:r>
        <w:rPr>
          <w:b/>
          <w:bCs/>
          <w:color w:val="000000"/>
          <w:sz w:val="28"/>
          <w:szCs w:val="28"/>
        </w:rPr>
      </w:r>
      <w:r>
        <w:rPr>
          <w:b/>
          <w:bCs/>
          <w:color w:val="000000"/>
          <w:sz w:val="28"/>
          <w:szCs w:val="28"/>
        </w:rPr>
      </w:r>
      <w:r>
        <w:rPr>
          <w:b/>
          <w:bCs/>
          <w:color w:val="000000"/>
          <w:sz w:val="28"/>
          <w:szCs w:val="28"/>
        </w:rPr>
      </w:r>
    </w:p>
    <w:p>
      <w:pPr>
        <w:jc w:val="center"/>
        <w:rPr>
          <w:b/>
          <w:bCs/>
          <w:color w:val="000000"/>
          <w:sz w:val="28"/>
          <w:szCs w:val="28"/>
        </w:rPr>
      </w:pPr>
      <w:r>
        <w:rPr>
          <w:b/>
          <w:bCs/>
          <w:color w:val="000000"/>
          <w:sz w:val="28"/>
          <w:szCs w:val="28"/>
        </w:rPr>
      </w:r>
      <w:r>
        <w:rPr>
          <w:b/>
          <w:bCs/>
          <w:color w:val="000000"/>
          <w:sz w:val="28"/>
          <w:szCs w:val="28"/>
        </w:rPr>
      </w:r>
      <w:r>
        <w:rPr>
          <w:b/>
          <w:bCs/>
          <w:color w:val="000000"/>
          <w:sz w:val="28"/>
          <w:szCs w:val="28"/>
        </w:rPr>
      </w:r>
    </w:p>
    <w:p>
      <w:pPr>
        <w:ind w:firstLine="709"/>
        <w:jc w:val="both"/>
        <w:widowControl/>
        <w:tabs>
          <w:tab w:val="left" w:pos="709" w:leader="none"/>
        </w:tabs>
      </w:pPr>
      <w:r>
        <w:t xml:space="preserve">Руководствуясь постановлением администрации Печенгского муниципального окр</w:t>
      </w:r>
      <w:r>
        <w:t xml:space="preserve">у</w:t>
      </w:r>
      <w:r>
        <w:t xml:space="preserve">га Мурманской области от 25.06.2021 № 635 «Об утверждении положения </w:t>
        <w:br/>
        <w:t xml:space="preserve">о формировании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r>
        <w:t xml:space="preserve"> в связи с изменениями </w:t>
      </w:r>
      <w:r>
        <w:rPr>
          <w:lang w:bidi="en-US"/>
        </w:rPr>
        <w:t xml:space="preserve">региональн</w:t>
      </w:r>
      <w:r>
        <w:rPr>
          <w:lang w:bidi="en-US"/>
        </w:rPr>
        <w:t xml:space="preserve">ого</w:t>
      </w:r>
      <w:r>
        <w:rPr>
          <w:lang w:bidi="en-US"/>
        </w:rPr>
        <w:t xml:space="preserve"> </w:t>
      </w:r>
      <w:r>
        <w:rPr>
          <w:lang w:bidi="en-US"/>
        </w:rPr>
        <w:t xml:space="preserve">п</w:t>
      </w:r>
      <w:r>
        <w:rPr>
          <w:lang w:bidi="en-US"/>
        </w:rPr>
        <w:t xml:space="preserve">еречн</w:t>
      </w:r>
      <w:r>
        <w:rPr>
          <w:lang w:bidi="en-US"/>
        </w:rPr>
        <w:t xml:space="preserve">я</w:t>
      </w:r>
      <w:r>
        <w:rPr>
          <w:lang w:bidi="en-US"/>
        </w:rPr>
        <w:t xml:space="preserve"> государственных (муниципальных)</w:t>
      </w:r>
      <w:r>
        <w:rPr>
          <w:lang w:bidi="en-US"/>
        </w:rPr>
        <w:t xml:space="preserve"> </w:t>
      </w:r>
      <w:r>
        <w:rPr>
          <w:lang w:bidi="en-US"/>
        </w:rPr>
        <w:t xml:space="preserve">услуг и работ М</w:t>
      </w:r>
      <w:r>
        <w:rPr>
          <w:lang w:bidi="en-US"/>
        </w:rPr>
        <w:t xml:space="preserve">урманской области от 09.01.2023,</w:t>
      </w:r>
      <w:r>
        <w:rPr>
          <w:lang w:bidi="en-US"/>
        </w:rPr>
        <w:t xml:space="preserve"> </w:t>
      </w:r>
      <w:r>
        <w:rPr>
          <w:lang w:bidi="en-US"/>
        </w:rPr>
        <w:t xml:space="preserve">утвержденными</w:t>
      </w:r>
      <w:r>
        <w:rPr>
          <w:lang w:bidi="en-US"/>
        </w:rPr>
        <w:t xml:space="preserve"> </w:t>
      </w:r>
      <w:r>
        <w:rPr>
          <w:lang w:bidi="en-US"/>
        </w:rPr>
        <w:t xml:space="preserve">Министром финансов Мурманской области </w:t>
      </w:r>
      <w:r>
        <w:rPr>
          <w:lang w:bidi="en-US"/>
        </w:rPr>
        <w:t xml:space="preserve">13.01</w:t>
      </w:r>
      <w:r>
        <w:rPr>
          <w:lang w:bidi="en-US"/>
        </w:rPr>
        <w:t xml:space="preserve">.2025</w:t>
      </w:r>
      <w:r>
        <w:rPr>
          <w:lang w:bidi="en-US"/>
        </w:rPr>
        <w:t xml:space="preserve"> года</w:t>
      </w:r>
      <w:r>
        <w:t xml:space="preserve">,</w:t>
      </w:r>
      <w:r/>
    </w:p>
    <w:p>
      <w:pPr>
        <w:jc w:val="both"/>
        <w:widowControl/>
        <w:tabs>
          <w:tab w:val="left" w:pos="0" w:leader="none"/>
        </w:tabs>
        <w:rPr>
          <w:b/>
        </w:rPr>
      </w:pPr>
      <w:r>
        <w:rPr>
          <w:b/>
        </w:rPr>
      </w:r>
      <w:r>
        <w:rPr>
          <w:b/>
        </w:rPr>
      </w:r>
      <w:r>
        <w:rPr>
          <w:b/>
        </w:rPr>
      </w:r>
    </w:p>
    <w:p>
      <w:pPr>
        <w:jc w:val="both"/>
        <w:widowControl/>
        <w:rPr>
          <w:b/>
        </w:rPr>
      </w:pPr>
      <w:r>
        <w:rPr>
          <w:b/>
        </w:rPr>
        <w:t xml:space="preserve">ПОСТАНОВЛЯЮ:</w:t>
      </w:r>
      <w:r>
        <w:rPr>
          <w:b/>
        </w:rPr>
      </w:r>
      <w:r>
        <w:rPr>
          <w:b/>
        </w:rPr>
      </w:r>
    </w:p>
    <w:p>
      <w:pPr>
        <w:jc w:val="both"/>
        <w:widowControl/>
        <w:rPr>
          <w:b/>
        </w:rPr>
      </w:pPr>
      <w:r>
        <w:rPr>
          <w:b/>
        </w:rPr>
      </w:r>
      <w:r>
        <w:rPr>
          <w:b/>
        </w:rPr>
      </w:r>
      <w:r>
        <w:rPr>
          <w:b/>
        </w:rPr>
      </w:r>
    </w:p>
    <w:p>
      <w:pPr>
        <w:pStyle w:val="934"/>
        <w:numPr>
          <w:ilvl w:val="0"/>
          <w:numId w:val="43"/>
        </w:numPr>
        <w:ind w:left="0" w:right="0" w:firstLine="709"/>
        <w:jc w:val="both"/>
        <w:widowControl/>
        <w:tabs>
          <w:tab w:val="left" w:pos="9360" w:leader="none"/>
        </w:tabs>
      </w:pPr>
      <w:r>
        <w:rPr>
          <w:lang w:bidi="en-US"/>
        </w:rPr>
        <w:t xml:space="preserve">Признать утратившим силу муниципальное задание № 1 муниципального бюджетного учреждения</w:t>
      </w:r>
      <w:r>
        <w:t xml:space="preserve"> «Централизованная бухгалтерия по обслуживанию муниципальных учреждений муниципального образования Печенгский муниципальный округ Мурманской области» </w:t>
      </w:r>
      <w:r>
        <w:rPr>
          <w:lang w:bidi="en-US"/>
        </w:rPr>
        <w:t xml:space="preserve">на 2025 год и</w:t>
      </w:r>
      <w:r>
        <w:rPr>
          <w:lang w:bidi="en-US"/>
        </w:rPr>
        <w:t xml:space="preserve"> </w:t>
      </w:r>
      <w:r>
        <w:rPr>
          <w:lang w:bidi="en-US"/>
        </w:rPr>
        <w:t xml:space="preserve">плановый период 2026 и 2027 годов</w:t>
      </w:r>
      <w:r>
        <w:rPr>
          <w:lang w:bidi="en-US"/>
        </w:rPr>
        <w:t xml:space="preserve">,</w:t>
      </w:r>
      <w:r>
        <w:t xml:space="preserve"> </w:t>
      </w:r>
      <w:r>
        <w:rPr>
          <w:lang w:bidi="en-US"/>
        </w:rPr>
        <w:t xml:space="preserve">утвержденное </w:t>
      </w:r>
      <w:r>
        <w:rPr>
          <w:lang w:bidi="en-US"/>
        </w:rPr>
        <w:t xml:space="preserve">10.01.2025</w:t>
      </w:r>
      <w:r>
        <w:rPr>
          <w:lang w:bidi="en-US"/>
        </w:rPr>
        <w:t xml:space="preserve"> года</w:t>
      </w:r>
      <w:r>
        <w:rPr>
          <w:lang w:bidi="en-US"/>
        </w:rPr>
        <w:t xml:space="preserve">.</w:t>
      </w:r>
      <w:r>
        <w:rPr>
          <w:lang w:bidi="en-US"/>
        </w:rPr>
        <w:t xml:space="preserve"> </w:t>
      </w:r>
      <w:r/>
    </w:p>
    <w:p>
      <w:pPr>
        <w:pStyle w:val="934"/>
        <w:numPr>
          <w:ilvl w:val="0"/>
          <w:numId w:val="43"/>
        </w:numPr>
        <w:ind w:left="0" w:right="0" w:firstLine="709"/>
        <w:jc w:val="both"/>
        <w:widowControl/>
        <w:tabs>
          <w:tab w:val="left" w:pos="9360" w:leader="none"/>
        </w:tabs>
      </w:pPr>
      <w:r>
        <w:t xml:space="preserve">Настоящее постановление вступает в силу после его подписания и распространяется на правоотношения, возникшие с 01.01.202</w:t>
      </w:r>
      <w:r>
        <w:t xml:space="preserve">5</w:t>
      </w:r>
      <w:r>
        <w:t xml:space="preserve"> года</w:t>
      </w:r>
      <w:bookmarkStart w:id="0" w:name="undefined"/>
      <w:r/>
      <w:bookmarkEnd w:id="0"/>
      <w:r>
        <w:t xml:space="preserve">.</w:t>
      </w:r>
      <w:r>
        <w:t xml:space="preserve"> </w:t>
      </w:r>
      <w:r/>
    </w:p>
    <w:p>
      <w:pPr>
        <w:pStyle w:val="934"/>
        <w:numPr>
          <w:ilvl w:val="0"/>
          <w:numId w:val="43"/>
        </w:numPr>
        <w:ind w:left="0" w:right="0" w:firstLine="709"/>
        <w:jc w:val="both"/>
        <w:widowControl/>
        <w:tabs>
          <w:tab w:val="left" w:pos="-540" w:leader="none"/>
        </w:tabs>
      </w:pPr>
      <w:r>
        <w:t xml:space="preserve">Настоящее постановление подлежит размещению на официальном сайте Печенгского муниципального округа </w:t>
      </w:r>
      <w:hyperlink r:id="rId12" w:tooltip="https://pechengamr.gov-murman.ru/" w:history="1">
        <w:r>
          <w:t xml:space="preserve">https://pechengamr.gov-murman.ru/</w:t>
        </w:r>
      </w:hyperlink>
      <w:r>
        <w:t xml:space="preserve"> и на сайте для размещения</w:t>
      </w:r>
      <w:r>
        <w:t xml:space="preserve"> </w:t>
      </w:r>
      <w:r>
        <w:t xml:space="preserve">информации о государственных (муниципальных) учреждениях </w:t>
      </w:r>
      <w:hyperlink r:id="rId13" w:tooltip="http://www.bus.gov.ru" w:history="1">
        <w:r>
          <w:rPr>
            <w:lang w:val="en-US"/>
          </w:rPr>
          <w:t xml:space="preserve">www</w:t>
        </w:r>
        <w:r>
          <w:t xml:space="preserve">.</w:t>
        </w:r>
        <w:r>
          <w:rPr>
            <w:lang w:val="en-US"/>
          </w:rPr>
          <w:t xml:space="preserve">bus</w:t>
        </w:r>
        <w:r>
          <w:t xml:space="preserve">.</w:t>
        </w:r>
        <w:r>
          <w:rPr>
            <w:lang w:val="en-US"/>
          </w:rPr>
          <w:t xml:space="preserve">gov</w:t>
        </w:r>
        <w:r>
          <w:t xml:space="preserve">.</w:t>
        </w:r>
        <w:r>
          <w:rPr>
            <w:lang w:val="en-US"/>
          </w:rPr>
          <w:t xml:space="preserve">ru</w:t>
        </w:r>
      </w:hyperlink>
      <w:r>
        <w:t xml:space="preserve"> в сети Интернет</w:t>
      </w:r>
      <w:r>
        <w:t xml:space="preserve">.</w:t>
      </w:r>
      <w:r/>
    </w:p>
    <w:p>
      <w:pPr>
        <w:pStyle w:val="934"/>
        <w:numPr>
          <w:ilvl w:val="0"/>
          <w:numId w:val="43"/>
        </w:numPr>
        <w:ind w:left="0" w:right="0" w:firstLine="709"/>
        <w:jc w:val="both"/>
        <w:widowControl/>
        <w:tabs>
          <w:tab w:val="left" w:pos="-180" w:leader="none"/>
          <w:tab w:val="left" w:pos="9720" w:leader="none"/>
        </w:tabs>
        <w:rPr>
          <w:lang w:eastAsia="en-US" w:bidi="en-US"/>
        </w:rPr>
      </w:pPr>
      <w:r>
        <w:rPr>
          <w:lang w:eastAsia="en-US" w:bidi="en-US"/>
        </w:rPr>
        <w:t xml:space="preserve">Контроль за исполнением настоящего постановления оставляю за собой.</w:t>
      </w:r>
      <w:r>
        <w:rPr>
          <w:lang w:eastAsia="en-US" w:bidi="en-US"/>
        </w:rPr>
      </w:r>
      <w:r>
        <w:rPr>
          <w:lang w:eastAsia="en-US" w:bidi="en-US"/>
        </w:rPr>
      </w:r>
    </w:p>
    <w:p>
      <w:pPr>
        <w:jc w:val="center"/>
        <w:rPr>
          <w:b/>
          <w:bCs/>
          <w:color w:val="000000"/>
          <w:sz w:val="28"/>
          <w:szCs w:val="28"/>
        </w:rPr>
      </w:pPr>
      <w:r>
        <w:rPr>
          <w:b/>
          <w:color w:val="000000"/>
          <w:szCs w:val="20"/>
          <w:highlight w:val="none"/>
        </w:rPr>
      </w:r>
      <w:r>
        <w:rPr>
          <w:b/>
          <w:color w:val="000000"/>
          <w:szCs w:val="20"/>
          <w:highlight w:val="none"/>
        </w:rPr>
      </w:r>
      <w:r>
        <w:rPr>
          <w:b/>
          <w:bCs/>
          <w:color w:val="000000"/>
          <w:sz w:val="28"/>
          <w:szCs w:val="28"/>
        </w:rPr>
      </w:r>
    </w:p>
    <w:p>
      <w:pPr>
        <w:widowControl/>
      </w:pPr>
      <w:r>
        <w:t xml:space="preserve">Глава Печенгского муниципального округа                                                        А.В. Кузнецов</w:t>
      </w:r>
      <w:r/>
    </w:p>
    <w:p>
      <w:pPr>
        <w:jc w:val="both"/>
        <w:widowControl/>
        <w:rPr>
          <w:sz w:val="22"/>
        </w:rPr>
      </w:pPr>
      <w:r>
        <w:rPr>
          <w:sz w:val="22"/>
        </w:rPr>
      </w:r>
      <w:r>
        <w:rPr>
          <w:sz w:val="22"/>
        </w:rPr>
      </w:r>
      <w:r>
        <w:rPr>
          <w:sz w:val="22"/>
        </w:rPr>
      </w:r>
    </w:p>
    <w:p>
      <w:pPr>
        <w:pStyle w:val="951"/>
        <w:rPr>
          <w:sz w:val="20"/>
          <w:szCs w:val="20"/>
        </w:rPr>
      </w:pPr>
      <w:r>
        <w:rPr>
          <w:sz w:val="20"/>
          <w:szCs w:val="20"/>
          <w:highlight w:val="none"/>
        </w:rPr>
      </w:r>
      <w:r>
        <w:rPr>
          <w:sz w:val="20"/>
          <w:szCs w:val="20"/>
          <w:highlight w:val="none"/>
        </w:rPr>
      </w:r>
      <w:r>
        <w:rPr>
          <w:sz w:val="20"/>
          <w:szCs w:val="20"/>
        </w:rPr>
      </w:r>
    </w:p>
    <w:p>
      <w:pPr>
        <w:pStyle w:val="951"/>
        <w:rPr>
          <w:sz w:val="20"/>
          <w:szCs w:val="20"/>
          <w:highlight w:val="none"/>
        </w:rPr>
      </w:pPr>
      <w:r>
        <w:rPr>
          <w:sz w:val="20"/>
          <w:szCs w:val="20"/>
          <w:highlight w:val="none"/>
        </w:rPr>
      </w:r>
      <w:r>
        <w:rPr>
          <w:sz w:val="20"/>
          <w:szCs w:val="20"/>
          <w:highlight w:val="none"/>
        </w:rPr>
      </w:r>
      <w:r>
        <w:rPr>
          <w:sz w:val="20"/>
          <w:szCs w:val="20"/>
          <w:highlight w:val="none"/>
        </w:rPr>
      </w:r>
    </w:p>
    <w:p>
      <w:pPr>
        <w:pStyle w:val="951"/>
        <w:rPr>
          <w:sz w:val="20"/>
          <w:szCs w:val="20"/>
          <w:highlight w:val="none"/>
        </w:rPr>
      </w:pPr>
      <w:r>
        <w:rPr>
          <w:sz w:val="20"/>
          <w:szCs w:val="20"/>
          <w:highlight w:val="none"/>
        </w:rPr>
      </w:r>
      <w:r>
        <w:rPr>
          <w:sz w:val="20"/>
          <w:szCs w:val="20"/>
          <w:highlight w:val="none"/>
        </w:rPr>
      </w:r>
      <w:r>
        <w:rPr>
          <w:sz w:val="20"/>
          <w:szCs w:val="20"/>
          <w:highlight w:val="none"/>
        </w:rPr>
      </w:r>
    </w:p>
    <w:p>
      <w:pPr>
        <w:pStyle w:val="951"/>
        <w:rPr>
          <w:sz w:val="20"/>
          <w:szCs w:val="20"/>
          <w:highlight w:val="none"/>
        </w:rPr>
      </w:pPr>
      <w:r>
        <w:rPr>
          <w:sz w:val="20"/>
          <w:szCs w:val="20"/>
          <w:highlight w:val="none"/>
        </w:rPr>
      </w:r>
      <w:r>
        <w:rPr>
          <w:sz w:val="20"/>
          <w:szCs w:val="20"/>
          <w:highlight w:val="none"/>
        </w:rPr>
      </w:r>
      <w:r>
        <w:rPr>
          <w:sz w:val="20"/>
          <w:szCs w:val="20"/>
          <w:highlight w:val="none"/>
        </w:rPr>
      </w:r>
    </w:p>
    <w:p>
      <w:pPr>
        <w:pStyle w:val="951"/>
        <w:rPr>
          <w:sz w:val="20"/>
          <w:szCs w:val="20"/>
          <w:highlight w:val="none"/>
        </w:rPr>
      </w:pPr>
      <w:r>
        <w:rPr>
          <w:sz w:val="20"/>
          <w:szCs w:val="20"/>
          <w:highlight w:val="none"/>
        </w:rPr>
      </w:r>
      <w:r>
        <w:rPr>
          <w:sz w:val="20"/>
          <w:szCs w:val="20"/>
          <w:highlight w:val="none"/>
        </w:rPr>
      </w:r>
      <w:r>
        <w:rPr>
          <w:sz w:val="20"/>
          <w:szCs w:val="20"/>
          <w:highlight w:val="none"/>
        </w:rPr>
      </w:r>
    </w:p>
    <w:p>
      <w:pPr>
        <w:pStyle w:val="951"/>
        <w:rPr>
          <w:sz w:val="20"/>
          <w:szCs w:val="20"/>
          <w:highlight w:val="none"/>
        </w:rPr>
      </w:pPr>
      <w:r>
        <w:rPr>
          <w:sz w:val="20"/>
          <w:szCs w:val="20"/>
        </w:rPr>
        <w:t xml:space="preserve">Алексеева Ю.В.</w:t>
      </w:r>
      <w:r>
        <w:rPr>
          <w:sz w:val="20"/>
          <w:szCs w:val="20"/>
        </w:rPr>
        <w:t xml:space="preserve">, </w:t>
      </w:r>
      <w:r>
        <w:rPr>
          <w:sz w:val="20"/>
          <w:szCs w:val="20"/>
        </w:rPr>
        <w:t xml:space="preserve">5</w:t>
      </w:r>
      <w:r>
        <w:rPr>
          <w:sz w:val="20"/>
          <w:szCs w:val="20"/>
        </w:rPr>
        <w:t xml:space="preserve">-</w:t>
      </w:r>
      <w:r>
        <w:rPr>
          <w:sz w:val="20"/>
          <w:szCs w:val="20"/>
        </w:rPr>
        <w:t xml:space="preserve">11</w:t>
      </w:r>
      <w:r>
        <w:rPr>
          <w:sz w:val="20"/>
          <w:szCs w:val="20"/>
        </w:rPr>
        <w:t xml:space="preserve">-</w:t>
      </w:r>
      <w:r>
        <w:rPr>
          <w:sz w:val="20"/>
          <w:szCs w:val="20"/>
        </w:rPr>
        <w:t xml:space="preserve">04</w:t>
      </w:r>
      <w:r>
        <w:rPr>
          <w:sz w:val="20"/>
          <w:szCs w:val="20"/>
        </w:rPr>
      </w:r>
      <w:r>
        <w:rPr>
          <w:b/>
        </w:rPr>
      </w:r>
      <w:r>
        <w:rPr>
          <w:sz w:val="20"/>
          <w:szCs w:val="20"/>
          <w:highlight w:val="none"/>
        </w:rPr>
      </w:r>
      <w:r>
        <w:rPr>
          <w:sz w:val="20"/>
        </w:rPr>
      </w:r>
      <w:r>
        <w:rPr>
          <w:sz w:val="20"/>
        </w:rPr>
      </w:r>
      <w:r>
        <w:rPr>
          <w:sz w:val="20"/>
        </w:rPr>
      </w:r>
      <w:r>
        <w:rPr>
          <w:sz w:val="20"/>
          <w:szCs w:val="20"/>
          <w:highlight w:val="none"/>
        </w:rPr>
      </w:r>
      <w:r>
        <w:rPr>
          <w:sz w:val="20"/>
        </w:rPr>
      </w:r>
      <w:r>
        <w:rPr>
          <w:sz w:val="20"/>
        </w:rPr>
      </w:r>
      <w:r>
        <w:rPr>
          <w:sz w:val="20"/>
        </w:rPr>
      </w:r>
      <w:r>
        <w:rPr>
          <w:sz w:val="20"/>
          <w:szCs w:val="20"/>
          <w:highlight w:val="none"/>
        </w:rPr>
      </w:r>
      <w:r>
        <w:rPr>
          <w:sz w:val="20"/>
        </w:rPr>
      </w:r>
      <w:r>
        <w:rPr>
          <w:sz w:val="20"/>
        </w:rPr>
      </w:r>
      <w:r>
        <w:rPr>
          <w:sz w:val="20"/>
        </w:rPr>
      </w:r>
      <w:r>
        <w:rPr>
          <w:sz w:val="20"/>
          <w:szCs w:val="20"/>
          <w:highlight w:val="none"/>
        </w:rPr>
      </w:r>
      <w:r>
        <w:rPr>
          <w:b/>
          <w:bCs/>
        </w:rPr>
      </w:r>
      <w:r>
        <w:rPr>
          <w:b/>
          <w:bCs/>
        </w:rPr>
      </w:r>
      <w:r>
        <w:rPr>
          <w:b/>
          <w:bCs/>
        </w:rPr>
      </w:r>
      <w:r>
        <w:rPr>
          <w:sz w:val="20"/>
          <w:szCs w:val="20"/>
          <w:highlight w:val="none"/>
        </w:rPr>
      </w:r>
    </w:p>
    <w:sectPr>
      <w:footerReference w:type="default" r:id="rId9"/>
      <w:footnotePr/>
      <w:endnotePr/>
      <w:type w:val="nextPage"/>
      <w:pgSz w:w="11906" w:h="16838" w:orient="portrait"/>
      <w:pgMar w:top="851" w:right="849" w:bottom="851"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6">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7">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8">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0">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2">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3">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5">
    <w:multiLevelType w:val="hybridMultilevel"/>
    <w:lvl w:ilvl="0">
      <w:start w:val="2"/>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6">
    <w:multiLevelType w:val="hybridMultilevel"/>
    <w:lvl w:ilvl="0">
      <w:start w:val="1"/>
      <w:numFmt w:val="decimal"/>
      <w:isLgl w:val="false"/>
      <w:suff w:val="tab"/>
      <w:lvlText w:val="%1."/>
      <w:lvlJc w:val="left"/>
      <w:pPr>
        <w:ind w:left="600" w:hanging="360"/>
      </w:pPr>
      <w:rPr>
        <w:rFonts w:hint="default"/>
      </w:rPr>
    </w:lvl>
    <w:lvl w:ilvl="1">
      <w:start w:val="1"/>
      <w:numFmt w:val="lowerLetter"/>
      <w:isLgl w:val="false"/>
      <w:suff w:val="tab"/>
      <w:lvlText w:val="%2."/>
      <w:lvlJc w:val="left"/>
      <w:pPr>
        <w:ind w:left="1320" w:hanging="360"/>
      </w:pPr>
    </w:lvl>
    <w:lvl w:ilvl="2">
      <w:start w:val="1"/>
      <w:numFmt w:val="lowerRoman"/>
      <w:isLgl w:val="false"/>
      <w:suff w:val="tab"/>
      <w:lvlText w:val="%3."/>
      <w:lvlJc w:val="right"/>
      <w:pPr>
        <w:ind w:left="2040" w:hanging="180"/>
      </w:pPr>
    </w:lvl>
    <w:lvl w:ilvl="3">
      <w:start w:val="1"/>
      <w:numFmt w:val="decimal"/>
      <w:isLgl w:val="false"/>
      <w:suff w:val="tab"/>
      <w:lvlText w:val="%4."/>
      <w:lvlJc w:val="left"/>
      <w:pPr>
        <w:ind w:left="2760" w:hanging="360"/>
      </w:pPr>
    </w:lvl>
    <w:lvl w:ilvl="4">
      <w:start w:val="1"/>
      <w:numFmt w:val="lowerLetter"/>
      <w:isLgl w:val="false"/>
      <w:suff w:val="tab"/>
      <w:lvlText w:val="%5."/>
      <w:lvlJc w:val="left"/>
      <w:pPr>
        <w:ind w:left="3480" w:hanging="360"/>
      </w:pPr>
    </w:lvl>
    <w:lvl w:ilvl="5">
      <w:start w:val="1"/>
      <w:numFmt w:val="lowerRoman"/>
      <w:isLgl w:val="false"/>
      <w:suff w:val="tab"/>
      <w:lvlText w:val="%6."/>
      <w:lvlJc w:val="right"/>
      <w:pPr>
        <w:ind w:left="4200" w:hanging="180"/>
      </w:pPr>
    </w:lvl>
    <w:lvl w:ilvl="6">
      <w:start w:val="1"/>
      <w:numFmt w:val="decimal"/>
      <w:isLgl w:val="false"/>
      <w:suff w:val="tab"/>
      <w:lvlText w:val="%7."/>
      <w:lvlJc w:val="left"/>
      <w:pPr>
        <w:ind w:left="4920" w:hanging="360"/>
      </w:pPr>
    </w:lvl>
    <w:lvl w:ilvl="7">
      <w:start w:val="1"/>
      <w:numFmt w:val="lowerLetter"/>
      <w:isLgl w:val="false"/>
      <w:suff w:val="tab"/>
      <w:lvlText w:val="%8."/>
      <w:lvlJc w:val="left"/>
      <w:pPr>
        <w:ind w:left="5640" w:hanging="360"/>
      </w:pPr>
    </w:lvl>
    <w:lvl w:ilvl="8">
      <w:start w:val="1"/>
      <w:numFmt w:val="lowerRoman"/>
      <w:isLgl w:val="false"/>
      <w:suff w:val="tab"/>
      <w:lvlText w:val="%9."/>
      <w:lvlJc w:val="right"/>
      <w:pPr>
        <w:ind w:left="6360" w:hanging="180"/>
      </w:pPr>
    </w:lvl>
  </w:abstractNum>
  <w:abstractNum w:abstractNumId="27">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29">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0">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3">
    <w:multiLevelType w:val="hybridMultilevel"/>
    <w:lvl w:ilvl="0">
      <w:start w:val="2"/>
      <w:numFmt w:val="decimal"/>
      <w:isLgl w:val="false"/>
      <w:suff w:val="tab"/>
      <w:lvlText w:val="%1."/>
      <w:lvlJc w:val="left"/>
      <w:pPr>
        <w:ind w:left="1080" w:hanging="360"/>
      </w:pPr>
      <w:rPr>
        <w:rFonts w:hint="default"/>
      </w:rPr>
    </w:lvl>
    <w:lvl w:ilvl="1">
      <w:start w:val="1"/>
      <w:numFmt w:val="decimal"/>
      <w:isLgl/>
      <w:suff w:val="tab"/>
      <w:lvlText w:val="%1.%2."/>
      <w:lvlJc w:val="left"/>
      <w:pPr>
        <w:ind w:left="1995" w:hanging="1275"/>
      </w:pPr>
      <w:rPr>
        <w:rFonts w:hint="default"/>
      </w:rPr>
    </w:lvl>
    <w:lvl w:ilvl="2">
      <w:start w:val="1"/>
      <w:numFmt w:val="decimal"/>
      <w:isLgl/>
      <w:suff w:val="tab"/>
      <w:lvlText w:val="%1.%2.%3."/>
      <w:lvlJc w:val="left"/>
      <w:pPr>
        <w:ind w:left="1985" w:hanging="1275"/>
      </w:pPr>
      <w:rPr>
        <w:rFonts w:hint="default"/>
      </w:rPr>
    </w:lvl>
    <w:lvl w:ilvl="3">
      <w:start w:val="1"/>
      <w:numFmt w:val="decimal"/>
      <w:isLgl/>
      <w:suff w:val="tab"/>
      <w:lvlText w:val="%1.%2.%3.%4."/>
      <w:lvlJc w:val="left"/>
      <w:pPr>
        <w:ind w:left="1995" w:hanging="1275"/>
      </w:pPr>
      <w:rPr>
        <w:rFonts w:hint="default"/>
      </w:rPr>
    </w:lvl>
    <w:lvl w:ilvl="4">
      <w:start w:val="1"/>
      <w:numFmt w:val="decimal"/>
      <w:isLgl/>
      <w:suff w:val="tab"/>
      <w:lvlText w:val="%1.%2.%3.%4.%5."/>
      <w:lvlJc w:val="left"/>
      <w:pPr>
        <w:ind w:left="1995" w:hanging="1275"/>
      </w:pPr>
      <w:rPr>
        <w:rFonts w:hint="default"/>
      </w:rPr>
    </w:lvl>
    <w:lvl w:ilvl="5">
      <w:start w:val="1"/>
      <w:numFmt w:val="decimal"/>
      <w:isLgl/>
      <w:suff w:val="tab"/>
      <w:lvlText w:val="%1.%2.%3.%4.%5.%6."/>
      <w:lvlJc w:val="left"/>
      <w:pPr>
        <w:ind w:left="1995" w:hanging="127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34">
    <w:multiLevelType w:val="hybridMultilevel"/>
    <w:lvl w:ilvl="0">
      <w:start w:val="1"/>
      <w:numFmt w:val="decimal"/>
      <w:isLgl w:val="false"/>
      <w:suff w:val="tab"/>
      <w:lvlText w:val="%1."/>
      <w:lvlJc w:val="left"/>
      <w:pPr>
        <w:ind w:left="720" w:hanging="360"/>
      </w:pPr>
      <w:rPr>
        <w:rFonts w:hint="default"/>
        <w:b w:val="0"/>
      </w:rPr>
    </w:lvl>
    <w:lvl w:ilvl="1">
      <w:start w:val="16"/>
      <w:numFmt w:val="decimal"/>
      <w:isLgl/>
      <w:suff w:val="tab"/>
      <w:lvlText w:val="%1.%2."/>
      <w:lvlJc w:val="left"/>
      <w:pPr>
        <w:ind w:left="1189" w:hanging="480"/>
      </w:pPr>
      <w:rPr>
        <w:rFonts w:hint="default" w:eastAsia="Calibri"/>
      </w:rPr>
    </w:lvl>
    <w:lvl w:ilvl="2">
      <w:start w:val="1"/>
      <w:numFmt w:val="decimal"/>
      <w:isLgl/>
      <w:suff w:val="tab"/>
      <w:lvlText w:val="%1.%2.%3."/>
      <w:lvlJc w:val="left"/>
      <w:pPr>
        <w:ind w:left="1778" w:hanging="720"/>
      </w:pPr>
      <w:rPr>
        <w:rFonts w:hint="default" w:eastAsia="Calibri"/>
      </w:rPr>
    </w:lvl>
    <w:lvl w:ilvl="3">
      <w:start w:val="1"/>
      <w:numFmt w:val="decimal"/>
      <w:isLgl/>
      <w:suff w:val="tab"/>
      <w:lvlText w:val="%1.%2.%3.%4."/>
      <w:lvlJc w:val="left"/>
      <w:pPr>
        <w:ind w:left="2127" w:hanging="720"/>
      </w:pPr>
      <w:rPr>
        <w:rFonts w:hint="default" w:eastAsia="Calibri"/>
      </w:rPr>
    </w:lvl>
    <w:lvl w:ilvl="4">
      <w:start w:val="1"/>
      <w:numFmt w:val="decimal"/>
      <w:isLgl/>
      <w:suff w:val="tab"/>
      <w:lvlText w:val="%1.%2.%3.%4.%5."/>
      <w:lvlJc w:val="left"/>
      <w:pPr>
        <w:ind w:left="2836" w:hanging="1080"/>
      </w:pPr>
      <w:rPr>
        <w:rFonts w:hint="default" w:eastAsia="Calibri"/>
      </w:rPr>
    </w:lvl>
    <w:lvl w:ilvl="5">
      <w:start w:val="1"/>
      <w:numFmt w:val="decimal"/>
      <w:isLgl/>
      <w:suff w:val="tab"/>
      <w:lvlText w:val="%1.%2.%3.%4.%5.%6."/>
      <w:lvlJc w:val="left"/>
      <w:pPr>
        <w:ind w:left="3185" w:hanging="1080"/>
      </w:pPr>
      <w:rPr>
        <w:rFonts w:hint="default" w:eastAsia="Calibri"/>
      </w:rPr>
    </w:lvl>
    <w:lvl w:ilvl="6">
      <w:start w:val="1"/>
      <w:numFmt w:val="decimal"/>
      <w:isLgl/>
      <w:suff w:val="tab"/>
      <w:lvlText w:val="%1.%2.%3.%4.%5.%6.%7."/>
      <w:lvlJc w:val="left"/>
      <w:pPr>
        <w:ind w:left="3894" w:hanging="1440"/>
      </w:pPr>
      <w:rPr>
        <w:rFonts w:hint="default" w:eastAsia="Calibri"/>
      </w:rPr>
    </w:lvl>
    <w:lvl w:ilvl="7">
      <w:start w:val="1"/>
      <w:numFmt w:val="decimal"/>
      <w:isLgl/>
      <w:suff w:val="tab"/>
      <w:lvlText w:val="%1.%2.%3.%4.%5.%6.%7.%8."/>
      <w:lvlJc w:val="left"/>
      <w:pPr>
        <w:ind w:left="4243" w:hanging="1440"/>
      </w:pPr>
      <w:rPr>
        <w:rFonts w:hint="default" w:eastAsia="Calibri"/>
      </w:rPr>
    </w:lvl>
    <w:lvl w:ilvl="8">
      <w:start w:val="1"/>
      <w:numFmt w:val="decimal"/>
      <w:isLgl/>
      <w:suff w:val="tab"/>
      <w:lvlText w:val="%1.%2.%3.%4.%5.%6.%7.%8.%9."/>
      <w:lvlJc w:val="left"/>
      <w:pPr>
        <w:ind w:left="4952" w:hanging="1800"/>
      </w:pPr>
      <w:rPr>
        <w:rFonts w:hint="default" w:eastAsia="Calibri"/>
      </w:rPr>
    </w:lvl>
  </w:abstractNum>
  <w:abstractNum w:abstractNumId="3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6">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decimal"/>
      <w:isLgl w:val="false"/>
      <w:suff w:val="tab"/>
      <w:lvlText w:val="%1.%2."/>
      <w:lvlJc w:val="left"/>
      <w:pPr>
        <w:ind w:left="1080" w:hanging="360"/>
        <w:tabs>
          <w:tab w:val="num" w:pos="1080" w:leader="none"/>
        </w:tabs>
      </w:pPr>
      <w:rPr>
        <w:rFonts w:hint="default"/>
      </w:rPr>
    </w:lvl>
    <w:lvl w:ilvl="2">
      <w:start w:val="1"/>
      <w:numFmt w:val="decimal"/>
      <w:isLgl w:val="false"/>
      <w:suff w:val="tab"/>
      <w:lvlText w:val="%1.%2.%3."/>
      <w:lvlJc w:val="left"/>
      <w:pPr>
        <w:ind w:left="2160" w:hanging="720"/>
        <w:tabs>
          <w:tab w:val="num" w:pos="2160" w:leader="none"/>
        </w:tabs>
      </w:pPr>
      <w:rPr>
        <w:rFonts w:hint="default"/>
      </w:rPr>
    </w:lvl>
    <w:lvl w:ilvl="3">
      <w:start w:val="1"/>
      <w:numFmt w:val="decimal"/>
      <w:isLgl w:val="false"/>
      <w:suff w:val="tab"/>
      <w:lvlText w:val="%1.%2.%3.%4."/>
      <w:lvlJc w:val="left"/>
      <w:pPr>
        <w:ind w:left="2880" w:hanging="720"/>
        <w:tabs>
          <w:tab w:val="num" w:pos="2880" w:leader="none"/>
        </w:tabs>
      </w:pPr>
      <w:rPr>
        <w:rFonts w:hint="default"/>
      </w:rPr>
    </w:lvl>
    <w:lvl w:ilvl="4">
      <w:start w:val="1"/>
      <w:numFmt w:val="decimal"/>
      <w:isLgl w:val="false"/>
      <w:suff w:val="tab"/>
      <w:lvlText w:val="%1.%2.%3.%4.%5."/>
      <w:lvlJc w:val="left"/>
      <w:pPr>
        <w:ind w:left="3960" w:hanging="1080"/>
        <w:tabs>
          <w:tab w:val="num" w:pos="3960" w:leader="none"/>
        </w:tabs>
      </w:pPr>
      <w:rPr>
        <w:rFonts w:hint="default"/>
      </w:rPr>
    </w:lvl>
    <w:lvl w:ilvl="5">
      <w:start w:val="1"/>
      <w:numFmt w:val="decimal"/>
      <w:isLgl w:val="false"/>
      <w:suff w:val="tab"/>
      <w:lvlText w:val="%1.%2.%3.%4.%5.%6."/>
      <w:lvlJc w:val="left"/>
      <w:pPr>
        <w:ind w:left="4680" w:hanging="1080"/>
        <w:tabs>
          <w:tab w:val="num" w:pos="4680" w:leader="none"/>
        </w:tabs>
      </w:pPr>
      <w:rPr>
        <w:rFonts w:hint="default"/>
      </w:rPr>
    </w:lvl>
    <w:lvl w:ilvl="6">
      <w:start w:val="1"/>
      <w:numFmt w:val="decimal"/>
      <w:isLgl w:val="false"/>
      <w:suff w:val="tab"/>
      <w:lvlText w:val="%1.%2.%3.%4.%5.%6.%7."/>
      <w:lvlJc w:val="left"/>
      <w:pPr>
        <w:ind w:left="5760" w:hanging="1440"/>
        <w:tabs>
          <w:tab w:val="num" w:pos="5760" w:leader="none"/>
        </w:tabs>
      </w:pPr>
      <w:rPr>
        <w:rFonts w:hint="default"/>
      </w:rPr>
    </w:lvl>
    <w:lvl w:ilvl="7">
      <w:start w:val="1"/>
      <w:numFmt w:val="decimal"/>
      <w:isLgl w:val="false"/>
      <w:suff w:val="tab"/>
      <w:lvlText w:val="%1.%2.%3.%4.%5.%6.%7.%8."/>
      <w:lvlJc w:val="left"/>
      <w:pPr>
        <w:ind w:left="6480" w:hanging="1440"/>
        <w:tabs>
          <w:tab w:val="num" w:pos="6480" w:leader="none"/>
        </w:tabs>
      </w:pPr>
      <w:rPr>
        <w:rFonts w:hint="default"/>
      </w:rPr>
    </w:lvl>
    <w:lvl w:ilvl="8">
      <w:start w:val="1"/>
      <w:numFmt w:val="decimal"/>
      <w:isLgl w:val="false"/>
      <w:suff w:val="tab"/>
      <w:lvlText w:val="%1.%2.%3.%4.%5.%6.%7.%8.%9."/>
      <w:lvlJc w:val="left"/>
      <w:pPr>
        <w:ind w:left="7560" w:hanging="1800"/>
        <w:tabs>
          <w:tab w:val="num" w:pos="7560" w:leader="none"/>
        </w:tabs>
      </w:pPr>
      <w:rPr>
        <w:rFonts w:hint="default"/>
      </w:rPr>
    </w:lvl>
  </w:abstractNum>
  <w:abstractNum w:abstractNumId="37">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38">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0">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20"/>
  </w:num>
  <w:num w:numId="4">
    <w:abstractNumId w:val="18"/>
  </w:num>
  <w:num w:numId="5">
    <w:abstractNumId w:val="13"/>
  </w:num>
  <w:num w:numId="6">
    <w:abstractNumId w:val="28"/>
  </w:num>
  <w:num w:numId="7">
    <w:abstractNumId w:val="12"/>
  </w:num>
  <w:num w:numId="8">
    <w:abstractNumId w:val="37"/>
  </w:num>
  <w:num w:numId="9">
    <w:abstractNumId w:val="16"/>
  </w:num>
  <w:num w:numId="10">
    <w:abstractNumId w:val="35"/>
  </w:num>
  <w:num w:numId="11">
    <w:abstractNumId w:val="2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1"/>
  </w:num>
  <w:num w:numId="24">
    <w:abstractNumId w:val="30"/>
  </w:num>
  <w:num w:numId="25">
    <w:abstractNumId w:val="22"/>
  </w:num>
  <w:num w:numId="26">
    <w:abstractNumId w:val="27"/>
  </w:num>
  <w:num w:numId="27">
    <w:abstractNumId w:val="36"/>
  </w:num>
  <w:num w:numId="28">
    <w:abstractNumId w:val="34"/>
  </w:num>
  <w:num w:numId="29">
    <w:abstractNumId w:val="24"/>
  </w:num>
  <w:num w:numId="30">
    <w:abstractNumId w:val="19"/>
  </w:num>
  <w:num w:numId="31">
    <w:abstractNumId w:val="21"/>
  </w:num>
  <w:num w:numId="32">
    <w:abstractNumId w:val="29"/>
  </w:num>
  <w:num w:numId="33">
    <w:abstractNumId w:val="39"/>
  </w:num>
  <w:num w:numId="34">
    <w:abstractNumId w:val="32"/>
  </w:num>
  <w:num w:numId="35">
    <w:abstractNumId w:val="25"/>
  </w:num>
  <w:num w:numId="36">
    <w:abstractNumId w:val="38"/>
  </w:num>
  <w:num w:numId="37">
    <w:abstractNumId w:val="17"/>
  </w:num>
  <w:num w:numId="38">
    <w:abstractNumId w:val="15"/>
  </w:num>
  <w:num w:numId="39">
    <w:abstractNumId w:val="26"/>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14"/>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19"/>
    <w:next w:val="919"/>
    <w:link w:val="749"/>
    <w:uiPriority w:val="9"/>
    <w:qFormat/>
    <w:pPr>
      <w:keepLines/>
      <w:keepNext/>
      <w:spacing w:before="480" w:after="200"/>
      <w:outlineLvl w:val="0"/>
    </w:pPr>
    <w:rPr>
      <w:rFonts w:ascii="Arial" w:hAnsi="Arial" w:eastAsia="Arial" w:cs="Arial"/>
      <w:sz w:val="40"/>
      <w:szCs w:val="40"/>
    </w:rPr>
  </w:style>
  <w:style w:type="character" w:styleId="749">
    <w:name w:val="Heading 1 Char"/>
    <w:basedOn w:val="921"/>
    <w:link w:val="748"/>
    <w:uiPriority w:val="9"/>
    <w:rPr>
      <w:rFonts w:ascii="Arial" w:hAnsi="Arial" w:eastAsia="Arial" w:cs="Arial"/>
      <w:sz w:val="40"/>
      <w:szCs w:val="40"/>
    </w:rPr>
  </w:style>
  <w:style w:type="character" w:styleId="750">
    <w:name w:val="Heading 2 Char"/>
    <w:basedOn w:val="921"/>
    <w:link w:val="920"/>
    <w:uiPriority w:val="9"/>
    <w:rPr>
      <w:rFonts w:ascii="Arial" w:hAnsi="Arial" w:eastAsia="Arial" w:cs="Arial"/>
      <w:sz w:val="34"/>
    </w:rPr>
  </w:style>
  <w:style w:type="paragraph" w:styleId="751">
    <w:name w:val="Heading 3"/>
    <w:basedOn w:val="919"/>
    <w:next w:val="919"/>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basedOn w:val="921"/>
    <w:link w:val="751"/>
    <w:uiPriority w:val="9"/>
    <w:rPr>
      <w:rFonts w:ascii="Arial" w:hAnsi="Arial" w:eastAsia="Arial" w:cs="Arial"/>
      <w:sz w:val="30"/>
      <w:szCs w:val="30"/>
    </w:rPr>
  </w:style>
  <w:style w:type="paragraph" w:styleId="753">
    <w:name w:val="Heading 4"/>
    <w:basedOn w:val="919"/>
    <w:next w:val="919"/>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basedOn w:val="921"/>
    <w:link w:val="753"/>
    <w:uiPriority w:val="9"/>
    <w:rPr>
      <w:rFonts w:ascii="Arial" w:hAnsi="Arial" w:eastAsia="Arial" w:cs="Arial"/>
      <w:b/>
      <w:bCs/>
      <w:sz w:val="26"/>
      <w:szCs w:val="26"/>
    </w:rPr>
  </w:style>
  <w:style w:type="paragraph" w:styleId="755">
    <w:name w:val="Heading 5"/>
    <w:basedOn w:val="919"/>
    <w:next w:val="919"/>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basedOn w:val="921"/>
    <w:link w:val="755"/>
    <w:uiPriority w:val="9"/>
    <w:rPr>
      <w:rFonts w:ascii="Arial" w:hAnsi="Arial" w:eastAsia="Arial" w:cs="Arial"/>
      <w:b/>
      <w:bCs/>
      <w:sz w:val="24"/>
      <w:szCs w:val="24"/>
    </w:rPr>
  </w:style>
  <w:style w:type="paragraph" w:styleId="757">
    <w:name w:val="Heading 6"/>
    <w:basedOn w:val="919"/>
    <w:next w:val="919"/>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basedOn w:val="921"/>
    <w:link w:val="757"/>
    <w:uiPriority w:val="9"/>
    <w:rPr>
      <w:rFonts w:ascii="Arial" w:hAnsi="Arial" w:eastAsia="Arial" w:cs="Arial"/>
      <w:b/>
      <w:bCs/>
      <w:sz w:val="22"/>
      <w:szCs w:val="22"/>
    </w:rPr>
  </w:style>
  <w:style w:type="paragraph" w:styleId="759">
    <w:name w:val="Heading 7"/>
    <w:basedOn w:val="919"/>
    <w:next w:val="919"/>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basedOn w:val="921"/>
    <w:link w:val="759"/>
    <w:uiPriority w:val="9"/>
    <w:rPr>
      <w:rFonts w:ascii="Arial" w:hAnsi="Arial" w:eastAsia="Arial" w:cs="Arial"/>
      <w:b/>
      <w:bCs/>
      <w:i/>
      <w:iCs/>
      <w:sz w:val="22"/>
      <w:szCs w:val="22"/>
    </w:rPr>
  </w:style>
  <w:style w:type="paragraph" w:styleId="761">
    <w:name w:val="Heading 8"/>
    <w:basedOn w:val="919"/>
    <w:next w:val="919"/>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basedOn w:val="921"/>
    <w:link w:val="761"/>
    <w:uiPriority w:val="9"/>
    <w:rPr>
      <w:rFonts w:ascii="Arial" w:hAnsi="Arial" w:eastAsia="Arial" w:cs="Arial"/>
      <w:i/>
      <w:iCs/>
      <w:sz w:val="22"/>
      <w:szCs w:val="22"/>
    </w:rPr>
  </w:style>
  <w:style w:type="paragraph" w:styleId="763">
    <w:name w:val="Heading 9"/>
    <w:basedOn w:val="919"/>
    <w:next w:val="919"/>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921"/>
    <w:link w:val="763"/>
    <w:uiPriority w:val="9"/>
    <w:rPr>
      <w:rFonts w:ascii="Arial" w:hAnsi="Arial" w:eastAsia="Arial" w:cs="Arial"/>
      <w:i/>
      <w:iCs/>
      <w:sz w:val="21"/>
      <w:szCs w:val="21"/>
    </w:rPr>
  </w:style>
  <w:style w:type="paragraph" w:styleId="765">
    <w:name w:val="No Spacing"/>
    <w:uiPriority w:val="1"/>
    <w:qFormat/>
    <w:pPr>
      <w:spacing w:before="0" w:after="0" w:line="240" w:lineRule="auto"/>
    </w:pPr>
  </w:style>
  <w:style w:type="paragraph" w:styleId="766">
    <w:name w:val="Title"/>
    <w:basedOn w:val="919"/>
    <w:next w:val="919"/>
    <w:link w:val="767"/>
    <w:uiPriority w:val="10"/>
    <w:qFormat/>
    <w:pPr>
      <w:contextualSpacing/>
      <w:spacing w:before="300" w:after="200"/>
    </w:pPr>
    <w:rPr>
      <w:sz w:val="48"/>
      <w:szCs w:val="48"/>
    </w:rPr>
  </w:style>
  <w:style w:type="character" w:styleId="767">
    <w:name w:val="Title Char"/>
    <w:basedOn w:val="921"/>
    <w:link w:val="766"/>
    <w:uiPriority w:val="10"/>
    <w:rPr>
      <w:sz w:val="48"/>
      <w:szCs w:val="48"/>
    </w:rPr>
  </w:style>
  <w:style w:type="paragraph" w:styleId="768">
    <w:name w:val="Subtitle"/>
    <w:basedOn w:val="919"/>
    <w:next w:val="919"/>
    <w:link w:val="769"/>
    <w:uiPriority w:val="11"/>
    <w:qFormat/>
    <w:pPr>
      <w:spacing w:before="200" w:after="200"/>
    </w:pPr>
    <w:rPr>
      <w:sz w:val="24"/>
      <w:szCs w:val="24"/>
    </w:rPr>
  </w:style>
  <w:style w:type="character" w:styleId="769">
    <w:name w:val="Subtitle Char"/>
    <w:basedOn w:val="921"/>
    <w:link w:val="768"/>
    <w:uiPriority w:val="11"/>
    <w:rPr>
      <w:sz w:val="24"/>
      <w:szCs w:val="24"/>
    </w:rPr>
  </w:style>
  <w:style w:type="paragraph" w:styleId="770">
    <w:name w:val="Quote"/>
    <w:basedOn w:val="919"/>
    <w:next w:val="919"/>
    <w:link w:val="771"/>
    <w:uiPriority w:val="29"/>
    <w:qFormat/>
    <w:pPr>
      <w:ind w:left="720" w:right="720"/>
    </w:pPr>
    <w:rPr>
      <w:i/>
    </w:rPr>
  </w:style>
  <w:style w:type="character" w:styleId="771">
    <w:name w:val="Quote Char"/>
    <w:link w:val="770"/>
    <w:uiPriority w:val="29"/>
    <w:rPr>
      <w:i/>
    </w:rPr>
  </w:style>
  <w:style w:type="paragraph" w:styleId="772">
    <w:name w:val="Intense Quote"/>
    <w:basedOn w:val="919"/>
    <w:next w:val="919"/>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character" w:styleId="774">
    <w:name w:val="Header Char"/>
    <w:basedOn w:val="921"/>
    <w:link w:val="941"/>
    <w:uiPriority w:val="99"/>
  </w:style>
  <w:style w:type="character" w:styleId="775">
    <w:name w:val="Footer Char"/>
    <w:basedOn w:val="921"/>
    <w:link w:val="951"/>
    <w:uiPriority w:val="99"/>
  </w:style>
  <w:style w:type="character" w:styleId="776">
    <w:name w:val="Caption Char"/>
    <w:basedOn w:val="938"/>
    <w:link w:val="951"/>
    <w:uiPriority w:val="99"/>
  </w:style>
  <w:style w:type="table" w:styleId="777">
    <w:name w:val="Table Grid Light"/>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basedOn w:val="9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basedOn w:val="9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basedOn w:val="9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basedOn w:val="9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basedOn w:val="9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basedOn w:val="9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basedOn w:val="9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basedOn w:val="9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basedOn w:val="9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basedOn w:val="9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basedOn w:val="9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basedOn w:val="9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basedOn w:val="9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basedOn w:val="9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basedOn w:val="9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basedOn w:val="9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basedOn w:val="9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basedOn w:val="9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basedOn w:val="9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basedOn w:val="9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basedOn w:val="9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basedOn w:val="9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basedOn w:val="9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basedOn w:val="9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basedOn w:val="9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basedOn w:val="9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basedOn w:val="9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basedOn w:val="9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basedOn w:val="9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basedOn w:val="9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basedOn w:val="9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basedOn w:val="9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basedOn w:val="921"/>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basedOn w:val="921"/>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qFormat/>
    <w:pPr>
      <w:widowControl w:val="off"/>
    </w:pPr>
    <w:rPr>
      <w:rFonts w:ascii="Times New Roman" w:hAnsi="Times New Roman" w:eastAsia="Times New Roman"/>
      <w:sz w:val="24"/>
      <w:szCs w:val="24"/>
    </w:rPr>
  </w:style>
  <w:style w:type="paragraph" w:styleId="920">
    <w:name w:val="Heading 2"/>
    <w:basedOn w:val="919"/>
    <w:next w:val="919"/>
    <w:qFormat/>
    <w:pPr>
      <w:jc w:val="center"/>
      <w:keepNext/>
      <w:widowControl/>
      <w:outlineLvl w:val="1"/>
    </w:pPr>
    <w:rPr>
      <w:b/>
      <w:sz w:val="44"/>
    </w:rPr>
  </w:style>
  <w:style w:type="character" w:styleId="921" w:default="1">
    <w:name w:val="Default Paragraph Font"/>
    <w:uiPriority w:val="1"/>
    <w:semiHidden/>
    <w:unhideWhenUsed/>
  </w:style>
  <w:style w:type="table" w:styleId="922" w:default="1">
    <w:name w:val="Normal Table"/>
    <w:uiPriority w:val="99"/>
    <w:semiHidden/>
    <w:unhideWhenUsed/>
    <w:tblPr>
      <w:tblInd w:w="0" w:type="dxa"/>
      <w:tblCellMar>
        <w:left w:w="108" w:type="dxa"/>
        <w:top w:w="0" w:type="dxa"/>
        <w:right w:w="108" w:type="dxa"/>
        <w:bottom w:w="0" w:type="dxa"/>
      </w:tblCellMar>
    </w:tblPr>
  </w:style>
  <w:style w:type="numbering" w:styleId="923" w:default="1">
    <w:name w:val="No List"/>
    <w:uiPriority w:val="99"/>
    <w:semiHidden/>
    <w:unhideWhenUsed/>
  </w:style>
  <w:style w:type="paragraph" w:styleId="924" w:customStyle="1">
    <w:name w:val="Style5"/>
    <w:basedOn w:val="919"/>
    <w:uiPriority w:val="99"/>
    <w:pPr>
      <w:spacing w:line="307" w:lineRule="exact"/>
    </w:pPr>
  </w:style>
  <w:style w:type="paragraph" w:styleId="925" w:customStyle="1">
    <w:name w:val="Style6"/>
    <w:basedOn w:val="919"/>
    <w:uiPriority w:val="99"/>
    <w:pPr>
      <w:ind w:firstLine="749"/>
      <w:spacing w:line="302" w:lineRule="exact"/>
    </w:pPr>
  </w:style>
  <w:style w:type="paragraph" w:styleId="926" w:customStyle="1">
    <w:name w:val="Style7"/>
    <w:basedOn w:val="919"/>
    <w:uiPriority w:val="99"/>
    <w:pPr>
      <w:jc w:val="both"/>
      <w:spacing w:line="298" w:lineRule="exact"/>
    </w:pPr>
  </w:style>
  <w:style w:type="paragraph" w:styleId="927" w:customStyle="1">
    <w:name w:val="Style8"/>
    <w:basedOn w:val="919"/>
    <w:uiPriority w:val="99"/>
  </w:style>
  <w:style w:type="paragraph" w:styleId="928" w:customStyle="1">
    <w:name w:val="Style9"/>
    <w:basedOn w:val="919"/>
    <w:uiPriority w:val="99"/>
    <w:pPr>
      <w:ind w:hanging="125"/>
      <w:spacing w:line="298" w:lineRule="exact"/>
    </w:pPr>
  </w:style>
  <w:style w:type="paragraph" w:styleId="929" w:customStyle="1">
    <w:name w:val="Style10"/>
    <w:basedOn w:val="919"/>
    <w:uiPriority w:val="99"/>
    <w:pPr>
      <w:ind w:firstLine="720"/>
      <w:jc w:val="both"/>
      <w:spacing w:line="288" w:lineRule="exact"/>
    </w:pPr>
  </w:style>
  <w:style w:type="paragraph" w:styleId="930" w:customStyle="1">
    <w:name w:val="Style11"/>
    <w:basedOn w:val="919"/>
    <w:uiPriority w:val="99"/>
  </w:style>
  <w:style w:type="paragraph" w:styleId="931" w:customStyle="1">
    <w:name w:val="Style12"/>
    <w:basedOn w:val="919"/>
    <w:uiPriority w:val="99"/>
    <w:pPr>
      <w:jc w:val="both"/>
      <w:spacing w:line="302" w:lineRule="exact"/>
    </w:pPr>
  </w:style>
  <w:style w:type="character" w:styleId="932" w:customStyle="1">
    <w:name w:val="Font Style18"/>
    <w:uiPriority w:val="99"/>
    <w:rPr>
      <w:rFonts w:ascii="Times New Roman" w:hAnsi="Times New Roman" w:cs="Times New Roman"/>
      <w:b/>
      <w:bCs/>
      <w:sz w:val="16"/>
      <w:szCs w:val="16"/>
    </w:rPr>
  </w:style>
  <w:style w:type="character" w:styleId="933" w:customStyle="1">
    <w:name w:val="Font Style19"/>
    <w:uiPriority w:val="99"/>
    <w:rPr>
      <w:rFonts w:ascii="Times New Roman" w:hAnsi="Times New Roman" w:cs="Times New Roman"/>
      <w:sz w:val="24"/>
      <w:szCs w:val="24"/>
    </w:rPr>
  </w:style>
  <w:style w:type="paragraph" w:styleId="934">
    <w:name w:val="List Paragraph"/>
    <w:basedOn w:val="919"/>
    <w:uiPriority w:val="34"/>
    <w:qFormat/>
    <w:pPr>
      <w:contextualSpacing/>
      <w:ind w:left="720"/>
    </w:pPr>
  </w:style>
  <w:style w:type="paragraph" w:styleId="935" w:customStyle="1">
    <w:name w:val="Style2"/>
    <w:basedOn w:val="919"/>
    <w:uiPriority w:val="99"/>
  </w:style>
  <w:style w:type="character" w:styleId="936" w:customStyle="1">
    <w:name w:val="Font Style13"/>
    <w:uiPriority w:val="99"/>
    <w:rPr>
      <w:rFonts w:ascii="Times New Roman" w:hAnsi="Times New Roman" w:cs="Times New Roman"/>
      <w:sz w:val="26"/>
      <w:szCs w:val="26"/>
    </w:rPr>
  </w:style>
  <w:style w:type="table" w:styleId="937">
    <w:name w:val="Table Grid"/>
    <w:basedOn w:val="92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38">
    <w:name w:val="Caption"/>
    <w:basedOn w:val="919"/>
    <w:next w:val="919"/>
    <w:qFormat/>
    <w:pPr>
      <w:jc w:val="center"/>
      <w:widowControl/>
    </w:pPr>
    <w:rPr>
      <w:b/>
      <w:sz w:val="32"/>
      <w:szCs w:val="20"/>
    </w:rPr>
  </w:style>
  <w:style w:type="character" w:styleId="939">
    <w:name w:val="Hyperlink"/>
    <w:rPr>
      <w:color w:val="0000ff"/>
      <w:u w:val="single"/>
    </w:rPr>
  </w:style>
  <w:style w:type="paragraph" w:styleId="94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919"/>
    <w:pPr>
      <w:jc w:val="right"/>
      <w:spacing w:after="160" w:line="240" w:lineRule="exact"/>
    </w:pPr>
    <w:rPr>
      <w:sz w:val="20"/>
      <w:szCs w:val="20"/>
      <w:lang w:val="en-GB" w:eastAsia="en-US"/>
    </w:rPr>
  </w:style>
  <w:style w:type="paragraph" w:styleId="941">
    <w:name w:val="Header"/>
    <w:basedOn w:val="919"/>
    <w:pPr>
      <w:widowControl/>
      <w:tabs>
        <w:tab w:val="center" w:pos="4677" w:leader="none"/>
        <w:tab w:val="right" w:pos="9355" w:leader="none"/>
      </w:tabs>
    </w:pPr>
    <w:rPr>
      <w:sz w:val="28"/>
      <w:szCs w:val="20"/>
    </w:rPr>
  </w:style>
  <w:style w:type="paragraph" w:styleId="942">
    <w:name w:val="Body Text Indent 2"/>
    <w:basedOn w:val="919"/>
    <w:link w:val="945"/>
    <w:pPr>
      <w:ind w:firstLine="851"/>
      <w:jc w:val="both"/>
      <w:widowControl/>
    </w:pPr>
    <w:rPr>
      <w:sz w:val="28"/>
      <w:szCs w:val="20"/>
    </w:rPr>
  </w:style>
  <w:style w:type="paragraph" w:styleId="943">
    <w:name w:val="Body Text"/>
    <w:basedOn w:val="919"/>
    <w:link w:val="944"/>
    <w:pPr>
      <w:spacing w:after="120"/>
      <w:widowControl/>
    </w:pPr>
    <w:rPr>
      <w:sz w:val="20"/>
      <w:szCs w:val="20"/>
    </w:rPr>
  </w:style>
  <w:style w:type="character" w:styleId="944" w:customStyle="1">
    <w:name w:val="Основной текст Знак"/>
    <w:link w:val="943"/>
    <w:rPr>
      <w:lang w:val="ru-RU" w:eastAsia="ru-RU" w:bidi="ar-SA"/>
    </w:rPr>
  </w:style>
  <w:style w:type="character" w:styleId="945" w:customStyle="1">
    <w:name w:val="Основной текст с отступом 2 Знак"/>
    <w:link w:val="942"/>
    <w:rPr>
      <w:sz w:val="28"/>
      <w:lang w:bidi="ar-SA"/>
    </w:rPr>
  </w:style>
  <w:style w:type="paragraph" w:styleId="946">
    <w:name w:val="Normal (Web)"/>
    <w:basedOn w:val="919"/>
    <w:pPr>
      <w:spacing w:before="100" w:beforeAutospacing="1" w:after="100" w:afterAutospacing="1"/>
      <w:widowControl/>
    </w:pPr>
  </w:style>
  <w:style w:type="paragraph" w:styleId="947">
    <w:name w:val="Body Text Indent"/>
    <w:basedOn w:val="919"/>
    <w:pPr>
      <w:ind w:left="283"/>
      <w:spacing w:after="120"/>
    </w:pPr>
  </w:style>
  <w:style w:type="paragraph" w:styleId="948">
    <w:name w:val="Balloon Text"/>
    <w:basedOn w:val="919"/>
    <w:link w:val="949"/>
    <w:uiPriority w:val="99"/>
    <w:semiHidden/>
    <w:unhideWhenUsed/>
    <w:rPr>
      <w:rFonts w:ascii="Tahoma" w:hAnsi="Tahoma" w:cs="Tahoma"/>
      <w:sz w:val="16"/>
      <w:szCs w:val="16"/>
    </w:rPr>
  </w:style>
  <w:style w:type="character" w:styleId="949" w:customStyle="1">
    <w:name w:val="Текст выноски Знак"/>
    <w:link w:val="948"/>
    <w:uiPriority w:val="99"/>
    <w:semiHidden/>
    <w:rPr>
      <w:rFonts w:ascii="Tahoma" w:hAnsi="Tahoma" w:eastAsia="Times New Roman" w:cs="Tahoma"/>
      <w:sz w:val="16"/>
      <w:szCs w:val="16"/>
    </w:rPr>
  </w:style>
  <w:style w:type="paragraph" w:styleId="950" w:customStyle="1">
    <w:name w:val="ConsPlusNormal"/>
    <w:link w:val="953"/>
    <w:pPr>
      <w:widowControl w:val="off"/>
    </w:pPr>
    <w:rPr>
      <w:rFonts w:eastAsia="Times New Roman" w:cs="Calibri"/>
      <w:sz w:val="22"/>
    </w:rPr>
  </w:style>
  <w:style w:type="paragraph" w:styleId="951">
    <w:name w:val="Footer"/>
    <w:basedOn w:val="919"/>
    <w:link w:val="952"/>
    <w:uiPriority w:val="99"/>
    <w:unhideWhenUsed/>
    <w:pPr>
      <w:tabs>
        <w:tab w:val="center" w:pos="4677" w:leader="none"/>
        <w:tab w:val="right" w:pos="9355" w:leader="none"/>
      </w:tabs>
    </w:pPr>
  </w:style>
  <w:style w:type="character" w:styleId="952" w:customStyle="1">
    <w:name w:val="Нижний колонтитул Знак"/>
    <w:basedOn w:val="921"/>
    <w:link w:val="951"/>
    <w:uiPriority w:val="99"/>
    <w:rPr>
      <w:rFonts w:ascii="Times New Roman" w:hAnsi="Times New Roman" w:eastAsia="Times New Roman"/>
      <w:sz w:val="24"/>
      <w:szCs w:val="24"/>
    </w:rPr>
  </w:style>
  <w:style w:type="character" w:styleId="953" w:customStyle="1">
    <w:name w:val="ConsPlusNormal Знак"/>
    <w:link w:val="950"/>
    <w:rPr>
      <w:rFonts w:eastAsia="Times New Roman" w:cs="Calibri"/>
      <w:sz w:val="22"/>
    </w:rPr>
  </w:style>
  <w:style w:type="character" w:styleId="954" w:customStyle="1">
    <w:name w:val="Другое_"/>
    <w:basedOn w:val="921"/>
    <w:link w:val="955"/>
    <w:rPr>
      <w:rFonts w:ascii="Times New Roman" w:hAnsi="Times New Roman" w:eastAsia="Times New Roman"/>
      <w:sz w:val="17"/>
      <w:szCs w:val="17"/>
      <w:shd w:val="clear" w:color="auto" w:fill="ffffff"/>
    </w:rPr>
  </w:style>
  <w:style w:type="paragraph" w:styleId="955" w:customStyle="1">
    <w:name w:val="Другое"/>
    <w:basedOn w:val="919"/>
    <w:link w:val="954"/>
    <w:pPr>
      <w:jc w:val="center"/>
      <w:shd w:val="clear" w:color="auto" w:fill="ffffff"/>
    </w:pPr>
    <w:rPr>
      <w:sz w:val="17"/>
      <w:szCs w:val="17"/>
    </w:rPr>
  </w:style>
  <w:style w:type="character" w:styleId="956" w:customStyle="1">
    <w:name w:val="x1a"/>
    <w:basedOn w:val="921"/>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hyperlink" Target="https://pechengamr.gov-murman.ru/" TargetMode="External"/><Relationship Id="rId13" Type="http://schemas.openxmlformats.org/officeDocument/2006/relationships/hyperlink" Target="http://www.bus.gov.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DE9AE-F997-49B6-B5C5-B6A90D25D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13</cp:revision>
  <dcterms:created xsi:type="dcterms:W3CDTF">2025-03-14T09:20:00Z</dcterms:created>
  <dcterms:modified xsi:type="dcterms:W3CDTF">2025-03-24T07:00:41Z</dcterms:modified>
</cp:coreProperties>
</file>