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28.03.2025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494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муниципальную программу «</w:t>
      </w:r>
      <w:r>
        <w:rPr>
          <w:b/>
        </w:rPr>
        <w:t xml:space="preserve">Обеспечение общественного порядка и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безопасности населения</w:t>
      </w:r>
      <w:r>
        <w:rPr>
          <w:b/>
        </w:rPr>
        <w:t xml:space="preserve">» на 202</w:t>
      </w:r>
      <w:r>
        <w:rPr>
          <w:b/>
        </w:rPr>
        <w:t xml:space="preserve">5 </w:t>
      </w:r>
      <w:r>
        <w:rPr>
          <w:b/>
        </w:rPr>
        <w:t xml:space="preserve">- 202</w:t>
      </w:r>
      <w:r>
        <w:rPr>
          <w:b/>
        </w:rPr>
        <w:t xml:space="preserve">7</w:t>
      </w:r>
      <w:r>
        <w:rPr>
          <w:b/>
        </w:rPr>
        <w:t xml:space="preserve"> годы, </w:t>
      </w:r>
      <w:r>
        <w:rPr>
          <w:b/>
        </w:rPr>
        <w:t xml:space="preserve">утвержденную</w:t>
      </w:r>
      <w:r>
        <w:rPr>
          <w:b/>
        </w:rPr>
        <w:t xml:space="preserve"> </w:t>
      </w:r>
      <w:r>
        <w:rPr>
          <w:b/>
        </w:rPr>
        <w:t xml:space="preserve">постановлени</w:t>
      </w:r>
      <w:r>
        <w:rPr>
          <w:b/>
        </w:rPr>
        <w:t xml:space="preserve">ем</w:t>
      </w:r>
      <w:r>
        <w:rPr>
          <w:b/>
        </w:rPr>
        <w:t xml:space="preserve"> </w:t>
      </w:r>
      <w:r>
        <w:rPr>
          <w:b/>
        </w:rPr>
        <w:t xml:space="preserve">администрации</w:t>
      </w:r>
      <w:r>
        <w:rPr>
          <w:b/>
        </w:rPr>
        <w:t xml:space="preserve"> </w:t>
      </w:r>
      <w:r>
        <w:rPr>
          <w:b/>
        </w:rPr>
        <w:t xml:space="preserve">Печенгск</w:t>
      </w:r>
      <w:r>
        <w:rPr>
          <w:b/>
        </w:rPr>
        <w:t xml:space="preserve">ого муниципального округа</w:t>
      </w:r>
      <w:r>
        <w:rPr>
          <w:b/>
        </w:rPr>
        <w:t xml:space="preserve"> от </w:t>
      </w:r>
      <w:r>
        <w:rPr>
          <w:b/>
        </w:rPr>
        <w:t xml:space="preserve">0</w:t>
      </w:r>
      <w:r>
        <w:rPr>
          <w:b/>
        </w:rPr>
        <w:t xml:space="preserve">1</w:t>
      </w:r>
      <w:r>
        <w:rPr>
          <w:b/>
        </w:rPr>
        <w:t xml:space="preserve">.</w:t>
      </w:r>
      <w:r>
        <w:rPr>
          <w:b/>
        </w:rPr>
        <w:t xml:space="preserve">1</w:t>
      </w:r>
      <w:r>
        <w:rPr>
          <w:b/>
        </w:rPr>
        <w:t xml:space="preserve">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</w:t>
      </w:r>
      <w:r>
        <w:rPr>
          <w:b/>
        </w:rPr>
        <w:t xml:space="preserve">712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</w:t>
      </w:r>
      <w:r>
        <w:rPr>
          <w:rFonts w:eastAsia="Times New Roman"/>
          <w:sz w:val="24"/>
          <w:szCs w:val="24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eastAsia="Times New Roman"/>
          <w:sz w:val="24"/>
          <w:szCs w:val="24"/>
        </w:rPr>
        <w:t xml:space="preserve">я</w:t>
      </w:r>
      <w:r>
        <w:rPr>
          <w:rFonts w:eastAsia="Times New Roman"/>
          <w:sz w:val="24"/>
          <w:szCs w:val="24"/>
        </w:rPr>
        <w:t xml:space="preserve">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9"/>
        <w:numPr>
          <w:ilvl w:val="0"/>
          <w:numId w:val="12"/>
        </w:numPr>
        <w:ind w:left="0" w:righ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</w:t>
      </w:r>
      <w:r>
        <w:rPr>
          <w:bCs/>
          <w:sz w:val="24"/>
          <w:szCs w:val="24"/>
        </w:rPr>
        <w:t xml:space="preserve">5 </w:t>
      </w:r>
      <w:r>
        <w:rPr>
          <w:bCs/>
          <w:sz w:val="24"/>
          <w:szCs w:val="24"/>
        </w:rPr>
        <w:t xml:space="preserve">- 202</w:t>
      </w: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 годы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утвержденную</w:t>
      </w:r>
      <w:r>
        <w:rPr>
          <w:sz w:val="24"/>
          <w:szCs w:val="24"/>
        </w:rPr>
        <w:t xml:space="preserve"> постановлением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712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14.11.2024 </w:t>
        <w:br/>
        <w:t xml:space="preserve">№ 1786)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-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9"/>
        <w:numPr>
          <w:ilvl w:val="0"/>
          <w:numId w:val="13"/>
        </w:numPr>
        <w:ind w:left="0" w:righ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строке </w:t>
      </w:r>
      <w:r>
        <w:rPr>
          <w:sz w:val="24"/>
          <w:szCs w:val="24"/>
        </w:rPr>
        <w:t xml:space="preserve">«Показатели программы» паспорт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Программы пункт 42</w:t>
      </w:r>
      <w:r>
        <w:rPr>
          <w:sz w:val="24"/>
          <w:szCs w:val="24"/>
        </w:rPr>
        <w:t xml:space="preserve"> признать утратившим силу;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9"/>
        <w:numPr>
          <w:ilvl w:val="0"/>
          <w:numId w:val="13"/>
        </w:numPr>
        <w:ind w:left="0" w:right="0" w:firstLine="709"/>
        <w:jc w:val="both"/>
        <w:widowControl w:val="off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строке</w:t>
      </w:r>
      <w:r>
        <w:rPr>
          <w:sz w:val="24"/>
          <w:szCs w:val="24"/>
        </w:rPr>
        <w:t xml:space="preserve"> «Исполнители программы» паспорта Программы </w:t>
      </w:r>
      <w:r>
        <w:rPr>
          <w:sz w:val="24"/>
          <w:szCs w:val="24"/>
        </w:rPr>
        <w:t xml:space="preserve">слова </w:t>
      </w:r>
      <w:r>
        <w:rPr>
          <w:sz w:val="24"/>
          <w:szCs w:val="24"/>
        </w:rPr>
        <w:t xml:space="preserve">«муниципальное </w:t>
      </w:r>
      <w:r>
        <w:rPr>
          <w:rFonts w:eastAsia="Times New Roman"/>
          <w:sz w:val="24"/>
          <w:szCs w:val="24"/>
        </w:rPr>
        <w:t xml:space="preserve">бюджетное учреждение дополнительного образования «Детская музыкальная школа № 2» (далее </w:t>
      </w:r>
      <w:r>
        <w:rPr>
          <w:rFonts w:eastAsia="Times New Roman"/>
          <w:sz w:val="24"/>
          <w:szCs w:val="24"/>
        </w:rPr>
        <w:t xml:space="preserve">–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МБУ ДО «</w:t>
      </w:r>
      <w:r>
        <w:rPr>
          <w:rFonts w:eastAsia="Times New Roman"/>
          <w:sz w:val="24"/>
          <w:szCs w:val="24"/>
        </w:rPr>
        <w:t xml:space="preserve">ДМШ № 2</w:t>
      </w:r>
      <w:r>
        <w:rPr>
          <w:rFonts w:eastAsia="Times New Roman"/>
          <w:sz w:val="24"/>
          <w:szCs w:val="24"/>
        </w:rPr>
        <w:t xml:space="preserve">»</w:t>
      </w:r>
      <w:r>
        <w:rPr>
          <w:rFonts w:eastAsia="Times New Roman"/>
          <w:sz w:val="24"/>
          <w:szCs w:val="24"/>
        </w:rPr>
        <w:t xml:space="preserve">)</w:t>
      </w:r>
      <w:r>
        <w:rPr>
          <w:rFonts w:eastAsia="Times New Roman"/>
          <w:sz w:val="24"/>
          <w:szCs w:val="24"/>
        </w:rPr>
        <w:t xml:space="preserve">,</w:t>
      </w:r>
      <w:r>
        <w:rPr>
          <w:rFonts w:eastAsia="Times New Roman"/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исключить</w:t>
      </w:r>
      <w:r>
        <w:rPr>
          <w:rFonts w:eastAsia="Times New Roman"/>
          <w:sz w:val="24"/>
          <w:szCs w:val="24"/>
        </w:rPr>
        <w:t xml:space="preserve">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9"/>
        <w:numPr>
          <w:ilvl w:val="0"/>
          <w:numId w:val="13"/>
        </w:numPr>
        <w:ind w:left="0" w:right="0" w:firstLine="709"/>
        <w:jc w:val="both"/>
        <w:tabs>
          <w:tab w:val="left" w:pos="0" w:leader="none"/>
          <w:tab w:val="left" w:pos="851" w:leader="none"/>
          <w:tab w:val="left" w:pos="993" w:leader="none"/>
          <w:tab w:val="left" w:pos="1134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пункт</w:t>
      </w:r>
      <w:r>
        <w:rPr>
          <w:sz w:val="24"/>
          <w:szCs w:val="24"/>
        </w:rPr>
        <w:t xml:space="preserve"> 2.3.10</w:t>
      </w:r>
      <w:r>
        <w:rPr>
          <w:sz w:val="24"/>
          <w:szCs w:val="24"/>
        </w:rPr>
        <w:t xml:space="preserve"> признать утратившим силу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9"/>
        <w:numPr>
          <w:ilvl w:val="0"/>
          <w:numId w:val="13"/>
        </w:numPr>
        <w:ind w:left="0" w:righ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строке </w:t>
      </w:r>
      <w:r>
        <w:rPr>
          <w:sz w:val="24"/>
          <w:szCs w:val="24"/>
        </w:rPr>
        <w:t xml:space="preserve">«Показатели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рограммы» паспорт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3</w:t>
      </w:r>
      <w:r>
        <w:rPr>
          <w:sz w:val="24"/>
          <w:szCs w:val="24"/>
        </w:rPr>
        <w:t xml:space="preserve"> пункт 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 признать утратившим силу;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9"/>
        <w:numPr>
          <w:ilvl w:val="0"/>
          <w:numId w:val="13"/>
        </w:num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строку «Финансовое обеспечение подпрограммы» паспорта подпрограммы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Обеспечение защиты населения и территорий от чрезвычайных ситуаций</w:t>
      </w:r>
      <w:r>
        <w:rPr>
          <w:sz w:val="24"/>
          <w:szCs w:val="24"/>
        </w:rPr>
        <w:t xml:space="preserve">» </w:t>
        <w:br/>
        <w:t xml:space="preserve">(далее – Подпрограмма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05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98"/>
        <w:gridCol w:w="7507"/>
      </w:tblGrid>
      <w:tr>
        <w:tblPrEx/>
        <w:trPr>
          <w:jc w:val="center"/>
          <w:trHeight w:val="4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</w:t>
            </w:r>
            <w:r>
              <w:rPr>
                <w:sz w:val="24"/>
                <w:szCs w:val="24"/>
              </w:rPr>
              <w:t xml:space="preserve">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7" w:type="dxa"/>
            <w:textDirection w:val="lrTb"/>
            <w:noWrap w:val="false"/>
          </w:tcPr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299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59299,6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20780,1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19253,5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19266,0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9"/>
        <w:numPr>
          <w:ilvl w:val="0"/>
          <w:numId w:val="14"/>
        </w:numPr>
        <w:ind w:left="0" w:right="0" w:firstLine="709"/>
        <w:jc w:val="both"/>
        <w:widowControl w:val="off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в строке</w:t>
      </w:r>
      <w:r>
        <w:rPr>
          <w:sz w:val="24"/>
          <w:szCs w:val="24"/>
        </w:rPr>
        <w:t xml:space="preserve"> «Исполнители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рограммы» паспорта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3 слова </w:t>
        <w:br/>
      </w:r>
      <w:r>
        <w:rPr>
          <w:sz w:val="24"/>
          <w:szCs w:val="24"/>
        </w:rPr>
        <w:t xml:space="preserve">«, МБУ ДО «</w:t>
      </w:r>
      <w:r>
        <w:rPr>
          <w:rFonts w:eastAsia="Times New Roman"/>
          <w:sz w:val="24"/>
          <w:szCs w:val="24"/>
        </w:rPr>
        <w:t xml:space="preserve">ДМШ № 2»</w:t>
      </w:r>
      <w:r>
        <w:rPr>
          <w:rFonts w:eastAsia="Times New Roman"/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исключить</w:t>
      </w:r>
      <w:r>
        <w:rPr>
          <w:rFonts w:eastAsia="Times New Roman"/>
          <w:sz w:val="24"/>
          <w:szCs w:val="24"/>
        </w:rPr>
        <w:t xml:space="preserve">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9"/>
        <w:numPr>
          <w:ilvl w:val="0"/>
          <w:numId w:val="14"/>
        </w:numPr>
        <w:ind w:left="0" w:righ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строк</w:t>
      </w:r>
      <w:r>
        <w:rPr>
          <w:rFonts w:eastAsia="Times New Roman"/>
          <w:sz w:val="24"/>
          <w:szCs w:val="24"/>
        </w:rPr>
        <w:t xml:space="preserve">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3.1.2</w:t>
      </w:r>
      <w:r>
        <w:rPr>
          <w:rFonts w:eastAsia="Times New Roman"/>
          <w:sz w:val="24"/>
          <w:szCs w:val="24"/>
        </w:rPr>
        <w:t xml:space="preserve">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5</w:t>
      </w:r>
      <w:r>
        <w:rPr>
          <w:rFonts w:eastAsia="Times New Roman"/>
          <w:sz w:val="24"/>
          <w:szCs w:val="24"/>
        </w:rPr>
        <w:t xml:space="preserve"> и</w:t>
      </w:r>
      <w:r>
        <w:rPr>
          <w:rFonts w:eastAsia="Times New Roman"/>
          <w:sz w:val="24"/>
          <w:szCs w:val="24"/>
        </w:rPr>
        <w:t xml:space="preserve"> «Итого по основному мероприятию 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  <w:t xml:space="preserve">»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850"/>
        <w:gridCol w:w="993"/>
        <w:gridCol w:w="992"/>
        <w:gridCol w:w="992"/>
        <w:gridCol w:w="992"/>
        <w:gridCol w:w="851"/>
      </w:tblGrid>
      <w:tr>
        <w:tblPrEx/>
        <w:trPr>
          <w:trHeight w:val="22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«3.1.2.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Установка в местах массового отдыха людей на водных объектах наглядной агитации по профилактике несчастных случаев на воде, пропаганде здорового образа жизни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</w:t>
            </w:r>
            <w:r>
              <w:rPr>
                <w:rFonts w:eastAsia="Times New Roman"/>
                <w:spacing w:val="1"/>
              </w:rPr>
              <w:t xml:space="preserve">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Отчет ГО, ЧС и ПБ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</w:t>
            </w:r>
            <w:r>
              <w:rPr>
                <w:rFonts w:eastAsia="Times New Roman"/>
                <w:spacing w:val="1"/>
              </w:rPr>
              <w:t xml:space="preserve">0,</w:t>
            </w:r>
            <w:r>
              <w:rPr>
                <w:rFonts w:eastAsia="Times New Roman"/>
                <w:spacing w:val="1"/>
              </w:rPr>
              <w:t xml:space="preserve">1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</w:t>
            </w:r>
            <w:r>
              <w:rPr>
                <w:rFonts w:eastAsia="Times New Roman"/>
                <w:spacing w:val="1"/>
              </w:rPr>
              <w:t xml:space="preserve">0,</w:t>
            </w:r>
            <w:r>
              <w:rPr>
                <w:rFonts w:eastAsia="Times New Roman"/>
                <w:spacing w:val="1"/>
              </w:rPr>
              <w:t xml:space="preserve">1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</w:t>
            </w:r>
            <w:r>
              <w:rPr>
                <w:rFonts w:eastAsia="Times New Roman"/>
                <w:b/>
                <w:spacing w:val="1"/>
              </w:rPr>
              <w:t xml:space="preserve">0,</w:t>
            </w:r>
            <w:r>
              <w:rPr>
                <w:rFonts w:eastAsia="Times New Roman"/>
                <w:b/>
                <w:spacing w:val="1"/>
              </w:rPr>
              <w:t xml:space="preserve">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</w:t>
            </w:r>
            <w:r>
              <w:rPr>
                <w:rFonts w:eastAsia="Times New Roman"/>
                <w:b/>
                <w:spacing w:val="1"/>
              </w:rPr>
              <w:t xml:space="preserve">0,</w:t>
            </w:r>
            <w:r>
              <w:rPr>
                <w:rFonts w:eastAsia="Times New Roman"/>
                <w:b/>
                <w:spacing w:val="1"/>
              </w:rPr>
              <w:t xml:space="preserve">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3.1.5.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Отчет ГО, ЧС и ПБ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3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основному мероприятию 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</w:t>
            </w: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0,</w:t>
            </w: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0,</w:t>
            </w: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</w:t>
            </w: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0,</w:t>
            </w: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0,</w:t>
            </w: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  <w:t xml:space="preserve">»;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9"/>
        <w:numPr>
          <w:ilvl w:val="0"/>
          <w:numId w:val="15"/>
        </w:numPr>
        <w:ind w:left="0" w:righ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строки </w:t>
      </w:r>
      <w:r>
        <w:rPr>
          <w:rFonts w:eastAsia="Times New Roman"/>
          <w:sz w:val="24"/>
          <w:szCs w:val="24"/>
        </w:rPr>
        <w:t xml:space="preserve">3.</w:t>
      </w: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  <w:t xml:space="preserve">, «Итого по основному мероприятию </w:t>
      </w: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» и «Всего по подпрограмме 3» таблицы 1 «Перечень мероприятий подпрограммы с объемом финансирования» к Подпрограмме 3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992"/>
        <w:gridCol w:w="993"/>
        <w:gridCol w:w="992"/>
        <w:gridCol w:w="992"/>
        <w:gridCol w:w="992"/>
        <w:gridCol w:w="851"/>
      </w:tblGrid>
      <w:tr>
        <w:tblPrEx/>
        <w:trPr>
          <w:trHeight w:val="22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«3.2.1.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Приобретение противопожарного, спасательного оборудования, </w:t>
            </w:r>
            <w:r>
              <w:rPr>
                <w:rFonts w:eastAsia="Times New Roman"/>
                <w:spacing w:val="1"/>
              </w:rPr>
              <w:t xml:space="preserve">СИЗ</w:t>
            </w:r>
            <w:r>
              <w:rPr>
                <w:rFonts w:eastAsia="Times New Roman"/>
                <w:spacing w:val="1"/>
              </w:rPr>
              <w:t xml:space="preserve"> и другого имущества для создания резерва администрации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Отчет ГО, ЧС и ПБ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279,9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79,9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10</w:t>
            </w: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10</w:t>
            </w: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279,9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79,9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основному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 мероприятию </w:t>
            </w:r>
            <w:r>
              <w:rPr>
                <w:rFonts w:eastAsia="Times New Roman"/>
                <w:b/>
                <w:spacing w:val="1"/>
              </w:rPr>
              <w:t xml:space="preserve">2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  <w:lang w:val="en-US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  <w:lang w:val="en-US"/>
              </w:rPr>
            </w:r>
            <w:r>
              <w:rPr>
                <w:rFonts w:eastAsia="Times New Roman"/>
                <w:b/>
                <w:spacing w:val="1"/>
                <w:lang w:val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587</w:t>
            </w:r>
            <w:r>
              <w:rPr>
                <w:rFonts w:eastAsia="Times New Roman"/>
                <w:b/>
                <w:spacing w:val="1"/>
              </w:rPr>
              <w:t xml:space="preserve">7</w:t>
            </w:r>
            <w:r>
              <w:rPr>
                <w:rFonts w:eastAsia="Times New Roman"/>
                <w:b/>
                <w:spacing w:val="1"/>
              </w:rPr>
              <w:t xml:space="preserve">9,</w:t>
            </w:r>
            <w:r>
              <w:rPr>
                <w:rFonts w:eastAsia="Times New Roman"/>
                <w:b/>
                <w:spacing w:val="1"/>
              </w:rPr>
              <w:t xml:space="preserve">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204</w:t>
            </w:r>
            <w:r>
              <w:rPr>
                <w:rFonts w:eastAsia="Times New Roman"/>
                <w:b/>
                <w:spacing w:val="1"/>
              </w:rPr>
              <w:t xml:space="preserve">60,0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19153,5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19166,0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58779,5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204</w:t>
            </w:r>
            <w:r>
              <w:rPr>
                <w:rFonts w:eastAsia="Times New Roman"/>
                <w:b/>
                <w:spacing w:val="1"/>
              </w:rPr>
              <w:t xml:space="preserve">60,0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19153,5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19166,0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3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59299,6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20780,1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19253,5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19266,0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59299,6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20780,1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19253,5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19266,0</w:t>
            </w:r>
            <w:r>
              <w:rPr>
                <w:rFonts w:eastAsia="Times New Roman"/>
                <w:b/>
                <w:spacing w:val="1"/>
              </w:rPr>
              <w:t xml:space="preserve">»;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9"/>
        <w:numPr>
          <w:ilvl w:val="0"/>
          <w:numId w:val="16"/>
        </w:numPr>
        <w:ind w:left="0" w:right="0"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строку 3.1.5 таблицы 2 «</w:t>
      </w:r>
      <w:r>
        <w:rPr>
          <w:sz w:val="24"/>
          <w:szCs w:val="24"/>
        </w:rPr>
        <w:t xml:space="preserve">Перечень мероприятий подпрограммы с показателями результативности выполнения мероприятий» к Подпрограмме 3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85"/>
        <w:tblW w:w="9356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851"/>
        <w:gridCol w:w="1843"/>
        <w:gridCol w:w="567"/>
        <w:gridCol w:w="708"/>
        <w:gridCol w:w="709"/>
        <w:gridCol w:w="709"/>
        <w:gridCol w:w="1134"/>
      </w:tblGrid>
      <w:tr>
        <w:tblPrEx/>
        <w:trPr>
          <w:trHeight w:val="1255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«3.1.5.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2025-2027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Недопущение распространения огня (при лесном пожаре) на жилые постройки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Да/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нет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ПБ»;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pStyle w:val="879"/>
        <w:numPr>
          <w:ilvl w:val="0"/>
          <w:numId w:val="17"/>
        </w:numPr>
        <w:ind w:left="0" w:right="0" w:firstLine="709"/>
        <w:jc w:val="both"/>
        <w:tabs>
          <w:tab w:val="left" w:pos="-142" w:leader="none"/>
          <w:tab w:val="left" w:pos="709" w:leader="none"/>
          <w:tab w:val="left" w:pos="851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2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строку «Финансовое обеспечение подпрограммы» паспорта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одпрограммы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«Противодействие терроризму и профилактика экстремизма» (далее – Подпрограмма 4)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05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98"/>
        <w:gridCol w:w="7507"/>
      </w:tblGrid>
      <w:tr>
        <w:tblPrEx/>
        <w:trPr>
          <w:jc w:val="center"/>
          <w:trHeight w:val="4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7" w:type="dxa"/>
            <w:textDirection w:val="lrTb"/>
            <w:noWrap w:val="false"/>
          </w:tcPr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3 920,0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3660,0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130,0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130,0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9"/>
        <w:numPr>
          <w:ilvl w:val="0"/>
          <w:numId w:val="18"/>
        </w:numPr>
        <w:ind w:left="0" w:right="0"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/>
      <w:bookmarkStart w:id="0" w:name="_GoBack"/>
      <w:r/>
      <w:bookmarkEnd w:id="0"/>
      <w:r>
        <w:rPr>
          <w:sz w:val="24"/>
          <w:szCs w:val="24"/>
        </w:rPr>
        <w:t xml:space="preserve">строку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 xml:space="preserve">«Итого по основному мероприятию </w:t>
      </w: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»</w:t>
      </w:r>
      <w:r>
        <w:rPr>
          <w:rFonts w:eastAsia="Times New Roman"/>
          <w:sz w:val="24"/>
          <w:szCs w:val="24"/>
        </w:rPr>
        <w:t xml:space="preserve"> и «Всего по подпрограмме 4</w:t>
      </w:r>
      <w:r>
        <w:rPr>
          <w:rFonts w:eastAsia="Times New Roman"/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1 «Перечень мероприятий подпрограммы с</w:t>
      </w:r>
      <w:r>
        <w:rPr>
          <w:sz w:val="24"/>
          <w:szCs w:val="24"/>
        </w:rPr>
        <w:t xml:space="preserve"> объемом финансирования»</w:t>
      </w:r>
      <w:r>
        <w:rPr>
          <w:sz w:val="24"/>
          <w:szCs w:val="24"/>
        </w:rPr>
        <w:t xml:space="preserve"> П</w:t>
      </w:r>
      <w:r>
        <w:rPr>
          <w:sz w:val="24"/>
          <w:szCs w:val="24"/>
        </w:rPr>
        <w:t xml:space="preserve">одпрограммы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709"/>
        <w:gridCol w:w="992"/>
        <w:gridCol w:w="992"/>
        <w:gridCol w:w="992"/>
        <w:gridCol w:w="993"/>
        <w:gridCol w:w="1134"/>
        <w:gridCol w:w="992"/>
      </w:tblGrid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«4.2.1.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Мероприятия по усилению антитеррористической защищенности объектов, находящихся в ведении Печенгского </w:t>
            </w:r>
            <w:r>
              <w:rPr>
                <w:rFonts w:eastAsia="Times New Roman"/>
                <w:spacing w:val="1"/>
              </w:rPr>
              <w:t xml:space="preserve">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Отдел ГО, ЧС и ПБ;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образовательные организации; МБКПУ «</w:t>
            </w:r>
            <w:r>
              <w:rPr>
                <w:rFonts w:eastAsia="Times New Roman"/>
                <w:spacing w:val="1"/>
              </w:rPr>
              <w:t xml:space="preserve">Печенг</w:t>
            </w:r>
            <w:r>
              <w:rPr>
                <w:rFonts w:eastAsia="Times New Roman"/>
                <w:spacing w:val="1"/>
              </w:rPr>
              <w:t xml:space="preserve">ское</w:t>
            </w:r>
            <w:r>
              <w:rPr>
                <w:rFonts w:eastAsia="Times New Roman"/>
                <w:spacing w:val="1"/>
              </w:rPr>
              <w:t xml:space="preserve"> МБО»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3530,0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3530,0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3530,0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3530,0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основному мероприятию 2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3530,0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3530,0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3530,0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3530,0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3920,0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3660,0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3920,0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3660,0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130,0</w:t>
            </w:r>
            <w:r>
              <w:rPr>
                <w:b/>
              </w:rPr>
              <w:t xml:space="preserve">»</w:t>
            </w:r>
            <w:r>
              <w:rPr>
                <w:b/>
              </w:rPr>
              <w:t xml:space="preserve">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pStyle w:val="879"/>
        <w:numPr>
          <w:ilvl w:val="0"/>
          <w:numId w:val="19"/>
        </w:numPr>
        <w:ind w:left="0" w:right="0"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eastAsia="Times New Roman"/>
          <w:sz w:val="24"/>
          <w:szCs w:val="24"/>
        </w:rPr>
        <w:t xml:space="preserve">Настоящее постановление вступает в силу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после его подписания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9"/>
        <w:numPr>
          <w:ilvl w:val="0"/>
          <w:numId w:val="20"/>
        </w:numPr>
        <w:ind w:left="0" w:right="0"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sz w:val="24"/>
        </w:rPr>
        <w:t xml:space="preserve">Настоящее постановление опубликова</w:t>
      </w:r>
      <w:r>
        <w:rPr>
          <w:sz w:val="24"/>
        </w:rPr>
        <w:t xml:space="preserve">ть</w:t>
      </w:r>
      <w:r>
        <w:rPr>
          <w:sz w:val="24"/>
        </w:rPr>
        <w:t xml:space="preserve"> в</w:t>
      </w:r>
      <w:r>
        <w:rPr>
          <w:sz w:val="24"/>
        </w:rPr>
        <w:t xml:space="preserve"> официальном издании</w:t>
      </w:r>
      <w:r>
        <w:rPr>
          <w:sz w:val="24"/>
        </w:rPr>
        <w:t xml:space="preserve"> газет</w:t>
      </w:r>
      <w:r>
        <w:rPr>
          <w:sz w:val="24"/>
        </w:rPr>
        <w:t xml:space="preserve">а</w:t>
      </w:r>
      <w:r>
        <w:rPr>
          <w:sz w:val="24"/>
        </w:rPr>
        <w:t xml:space="preserve"> «Печенга» и разме</w:t>
      </w:r>
      <w:r>
        <w:rPr>
          <w:sz w:val="24"/>
        </w:rPr>
        <w:t xml:space="preserve">стить</w:t>
      </w:r>
      <w:r>
        <w:rPr>
          <w:sz w:val="24"/>
        </w:rPr>
        <w:t xml:space="preserve"> </w:t>
      </w:r>
      <w:r>
        <w:rPr>
          <w:rFonts w:eastAsia="Times New Roman"/>
          <w:sz w:val="24"/>
          <w:szCs w:val="24"/>
        </w:rPr>
        <w:t xml:space="preserve">на сайте Печенгс</w:t>
      </w:r>
      <w:r>
        <w:rPr>
          <w:rFonts w:eastAsia="Times New Roman"/>
          <w:sz w:val="24"/>
          <w:szCs w:val="24"/>
        </w:rPr>
        <w:t xml:space="preserve">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360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     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Соболев</w:t>
      </w:r>
      <w:r>
        <w:t xml:space="preserve"> </w:t>
      </w:r>
      <w:r>
        <w:t xml:space="preserve">А</w:t>
      </w:r>
      <w:r>
        <w:t xml:space="preserve">.В.</w:t>
      </w:r>
      <w:r>
        <w:t xml:space="preserve">,50007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9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8"/>
  </w:num>
  <w:num w:numId="9">
    <w:abstractNumId w:val="0"/>
  </w:num>
  <w:num w:numId="10">
    <w:abstractNumId w:val="5"/>
  </w:num>
  <w:num w:numId="11">
    <w:abstractNumId w:val="3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3">
    <w:name w:val="Heading 1"/>
    <w:basedOn w:val="866"/>
    <w:next w:val="866"/>
    <w:link w:val="69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4">
    <w:name w:val="Heading 1 Char"/>
    <w:basedOn w:val="867"/>
    <w:link w:val="693"/>
    <w:uiPriority w:val="9"/>
    <w:rPr>
      <w:rFonts w:ascii="Arial" w:hAnsi="Arial" w:eastAsia="Arial" w:cs="Arial"/>
      <w:sz w:val="40"/>
      <w:szCs w:val="40"/>
    </w:rPr>
  </w:style>
  <w:style w:type="paragraph" w:styleId="695">
    <w:name w:val="Heading 2"/>
    <w:basedOn w:val="866"/>
    <w:next w:val="866"/>
    <w:link w:val="69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6">
    <w:name w:val="Heading 2 Char"/>
    <w:basedOn w:val="867"/>
    <w:link w:val="695"/>
    <w:uiPriority w:val="9"/>
    <w:rPr>
      <w:rFonts w:ascii="Arial" w:hAnsi="Arial" w:eastAsia="Arial" w:cs="Arial"/>
      <w:sz w:val="34"/>
    </w:rPr>
  </w:style>
  <w:style w:type="paragraph" w:styleId="697">
    <w:name w:val="Heading 3"/>
    <w:basedOn w:val="866"/>
    <w:next w:val="866"/>
    <w:link w:val="69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8">
    <w:name w:val="Heading 3 Char"/>
    <w:basedOn w:val="867"/>
    <w:link w:val="697"/>
    <w:uiPriority w:val="9"/>
    <w:rPr>
      <w:rFonts w:ascii="Arial" w:hAnsi="Arial" w:eastAsia="Arial" w:cs="Arial"/>
      <w:sz w:val="30"/>
      <w:szCs w:val="30"/>
    </w:rPr>
  </w:style>
  <w:style w:type="paragraph" w:styleId="699">
    <w:name w:val="Heading 4"/>
    <w:basedOn w:val="866"/>
    <w:next w:val="866"/>
    <w:link w:val="70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0">
    <w:name w:val="Heading 4 Char"/>
    <w:basedOn w:val="867"/>
    <w:link w:val="699"/>
    <w:uiPriority w:val="9"/>
    <w:rPr>
      <w:rFonts w:ascii="Arial" w:hAnsi="Arial" w:eastAsia="Arial" w:cs="Arial"/>
      <w:b/>
      <w:bCs/>
      <w:sz w:val="26"/>
      <w:szCs w:val="26"/>
    </w:rPr>
  </w:style>
  <w:style w:type="paragraph" w:styleId="701">
    <w:name w:val="Heading 5"/>
    <w:basedOn w:val="866"/>
    <w:next w:val="866"/>
    <w:link w:val="70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2">
    <w:name w:val="Heading 5 Char"/>
    <w:basedOn w:val="867"/>
    <w:link w:val="701"/>
    <w:uiPriority w:val="9"/>
    <w:rPr>
      <w:rFonts w:ascii="Arial" w:hAnsi="Arial" w:eastAsia="Arial" w:cs="Arial"/>
      <w:b/>
      <w:bCs/>
      <w:sz w:val="24"/>
      <w:szCs w:val="24"/>
    </w:rPr>
  </w:style>
  <w:style w:type="paragraph" w:styleId="703">
    <w:name w:val="Heading 6"/>
    <w:basedOn w:val="866"/>
    <w:next w:val="866"/>
    <w:link w:val="70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4">
    <w:name w:val="Heading 6 Char"/>
    <w:basedOn w:val="86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paragraph" w:styleId="705">
    <w:name w:val="Heading 7"/>
    <w:basedOn w:val="866"/>
    <w:next w:val="866"/>
    <w:link w:val="70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6">
    <w:name w:val="Heading 7 Char"/>
    <w:basedOn w:val="867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7">
    <w:name w:val="Heading 8"/>
    <w:basedOn w:val="866"/>
    <w:next w:val="866"/>
    <w:link w:val="70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8">
    <w:name w:val="Heading 8 Char"/>
    <w:basedOn w:val="867"/>
    <w:link w:val="707"/>
    <w:uiPriority w:val="9"/>
    <w:rPr>
      <w:rFonts w:ascii="Arial" w:hAnsi="Arial" w:eastAsia="Arial" w:cs="Arial"/>
      <w:i/>
      <w:iCs/>
      <w:sz w:val="22"/>
      <w:szCs w:val="22"/>
    </w:rPr>
  </w:style>
  <w:style w:type="paragraph" w:styleId="709">
    <w:name w:val="Heading 9"/>
    <w:basedOn w:val="866"/>
    <w:next w:val="866"/>
    <w:link w:val="71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>
    <w:name w:val="Heading 9 Char"/>
    <w:basedOn w:val="867"/>
    <w:link w:val="709"/>
    <w:uiPriority w:val="9"/>
    <w:rPr>
      <w:rFonts w:ascii="Arial" w:hAnsi="Arial" w:eastAsia="Arial" w:cs="Arial"/>
      <w:i/>
      <w:iCs/>
      <w:sz w:val="21"/>
      <w:szCs w:val="21"/>
    </w:rPr>
  </w:style>
  <w:style w:type="paragraph" w:styleId="711">
    <w:name w:val="Title"/>
    <w:basedOn w:val="866"/>
    <w:next w:val="866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>
    <w:name w:val="Title Char"/>
    <w:basedOn w:val="867"/>
    <w:link w:val="711"/>
    <w:uiPriority w:val="10"/>
    <w:rPr>
      <w:sz w:val="48"/>
      <w:szCs w:val="48"/>
    </w:rPr>
  </w:style>
  <w:style w:type="paragraph" w:styleId="713">
    <w:name w:val="Subtitle"/>
    <w:basedOn w:val="866"/>
    <w:next w:val="866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>
    <w:name w:val="Subtitle Char"/>
    <w:basedOn w:val="867"/>
    <w:link w:val="713"/>
    <w:uiPriority w:val="11"/>
    <w:rPr>
      <w:sz w:val="24"/>
      <w:szCs w:val="24"/>
    </w:rPr>
  </w:style>
  <w:style w:type="paragraph" w:styleId="715">
    <w:name w:val="Quote"/>
    <w:basedOn w:val="866"/>
    <w:next w:val="866"/>
    <w:link w:val="716"/>
    <w:uiPriority w:val="29"/>
    <w:qFormat/>
    <w:pPr>
      <w:ind w:left="720" w:right="720"/>
    </w:pPr>
    <w:rPr>
      <w:i/>
    </w:rPr>
  </w:style>
  <w:style w:type="character" w:styleId="716">
    <w:name w:val="Quote Char"/>
    <w:link w:val="715"/>
    <w:uiPriority w:val="29"/>
    <w:rPr>
      <w:i/>
    </w:rPr>
  </w:style>
  <w:style w:type="paragraph" w:styleId="717">
    <w:name w:val="Intense Quote"/>
    <w:basedOn w:val="866"/>
    <w:next w:val="866"/>
    <w:link w:val="71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>
    <w:name w:val="Intense Quote Char"/>
    <w:link w:val="717"/>
    <w:uiPriority w:val="30"/>
    <w:rPr>
      <w:i/>
    </w:rPr>
  </w:style>
  <w:style w:type="character" w:styleId="719">
    <w:name w:val="Header Char"/>
    <w:basedOn w:val="867"/>
    <w:link w:val="874"/>
    <w:uiPriority w:val="99"/>
  </w:style>
  <w:style w:type="character" w:styleId="720">
    <w:name w:val="Footer Char"/>
    <w:basedOn w:val="867"/>
    <w:link w:val="876"/>
    <w:uiPriority w:val="99"/>
  </w:style>
  <w:style w:type="paragraph" w:styleId="721">
    <w:name w:val="Caption"/>
    <w:basedOn w:val="866"/>
    <w:next w:val="8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2">
    <w:name w:val="Caption Char"/>
    <w:basedOn w:val="721"/>
    <w:link w:val="876"/>
    <w:uiPriority w:val="99"/>
  </w:style>
  <w:style w:type="table" w:styleId="723">
    <w:name w:val="Table Grid Light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4">
    <w:name w:val="Plain Table 1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2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>
    <w:name w:val="Plain Table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Plain Table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>
    <w:name w:val="Grid Table 1 Light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>
    <w:name w:val="Grid Table 4 - Accent 1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2">
    <w:name w:val="Grid Table 4 - Accent 2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3">
    <w:name w:val="Grid Table 4 - Accent 3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4">
    <w:name w:val="Grid Table 4 - Accent 4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5">
    <w:name w:val="Grid Table 4 - Accent 5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6">
    <w:name w:val="Grid Table 4 - Accent 6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7">
    <w:name w:val="Grid Table 5 Dark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8">
    <w:name w:val="Grid Table 5 Dark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1">
    <w:name w:val="Grid Table 5 Dark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4">
    <w:name w:val="Grid Table 6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5">
    <w:name w:val="Grid Table 6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6">
    <w:name w:val="Grid Table 6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7">
    <w:name w:val="Grid Table 6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8">
    <w:name w:val="Grid Table 6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9">
    <w:name w:val="Grid Table 6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0">
    <w:name w:val="Grid Table 6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1">
    <w:name w:val="Grid Table 7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6">
    <w:name w:val="List Table 2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7">
    <w:name w:val="List Table 2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8">
    <w:name w:val="List Table 2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9">
    <w:name w:val="List Table 2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0">
    <w:name w:val="List Table 2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1">
    <w:name w:val="List Table 2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2">
    <w:name w:val="List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5 Dark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6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4">
    <w:name w:val="List Table 6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5">
    <w:name w:val="List Table 6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6">
    <w:name w:val="List Table 6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7">
    <w:name w:val="List Table 6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8">
    <w:name w:val="List Table 6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9">
    <w:name w:val="List Table 6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0">
    <w:name w:val="List Table 7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1">
    <w:name w:val="List Table 7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2">
    <w:name w:val="List Table 7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3">
    <w:name w:val="List Table 7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4">
    <w:name w:val="List Table 7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5">
    <w:name w:val="List Table 7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6">
    <w:name w:val="List Table 7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7">
    <w:name w:val="Lined - Accent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8">
    <w:name w:val="Lined - Accent 1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9">
    <w:name w:val="Lined - Accent 2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0">
    <w:name w:val="Lined - Accent 3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1">
    <w:name w:val="Lined - Accent 4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2">
    <w:name w:val="Lined - Accent 5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3">
    <w:name w:val="Lined - Accent 6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4">
    <w:name w:val="Bordered &amp; Lined - Accent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Bordered &amp; Lined - Accent 1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6">
    <w:name w:val="Bordered &amp; Lined - Accent 2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7">
    <w:name w:val="Bordered &amp; Lined - Accent 3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8">
    <w:name w:val="Bordered &amp; Lined - Accent 4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9">
    <w:name w:val="Bordered &amp; Lined - Accent 5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0">
    <w:name w:val="Bordered &amp; Lined - Accent 6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1">
    <w:name w:val="Bordered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2">
    <w:name w:val="Bordered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3">
    <w:name w:val="Bordered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4">
    <w:name w:val="Bordered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5">
    <w:name w:val="Bordered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6">
    <w:name w:val="Bordered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7">
    <w:name w:val="Bordered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8">
    <w:name w:val="Hyperlink"/>
    <w:uiPriority w:val="99"/>
    <w:unhideWhenUsed/>
    <w:rPr>
      <w:color w:val="0000ff" w:themeColor="hyperlink"/>
      <w:u w:val="single"/>
    </w:rPr>
  </w:style>
  <w:style w:type="paragraph" w:styleId="849">
    <w:name w:val="footnote text"/>
    <w:basedOn w:val="866"/>
    <w:link w:val="850"/>
    <w:uiPriority w:val="99"/>
    <w:semiHidden/>
    <w:unhideWhenUsed/>
    <w:pPr>
      <w:spacing w:after="40" w:line="240" w:lineRule="auto"/>
    </w:pPr>
    <w:rPr>
      <w:sz w:val="18"/>
    </w:rPr>
  </w:style>
  <w:style w:type="character" w:styleId="850">
    <w:name w:val="Footnote Text Char"/>
    <w:link w:val="849"/>
    <w:uiPriority w:val="99"/>
    <w:rPr>
      <w:sz w:val="18"/>
    </w:rPr>
  </w:style>
  <w:style w:type="character" w:styleId="851">
    <w:name w:val="footnote reference"/>
    <w:basedOn w:val="867"/>
    <w:uiPriority w:val="99"/>
    <w:unhideWhenUsed/>
    <w:rPr>
      <w:vertAlign w:val="superscript"/>
    </w:rPr>
  </w:style>
  <w:style w:type="paragraph" w:styleId="852">
    <w:name w:val="endnote text"/>
    <w:basedOn w:val="866"/>
    <w:link w:val="853"/>
    <w:uiPriority w:val="99"/>
    <w:semiHidden/>
    <w:unhideWhenUsed/>
    <w:pPr>
      <w:spacing w:after="0" w:line="240" w:lineRule="auto"/>
    </w:pPr>
    <w:rPr>
      <w:sz w:val="20"/>
    </w:rPr>
  </w:style>
  <w:style w:type="character" w:styleId="853">
    <w:name w:val="Endnote Text Char"/>
    <w:link w:val="852"/>
    <w:uiPriority w:val="99"/>
    <w:rPr>
      <w:sz w:val="20"/>
    </w:rPr>
  </w:style>
  <w:style w:type="character" w:styleId="854">
    <w:name w:val="endnote reference"/>
    <w:basedOn w:val="867"/>
    <w:uiPriority w:val="99"/>
    <w:semiHidden/>
    <w:unhideWhenUsed/>
    <w:rPr>
      <w:vertAlign w:val="superscript"/>
    </w:rPr>
  </w:style>
  <w:style w:type="paragraph" w:styleId="855">
    <w:name w:val="toc 1"/>
    <w:basedOn w:val="866"/>
    <w:next w:val="866"/>
    <w:uiPriority w:val="39"/>
    <w:unhideWhenUsed/>
    <w:pPr>
      <w:ind w:left="0" w:right="0" w:firstLine="0"/>
      <w:spacing w:after="57"/>
    </w:pPr>
  </w:style>
  <w:style w:type="paragraph" w:styleId="856">
    <w:name w:val="toc 2"/>
    <w:basedOn w:val="866"/>
    <w:next w:val="866"/>
    <w:uiPriority w:val="39"/>
    <w:unhideWhenUsed/>
    <w:pPr>
      <w:ind w:left="283" w:right="0" w:firstLine="0"/>
      <w:spacing w:after="57"/>
    </w:pPr>
  </w:style>
  <w:style w:type="paragraph" w:styleId="857">
    <w:name w:val="toc 3"/>
    <w:basedOn w:val="866"/>
    <w:next w:val="866"/>
    <w:uiPriority w:val="39"/>
    <w:unhideWhenUsed/>
    <w:pPr>
      <w:ind w:left="567" w:right="0" w:firstLine="0"/>
      <w:spacing w:after="57"/>
    </w:pPr>
  </w:style>
  <w:style w:type="paragraph" w:styleId="858">
    <w:name w:val="toc 4"/>
    <w:basedOn w:val="866"/>
    <w:next w:val="866"/>
    <w:uiPriority w:val="39"/>
    <w:unhideWhenUsed/>
    <w:pPr>
      <w:ind w:left="850" w:right="0" w:firstLine="0"/>
      <w:spacing w:after="57"/>
    </w:pPr>
  </w:style>
  <w:style w:type="paragraph" w:styleId="859">
    <w:name w:val="toc 5"/>
    <w:basedOn w:val="866"/>
    <w:next w:val="866"/>
    <w:uiPriority w:val="39"/>
    <w:unhideWhenUsed/>
    <w:pPr>
      <w:ind w:left="1134" w:right="0" w:firstLine="0"/>
      <w:spacing w:after="57"/>
    </w:pPr>
  </w:style>
  <w:style w:type="paragraph" w:styleId="860">
    <w:name w:val="toc 6"/>
    <w:basedOn w:val="866"/>
    <w:next w:val="866"/>
    <w:uiPriority w:val="39"/>
    <w:unhideWhenUsed/>
    <w:pPr>
      <w:ind w:left="1417" w:right="0" w:firstLine="0"/>
      <w:spacing w:after="57"/>
    </w:pPr>
  </w:style>
  <w:style w:type="paragraph" w:styleId="861">
    <w:name w:val="toc 7"/>
    <w:basedOn w:val="866"/>
    <w:next w:val="866"/>
    <w:uiPriority w:val="39"/>
    <w:unhideWhenUsed/>
    <w:pPr>
      <w:ind w:left="1701" w:right="0" w:firstLine="0"/>
      <w:spacing w:after="57"/>
    </w:pPr>
  </w:style>
  <w:style w:type="paragraph" w:styleId="862">
    <w:name w:val="toc 8"/>
    <w:basedOn w:val="866"/>
    <w:next w:val="866"/>
    <w:uiPriority w:val="39"/>
    <w:unhideWhenUsed/>
    <w:pPr>
      <w:ind w:left="1984" w:right="0" w:firstLine="0"/>
      <w:spacing w:after="57"/>
    </w:pPr>
  </w:style>
  <w:style w:type="paragraph" w:styleId="863">
    <w:name w:val="toc 9"/>
    <w:basedOn w:val="866"/>
    <w:next w:val="866"/>
    <w:uiPriority w:val="39"/>
    <w:unhideWhenUsed/>
    <w:pPr>
      <w:ind w:left="2268" w:right="0" w:firstLine="0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866"/>
    <w:next w:val="866"/>
    <w:uiPriority w:val="99"/>
    <w:unhideWhenUsed/>
    <w:pPr>
      <w:spacing w:after="0" w:afterAutospacing="0"/>
    </w:pPr>
  </w:style>
  <w:style w:type="paragraph" w:styleId="866" w:default="1">
    <w:name w:val="Normal"/>
    <w:qFormat/>
    <w:rPr>
      <w:rFonts w:eastAsia="Calibri"/>
    </w:rPr>
  </w:style>
  <w:style w:type="character" w:styleId="867" w:default="1">
    <w:name w:val="Default Paragraph Font"/>
    <w:uiPriority w:val="1"/>
    <w:semiHidden/>
    <w:unhideWhenUsed/>
  </w:style>
  <w:style w:type="table" w:styleId="8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9" w:default="1">
    <w:name w:val="No List"/>
    <w:uiPriority w:val="99"/>
    <w:semiHidden/>
    <w:unhideWhenUsed/>
  </w:style>
  <w:style w:type="paragraph" w:styleId="870">
    <w:name w:val="Normal (Web)"/>
    <w:basedOn w:val="866"/>
    <w:semiHidden/>
    <w:pPr>
      <w:spacing w:before="100" w:beforeAutospacing="1" w:after="100" w:afterAutospacing="1"/>
    </w:pPr>
    <w:rPr>
      <w:sz w:val="24"/>
      <w:szCs w:val="24"/>
    </w:rPr>
  </w:style>
  <w:style w:type="paragraph" w:styleId="871" w:customStyle="1">
    <w:name w:val="Абзац списка1"/>
    <w:basedOn w:val="866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72">
    <w:name w:val="Balloon Text"/>
    <w:basedOn w:val="866"/>
    <w:link w:val="873"/>
    <w:rPr>
      <w:rFonts w:ascii="Calibri" w:hAnsi="Calibri"/>
      <w:sz w:val="16"/>
      <w:szCs w:val="16"/>
    </w:rPr>
  </w:style>
  <w:style w:type="character" w:styleId="873" w:customStyle="1">
    <w:name w:val="Текст выноски Знак"/>
    <w:link w:val="872"/>
    <w:rPr>
      <w:rFonts w:ascii="Calibri" w:hAnsi="Calibri" w:eastAsia="Calibri"/>
      <w:sz w:val="16"/>
      <w:szCs w:val="16"/>
    </w:rPr>
  </w:style>
  <w:style w:type="paragraph" w:styleId="874">
    <w:name w:val="Header"/>
    <w:basedOn w:val="866"/>
    <w:link w:val="875"/>
    <w:pPr>
      <w:tabs>
        <w:tab w:val="center" w:pos="4677" w:leader="none"/>
        <w:tab w:val="right" w:pos="9355" w:leader="none"/>
      </w:tabs>
    </w:pPr>
  </w:style>
  <w:style w:type="character" w:styleId="875" w:customStyle="1">
    <w:name w:val="Верхний колонтитул Знак"/>
    <w:link w:val="874"/>
    <w:rPr>
      <w:rFonts w:eastAsia="Calibri"/>
    </w:rPr>
  </w:style>
  <w:style w:type="paragraph" w:styleId="876">
    <w:name w:val="Footer"/>
    <w:basedOn w:val="866"/>
    <w:link w:val="877"/>
    <w:pPr>
      <w:tabs>
        <w:tab w:val="center" w:pos="4677" w:leader="none"/>
        <w:tab w:val="right" w:pos="9355" w:leader="none"/>
      </w:tabs>
    </w:pPr>
  </w:style>
  <w:style w:type="character" w:styleId="877" w:customStyle="1">
    <w:name w:val="Нижний колонтитул Знак"/>
    <w:link w:val="876"/>
    <w:rPr>
      <w:rFonts w:eastAsia="Calibri"/>
    </w:rPr>
  </w:style>
  <w:style w:type="table" w:styleId="878">
    <w:name w:val="Table Grid"/>
    <w:basedOn w:val="86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9">
    <w:name w:val="List Paragraph"/>
    <w:basedOn w:val="866"/>
    <w:qFormat/>
    <w:pPr>
      <w:contextualSpacing/>
      <w:ind w:left="720"/>
    </w:pPr>
  </w:style>
  <w:style w:type="paragraph" w:styleId="880" w:customStyle="1">
    <w:name w:val="Знак Знак2"/>
    <w:basedOn w:val="866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81">
    <w:name w:val="Body Text 2"/>
    <w:basedOn w:val="866"/>
    <w:link w:val="882"/>
    <w:pPr>
      <w:spacing w:after="120" w:line="480" w:lineRule="auto"/>
    </w:pPr>
  </w:style>
  <w:style w:type="character" w:styleId="882" w:customStyle="1">
    <w:name w:val="Основной текст 2 Знак"/>
    <w:basedOn w:val="867"/>
    <w:link w:val="881"/>
    <w:rPr>
      <w:rFonts w:eastAsia="Calibri"/>
    </w:rPr>
  </w:style>
  <w:style w:type="table" w:styleId="883" w:customStyle="1">
    <w:name w:val="Сетка таблицы1"/>
    <w:basedOn w:val="868"/>
    <w:next w:val="878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4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885" w:customStyle="1">
    <w:name w:val="Сетка таблицы2"/>
    <w:basedOn w:val="868"/>
    <w:next w:val="878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3886B9-7AB2-45FA-8B66-FA0103389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</dc:creator>
  <cp:revision>5</cp:revision>
  <dcterms:created xsi:type="dcterms:W3CDTF">2025-03-25T11:28:00Z</dcterms:created>
  <dcterms:modified xsi:type="dcterms:W3CDTF">2025-04-02T08:57:19Z</dcterms:modified>
</cp:coreProperties>
</file>