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szCs w:val="16"/>
        </w:rPr>
      </w:pPr>
      <w:r>
        <w:rPr>
          <w:szCs w:val="16"/>
        </w:rPr>
      </w:r>
      <w:r>
        <w:rPr>
          <w:szCs w:val="16"/>
        </w:rPr>
      </w:r>
      <w:r>
        <w:rPr>
          <w:szCs w:val="16"/>
        </w:rPr>
      </w:r>
    </w:p>
    <w:p>
      <w:pPr>
        <w:jc w:val="center"/>
        <w:rPr>
          <w:szCs w:val="16"/>
        </w:rPr>
      </w:pPr>
      <w:r>
        <w:rPr>
          <w:b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0075" cy="739140"/>
                <wp:effectExtent l="0" t="0" r="9525" b="381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00075" cy="739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7.25pt;height:58.20pt;mso-wrap-distance-left:0.00pt;mso-wrap-distance-top:0.00pt;mso-wrap-distance-right:0.00pt;mso-wrap-distance-bottom:0.00pt;" stroked="f">
                <v:path textboxrect="0,0,0,0"/>
                <v:imagedata r:id="rId12" o:title=""/>
              </v:shape>
            </w:pict>
          </mc:Fallback>
        </mc:AlternateContent>
      </w:r>
      <w:r>
        <w:rPr>
          <w:szCs w:val="16"/>
        </w:rPr>
      </w:r>
      <w:r>
        <w:rPr>
          <w:szCs w:val="16"/>
        </w:rPr>
      </w:r>
    </w:p>
    <w:p>
      <w:pPr>
        <w:jc w:val="center"/>
        <w:widowControl w:val="off"/>
        <w:rPr>
          <w:b/>
          <w:color w:val="000000"/>
          <w:sz w:val="28"/>
          <w:szCs w:val="44"/>
        </w:rPr>
      </w:pPr>
      <w:r>
        <w:rPr>
          <w:b/>
          <w:color w:val="000000"/>
          <w:sz w:val="28"/>
          <w:szCs w:val="44"/>
        </w:rPr>
      </w:r>
      <w:r>
        <w:rPr>
          <w:b/>
          <w:color w:val="000000"/>
          <w:sz w:val="28"/>
          <w:szCs w:val="44"/>
        </w:rPr>
      </w:r>
      <w:r>
        <w:rPr>
          <w:b/>
          <w:color w:val="000000"/>
          <w:sz w:val="28"/>
          <w:szCs w:val="44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 </w:t>
      </w:r>
      <w:r>
        <w:rPr>
          <w:b/>
          <w:color w:val="000000"/>
          <w:sz w:val="24"/>
        </w:rPr>
        <w:t xml:space="preserve">04.04.2025 </w:t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 xml:space="preserve">              </w:t>
      </w:r>
      <w:r>
        <w:rPr>
          <w:b/>
          <w:color w:val="000000"/>
          <w:sz w:val="24"/>
        </w:rPr>
        <w:t xml:space="preserve"> </w:t>
      </w:r>
      <w:r>
        <w:rPr>
          <w:b/>
          <w:color w:val="000000"/>
          <w:sz w:val="24"/>
        </w:rPr>
        <w:t xml:space="preserve">№ 552</w:t>
      </w:r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п.г.т. Никель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center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О внесении изменений в </w:t>
      </w:r>
      <w:r>
        <w:rPr>
          <w:b/>
        </w:rPr>
        <w:t xml:space="preserve">муниципальн</w:t>
      </w:r>
      <w:r>
        <w:rPr>
          <w:b/>
        </w:rPr>
        <w:t xml:space="preserve">ую</w:t>
      </w:r>
      <w:r>
        <w:rPr>
          <w:b/>
        </w:rPr>
        <w:t xml:space="preserve"> программ</w:t>
      </w:r>
      <w:r>
        <w:rPr>
          <w:b/>
        </w:rPr>
        <w:t xml:space="preserve">у</w:t>
      </w:r>
      <w:r>
        <w:rPr>
          <w:b/>
        </w:rPr>
        <w:t xml:space="preserve"> Печенгского муниципального округа</w:t>
      </w:r>
      <w:r>
        <w:rPr>
          <w:b/>
        </w:rPr>
        <w:t xml:space="preserve"> </w:t>
      </w:r>
      <w:r>
        <w:rPr>
          <w:b/>
        </w:rPr>
        <w:t xml:space="preserve">«Транспортная система» на 202</w:t>
      </w:r>
      <w:r>
        <w:rPr>
          <w:b/>
        </w:rPr>
        <w:t xml:space="preserve">5 </w:t>
      </w:r>
      <w:r>
        <w:rPr>
          <w:b/>
        </w:rPr>
        <w:t xml:space="preserve">- 202</w:t>
      </w:r>
      <w:r>
        <w:rPr>
          <w:b/>
        </w:rPr>
        <w:t xml:space="preserve">7</w:t>
      </w:r>
      <w:r>
        <w:rPr>
          <w:b/>
        </w:rPr>
        <w:t xml:space="preserve"> годы</w:t>
      </w:r>
      <w:r>
        <w:rPr>
          <w:b/>
        </w:rPr>
        <w:t xml:space="preserve">, утвержденную постановлением администрации Печенгского муниципального округа от </w:t>
      </w:r>
      <w:r>
        <w:rPr>
          <w:b/>
        </w:rPr>
        <w:t xml:space="preserve">01</w:t>
      </w:r>
      <w:r>
        <w:rPr>
          <w:b/>
        </w:rPr>
        <w:t xml:space="preserve">.11.202</w:t>
      </w:r>
      <w:r>
        <w:rPr>
          <w:b/>
        </w:rPr>
        <w:t xml:space="preserve">4</w:t>
      </w:r>
      <w:r>
        <w:rPr>
          <w:b/>
        </w:rPr>
        <w:t xml:space="preserve"> № </w:t>
      </w:r>
      <w:r>
        <w:rPr>
          <w:b/>
        </w:rPr>
        <w:t xml:space="preserve">17</w:t>
      </w:r>
      <w:r>
        <w:rPr>
          <w:b/>
        </w:rPr>
        <w:t xml:space="preserve">1</w:t>
      </w:r>
      <w:r>
        <w:rPr>
          <w:b/>
        </w:rPr>
        <w:t xml:space="preserve">8</w:t>
      </w:r>
      <w:r>
        <w:rPr>
          <w:b/>
        </w:rPr>
      </w:r>
      <w:r>
        <w:rPr>
          <w:b/>
        </w:rPr>
      </w:r>
    </w:p>
    <w:p>
      <w:pPr>
        <w:ind w:left="34" w:firstLine="675"/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left="0" w:firstLine="709"/>
        <w:jc w:val="both"/>
        <w:rPr>
          <w:sz w:val="18"/>
          <w:szCs w:val="18"/>
        </w:rPr>
        <w:suppressLineNumbers w:val="0"/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left="0" w:firstLine="70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Руководствуясь статьей 179 Бюдж</w:t>
      </w:r>
      <w:r>
        <w:rPr>
          <w:sz w:val="24"/>
          <w:szCs w:val="24"/>
        </w:rPr>
        <w:t xml:space="preserve">етного 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16.08.2021 № 838, в целях п</w:t>
      </w:r>
      <w:r>
        <w:rPr>
          <w:color w:val="000000"/>
          <w:sz w:val="24"/>
          <w:szCs w:val="24"/>
        </w:rPr>
        <w:t xml:space="preserve">овышения эффективности использования бюджетных средств,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18"/>
        </w:rPr>
      </w:pPr>
      <w:r>
        <w:rPr>
          <w:sz w:val="24"/>
          <w:szCs w:val="18"/>
        </w:rPr>
      </w:r>
      <w:r>
        <w:rPr>
          <w:sz w:val="24"/>
          <w:szCs w:val="18"/>
        </w:rPr>
      </w:r>
      <w:r>
        <w:rPr>
          <w:sz w:val="24"/>
          <w:szCs w:val="18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both"/>
        <w:widowControl w:val="off"/>
        <w:rPr>
          <w:sz w:val="24"/>
          <w:szCs w:val="18"/>
        </w:rPr>
      </w:pPr>
      <w:r>
        <w:rPr>
          <w:sz w:val="24"/>
          <w:szCs w:val="18"/>
        </w:rPr>
      </w:r>
      <w:r>
        <w:rPr>
          <w:sz w:val="24"/>
          <w:szCs w:val="18"/>
        </w:rPr>
      </w:r>
      <w:r>
        <w:rPr>
          <w:sz w:val="24"/>
          <w:szCs w:val="18"/>
        </w:rPr>
      </w:r>
    </w:p>
    <w:p>
      <w:pPr>
        <w:pStyle w:val="959"/>
        <w:numPr>
          <w:ilvl w:val="0"/>
          <w:numId w:val="33"/>
        </w:numPr>
        <w:ind w:left="0" w:right="0" w:firstLine="709"/>
        <w:jc w:val="both"/>
        <w:spacing w:after="0" w:afterAutospacing="0" w:line="240" w:lineRule="auto"/>
        <w:tabs>
          <w:tab w:val="left" w:pos="9900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Внести в муниципальную программу</w:t>
      </w:r>
      <w:r>
        <w:rPr>
          <w:rFonts w:ascii="Times New Roman" w:hAnsi="Times New Roman" w:eastAsia="Times New Roman" w:cs="Times New Roman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«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Транспортная система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» на 202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5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- 202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7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годы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, утвержденную постановлением администрации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муниципального округа от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01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.11.202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4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17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1</w:t>
      </w:r>
      <w:bookmarkStart w:id="0" w:name="_GoBack"/>
      <w:r>
        <w:rPr>
          <w:rFonts w:ascii="Times New Roman" w:hAnsi="Times New Roman" w:eastAsia="Times New Roman" w:cs="Times New Roman"/>
        </w:rPr>
      </w:r>
      <w:bookmarkEnd w:id="0"/>
      <w:r>
        <w:rPr>
          <w:rFonts w:ascii="Times New Roman" w:hAnsi="Times New Roman" w:eastAsia="Times New Roman" w:cs="Times New Roman"/>
          <w:sz w:val="24"/>
          <w:szCs w:val="24"/>
        </w:rPr>
        <w:t xml:space="preserve">8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(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 редакции постановления администрации Печенгского муниципального округа от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14.11.2024 </w:t>
        <w:br/>
        <w:t xml:space="preserve">№ 1791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)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(далее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–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рограмма)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,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следующие изменения: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9"/>
        <w:numPr>
          <w:ilvl w:val="0"/>
          <w:numId w:val="34"/>
        </w:numPr>
        <w:ind w:left="0" w:right="0" w:firstLine="709"/>
        <w:jc w:val="both"/>
        <w:spacing w:after="0" w:afterAutospacing="0" w:line="240" w:lineRule="auto"/>
        <w:tabs>
          <w:tab w:val="left" w:pos="9900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строку «Показатели программы» в паспорте Программы дополнить пунктом 8 следующего содержания: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4921" w:type="pct"/>
        <w:tblInd w:w="7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1985"/>
        <w:gridCol w:w="7370"/>
      </w:tblGrid>
      <w:tr>
        <w:tblPrEx/>
        <w:trPr>
          <w:trHeight w:val="542"/>
        </w:trPr>
        <w:tc>
          <w:tcPr>
            <w:tcW w:w="1061" w:type="pct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</w:p>
        </w:tc>
        <w:tc>
          <w:tcPr>
            <w:tcW w:w="3939" w:type="pct"/>
            <w:textDirection w:val="lrTb"/>
            <w:noWrap w:val="false"/>
          </w:tcPr>
          <w:p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«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8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.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Проведение диагностики и оценки транспортно-эксплуатационного состояния, паспортизации, разработки и актуализации проектов организации дорожного движения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автомобильных дорог общего пользования местного значения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.»;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</w:tbl>
    <w:p>
      <w:pPr>
        <w:ind w:right="-5" w:firstLine="709"/>
        <w:jc w:val="both"/>
        <w:tabs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59"/>
        <w:numPr>
          <w:ilvl w:val="0"/>
          <w:numId w:val="35"/>
        </w:numPr>
        <w:ind w:left="0" w:right="0" w:firstLine="709"/>
        <w:jc w:val="both"/>
        <w:spacing w:after="0" w:afterAutospacing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троку «Финансовое обеспечение программы» в паспорте Программы изложить в следующей редакции: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9413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056"/>
        <w:gridCol w:w="7357"/>
      </w:tblGrid>
      <w:tr>
        <w:tblPrEx/>
        <w:trPr>
          <w:jc w:val="center"/>
          <w:trHeight w:val="27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56" w:type="dxa"/>
            <w:textDirection w:val="lrTb"/>
            <w:noWrap w:val="false"/>
          </w:tcPr>
          <w:p>
            <w:pPr>
              <w:ind w:left="0" w:right="0" w:firstLine="0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«Финансовое обеспечение 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57" w:type="dxa"/>
            <w:textDirection w:val="lrTb"/>
            <w:noWrap w:val="false"/>
          </w:tcPr>
          <w:p>
            <w:pPr>
              <w:pStyle w:val="963"/>
              <w:ind w:left="0"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по муниципальной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программе: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391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74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7,3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63"/>
              <w:ind w:left="0"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63"/>
              <w:ind w:left="0"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63"/>
              <w:ind w:left="0"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63"/>
              <w:ind w:left="0"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63"/>
              <w:ind w:left="0"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63"/>
              <w:ind w:left="0"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876,7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63"/>
              <w:ind w:left="0"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51989,6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63"/>
              <w:ind w:left="0"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44991,1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63"/>
              <w:ind w:left="0"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39896,0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63"/>
              <w:ind w:left="0"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МБ: 254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870,6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63"/>
              <w:ind w:left="0"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90155,5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63"/>
              <w:ind w:left="0"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88084,6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63"/>
              <w:ind w:left="0"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76630,5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63"/>
              <w:ind w:left="0"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63"/>
              <w:ind w:left="0"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63"/>
              <w:ind w:left="0"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ind w:left="0" w:right="0" w:firstLine="0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2027 год: 0,0 тыс. рублей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24"/>
                <w:szCs w:val="24"/>
              </w:rPr>
              <w:t xml:space="preserve">»;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59"/>
        <w:numPr>
          <w:ilvl w:val="0"/>
          <w:numId w:val="36"/>
        </w:numPr>
        <w:ind w:left="0" w:right="0" w:firstLine="709"/>
        <w:jc w:val="both"/>
        <w:spacing w:after="0" w:afterAutospacing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таблиц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«Основные показатели эффективности реализации программы» раздела 2. «Основные цели и задачи программы с указанием сроков ее реализации, а также перечень основных мероприятий и показателей»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дополнить строкой 2.8 следующего содержания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935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552"/>
        <w:gridCol w:w="850"/>
        <w:gridCol w:w="851"/>
        <w:gridCol w:w="850"/>
        <w:gridCol w:w="851"/>
        <w:gridCol w:w="850"/>
        <w:gridCol w:w="851"/>
        <w:gridCol w:w="992"/>
      </w:tblGrid>
      <w:tr>
        <w:tblPrEx/>
        <w:trPr/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«</w:t>
            </w:r>
            <w:r>
              <w:t xml:space="preserve">2.8.</w:t>
            </w:r>
            <w:r/>
          </w:p>
        </w:tc>
        <w:tc>
          <w:tcPr>
            <w:shd w:val="clear" w:color="auto" w:fill="auto"/>
            <w:tcW w:w="2552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Проведение диагностики и оценки транспортно-эксплуатационного состояния, паспортизации, разработки и актуализации проектов организации дорожного движения</w:t>
            </w:r>
            <w:r>
              <w:t xml:space="preserve"> автомобильных дорог общего пользования местного значения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да/нет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ind w:right="22"/>
              <w:jc w:val="center"/>
              <w:widowControl w:val="off"/>
            </w:pPr>
            <w:r>
              <w:t xml:space="preserve">-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ind w:right="22"/>
              <w:jc w:val="center"/>
              <w:widowControl w:val="off"/>
            </w:pPr>
            <w:r>
              <w:t xml:space="preserve">-</w:t>
            </w:r>
            <w:r/>
          </w:p>
          <w:p>
            <w:pPr>
              <w:ind w:right="22"/>
              <w:jc w:val="center"/>
              <w:widowControl w:val="off"/>
            </w:pPr>
            <w:r/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ind w:right="22"/>
              <w:jc w:val="center"/>
              <w:widowControl w:val="off"/>
            </w:pPr>
            <w:r>
              <w:t xml:space="preserve">да</w:t>
            </w:r>
            <w:r/>
          </w:p>
          <w:p>
            <w:pPr>
              <w:ind w:right="22"/>
              <w:jc w:val="center"/>
              <w:widowControl w:val="off"/>
            </w:pPr>
            <w:r/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ind w:right="22"/>
              <w:jc w:val="center"/>
              <w:widowControl w:val="off"/>
            </w:pPr>
            <w:r>
              <w:t xml:space="preserve">-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ind w:right="22"/>
              <w:jc w:val="center"/>
              <w:widowControl w:val="off"/>
            </w:pPr>
            <w:r>
              <w:t xml:space="preserve">-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Отчет ОС и ЖКХ</w:t>
            </w:r>
            <w:r>
              <w:t xml:space="preserve">»;</w:t>
            </w:r>
            <w:r/>
          </w:p>
          <w:p>
            <w:pPr>
              <w:jc w:val="center"/>
              <w:rPr>
                <w:spacing w:val="1"/>
              </w:rPr>
            </w:pPr>
            <w:r>
              <w:rPr>
                <w:spacing w:val="1"/>
              </w:rPr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59"/>
        <w:numPr>
          <w:ilvl w:val="0"/>
          <w:numId w:val="37"/>
        </w:numPr>
        <w:ind w:left="0" w:right="0" w:firstLine="709"/>
        <w:jc w:val="both"/>
        <w:spacing w:after="0" w:afterAutospacing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таблицу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риложения 1 «Перечень мероприятий программы с объемом финансирования» к Программе дополнить строкой 1.8 следующего содержания: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4887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2270"/>
        <w:gridCol w:w="851"/>
        <w:gridCol w:w="849"/>
        <w:gridCol w:w="992"/>
        <w:gridCol w:w="997"/>
        <w:gridCol w:w="849"/>
        <w:gridCol w:w="851"/>
        <w:gridCol w:w="988"/>
      </w:tblGrid>
      <w:tr>
        <w:tblPrEx/>
        <w:trPr>
          <w:trHeight w:val="65"/>
        </w:trPr>
        <w:tc>
          <w:tcPr>
            <w:shd w:val="clear" w:color="auto" w:fill="auto"/>
            <w:tcW w:w="378" w:type="pct"/>
            <w:vMerge w:val="restart"/>
            <w:textDirection w:val="lrTb"/>
            <w:noWrap w:val="false"/>
          </w:tcPr>
          <w:p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«</w:t>
            </w:r>
            <w:r>
              <w:rPr>
                <w:szCs w:val="22"/>
              </w:rPr>
              <w:t xml:space="preserve">1.8.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1213" w:type="pct"/>
            <w:vMerge w:val="restart"/>
            <w:textDirection w:val="lrTb"/>
            <w:noWrap w:val="false"/>
          </w:tcPr>
          <w:p>
            <w:pPr>
              <w:jc w:val="both"/>
              <w:rPr>
                <w:szCs w:val="22"/>
              </w:rPr>
            </w:pPr>
            <w:r>
              <w:rPr>
                <w:szCs w:val="22"/>
              </w:rPr>
              <w:t xml:space="preserve">Диагностика и оценка транспортно-эксплуатационного состояния, паспортизация, разработка и актуализация проектов организации дорожного движения</w:t>
            </w:r>
            <w:r>
              <w:rPr>
                <w:szCs w:val="22"/>
              </w:rPr>
              <w:t xml:space="preserve"> автомобильных дорог общего пользования местного значения</w:t>
            </w:r>
            <w:r>
              <w:rPr>
                <w:szCs w:val="22"/>
              </w:rPr>
              <w:t xml:space="preserve"> за счет средств дорожного фонда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455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Cs w:val="22"/>
              </w:rPr>
            </w:pPr>
            <w:r>
              <w:rPr>
                <w:color w:val="000000"/>
                <w:spacing w:val="1"/>
                <w:szCs w:val="22"/>
              </w:rPr>
              <w:t xml:space="preserve">202</w:t>
            </w:r>
            <w:r>
              <w:rPr>
                <w:color w:val="000000"/>
                <w:spacing w:val="1"/>
                <w:szCs w:val="22"/>
              </w:rPr>
              <w:t xml:space="preserve">5</w:t>
            </w:r>
            <w:r>
              <w:rPr>
                <w:color w:val="000000"/>
                <w:spacing w:val="1"/>
                <w:szCs w:val="22"/>
              </w:rPr>
            </w:r>
            <w:r>
              <w:rPr>
                <w:color w:val="000000"/>
                <w:spacing w:val="1"/>
                <w:szCs w:val="22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3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28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Cs w:val="22"/>
              </w:rPr>
              <w:t xml:space="preserve">ОС и ЖКХ</w:t>
            </w:r>
            <w:r>
              <w:rPr>
                <w:szCs w:val="22"/>
              </w:rPr>
              <w:t xml:space="preserve">»;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21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</w:pPr>
            <w:r>
              <w:t xml:space="preserve">3</w:t>
            </w:r>
            <w:r>
              <w:t xml:space="preserve">149,3</w:t>
            </w:r>
            <w:r/>
          </w:p>
        </w:tc>
        <w:tc>
          <w:tcPr>
            <w:shd w:val="clear" w:color="auto" w:fill="auto"/>
            <w:tcW w:w="533" w:type="pct"/>
            <w:textDirection w:val="lrTb"/>
            <w:noWrap w:val="false"/>
          </w:tcPr>
          <w:p>
            <w:pPr>
              <w:jc w:val="center"/>
            </w:pPr>
            <w:r>
              <w:t xml:space="preserve">3</w:t>
            </w:r>
            <w:r>
              <w:t xml:space="preserve">149,3</w:t>
            </w:r>
            <w:r/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2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21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</w:pPr>
            <w:r>
              <w:t xml:space="preserve">165,</w:t>
            </w:r>
            <w:r>
              <w:t xml:space="preserve">8</w:t>
            </w:r>
            <w:r/>
          </w:p>
        </w:tc>
        <w:tc>
          <w:tcPr>
            <w:shd w:val="clear" w:color="auto" w:fill="auto"/>
            <w:tcW w:w="533" w:type="pct"/>
            <w:textDirection w:val="lrTb"/>
            <w:noWrap w:val="false"/>
          </w:tcPr>
          <w:p>
            <w:pPr>
              <w:jc w:val="center"/>
            </w:pPr>
            <w:r>
              <w:t xml:space="preserve">165,</w:t>
            </w:r>
            <w:r>
              <w:t xml:space="preserve">8</w:t>
            </w:r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</w:pPr>
            <w:r>
              <w:t xml:space="preserve">0,</w:t>
            </w:r>
            <w:r>
              <w:t xml:space="preserve">0</w:t>
            </w:r>
            <w:r/>
          </w:p>
        </w:tc>
        <w:tc>
          <w:tcPr>
            <w:shd w:val="clear" w:color="auto" w:fill="auto"/>
            <w:tcW w:w="52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21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3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2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21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3315,</w:t>
            </w:r>
            <w:r>
              <w:rPr>
                <w:b/>
                <w:bCs/>
                <w:color w:val="000000"/>
              </w:rPr>
              <w:t xml:space="preserve">1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33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3315,</w:t>
            </w:r>
            <w:r>
              <w:rPr>
                <w:b/>
                <w:bCs/>
                <w:color w:val="000000"/>
              </w:rPr>
              <w:t xml:space="preserve">1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2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59"/>
        <w:numPr>
          <w:ilvl w:val="0"/>
          <w:numId w:val="38"/>
        </w:numPr>
        <w:ind w:left="0" w:right="0" w:firstLine="709"/>
        <w:jc w:val="both"/>
        <w:spacing w:after="0" w:afterAutospacing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строки «Итого по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основному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мероприятию 1» и «Всего по программе»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таблицы 1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«Перечень мероприятий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программы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с объемом финансирования»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 Программе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изложить в следующей редакции: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2975"/>
        <w:gridCol w:w="850"/>
        <w:gridCol w:w="1099"/>
        <w:gridCol w:w="1099"/>
        <w:gridCol w:w="1099"/>
        <w:gridCol w:w="1241"/>
        <w:gridCol w:w="994"/>
      </w:tblGrid>
      <w:tr>
        <w:tblPrEx/>
        <w:trPr>
          <w:trHeight w:val="45"/>
        </w:trPr>
        <w:tc>
          <w:tcPr>
            <w:shd w:val="clear" w:color="auto" w:fill="auto"/>
            <w:tcW w:w="1590" w:type="pct"/>
            <w:vMerge w:val="restar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«Итого по </w:t>
            </w:r>
            <w:r>
              <w:rPr>
                <w:b/>
              </w:rPr>
              <w:t xml:space="preserve">основному </w:t>
            </w:r>
            <w:r>
              <w:rPr>
                <w:b/>
              </w:rPr>
              <w:t xml:space="preserve">мероприятию 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66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31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shd w:val="clear" w:color="auto" w:fill="auto"/>
            <w:tcW w:w="1590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7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136876,7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7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51989,6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7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44991,1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63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39896,0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29"/>
        </w:trPr>
        <w:tc>
          <w:tcPr>
            <w:shd w:val="clear" w:color="auto" w:fill="auto"/>
            <w:tcW w:w="1590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7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254870,6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7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90155,5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7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880</w:t>
            </w:r>
            <w:r>
              <w:rPr>
                <w:b/>
              </w:rPr>
              <w:t xml:space="preserve">84,6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63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76630,5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shd w:val="clear" w:color="auto" w:fill="auto"/>
            <w:tcW w:w="1590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66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3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shd w:val="clear" w:color="auto" w:fill="auto"/>
            <w:tcW w:w="1590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7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3917</w:t>
            </w:r>
            <w:r>
              <w:rPr>
                <w:b/>
              </w:rPr>
              <w:t xml:space="preserve">47,3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7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142145,1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7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13307</w:t>
            </w:r>
            <w:r>
              <w:rPr>
                <w:b/>
              </w:rPr>
              <w:t xml:space="preserve">5,7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63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116526,5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shd w:val="clear" w:color="auto" w:fill="auto"/>
            <w:tcW w:w="1590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Всего по программе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66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31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shd w:val="clear" w:color="auto" w:fill="auto"/>
            <w:tcW w:w="1590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7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136876,7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7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51989,6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7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44991,1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63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39896,0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91"/>
        </w:trPr>
        <w:tc>
          <w:tcPr>
            <w:shd w:val="clear" w:color="auto" w:fill="auto"/>
            <w:tcW w:w="1590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7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254870,6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7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90155,5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7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880</w:t>
            </w:r>
            <w:r>
              <w:rPr>
                <w:b/>
              </w:rPr>
              <w:t xml:space="preserve">84,6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63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76630,5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shd w:val="clear" w:color="auto" w:fill="auto"/>
            <w:tcW w:w="1590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66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3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shd w:val="clear" w:color="auto" w:fill="auto"/>
            <w:tcW w:w="1590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7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391747,3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7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142145,1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7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13307</w:t>
            </w:r>
            <w:r>
              <w:rPr>
                <w:b/>
              </w:rPr>
              <w:t xml:space="preserve">5,7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63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116526,5</w:t>
            </w:r>
            <w:r>
              <w:rPr>
                <w:b/>
              </w:rPr>
              <w:t xml:space="preserve">»;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59"/>
        <w:numPr>
          <w:ilvl w:val="0"/>
          <w:numId w:val="39"/>
        </w:numPr>
        <w:ind w:left="0" w:right="0" w:firstLine="709"/>
        <w:jc w:val="both"/>
        <w:spacing w:after="0" w:afterAutospacing="0" w:line="240" w:lineRule="auto"/>
        <w:tabs>
          <w:tab w:val="left" w:pos="142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таблицу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риложения 2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«Перечень мероприятий подпрограммы с показателями результативности выполнения мероприятий»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рограмме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дополнить строкой 1.8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следующего содержания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935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268"/>
        <w:gridCol w:w="709"/>
        <w:gridCol w:w="1984"/>
        <w:gridCol w:w="709"/>
        <w:gridCol w:w="709"/>
        <w:gridCol w:w="709"/>
        <w:gridCol w:w="708"/>
        <w:gridCol w:w="851"/>
      </w:tblGrid>
      <w:tr>
        <w:tblPrEx/>
        <w:trPr>
          <w:trHeight w:val="209"/>
        </w:trPr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rPr>
                <w:szCs w:val="23"/>
              </w:rPr>
            </w:pPr>
            <w:r>
              <w:rPr>
                <w:szCs w:val="23"/>
              </w:rPr>
              <w:t xml:space="preserve">«1.8</w:t>
            </w:r>
            <w:r>
              <w:rPr>
                <w:szCs w:val="23"/>
              </w:rPr>
              <w:t xml:space="preserve">.</w:t>
            </w:r>
            <w:r>
              <w:rPr>
                <w:szCs w:val="23"/>
              </w:rPr>
            </w:r>
            <w:r>
              <w:rPr>
                <w:szCs w:val="23"/>
              </w:rPr>
            </w:r>
          </w:p>
        </w:tc>
        <w:tc>
          <w:tcPr>
            <w:shd w:val="clear" w:color="auto" w:fill="auto"/>
            <w:tcW w:w="2268" w:type="dxa"/>
            <w:textDirection w:val="lrTb"/>
            <w:noWrap w:val="false"/>
          </w:tcPr>
          <w:p>
            <w:pPr>
              <w:jc w:val="both"/>
              <w:rPr>
                <w:szCs w:val="22"/>
              </w:rPr>
            </w:pPr>
            <w:r>
              <w:rPr>
                <w:szCs w:val="22"/>
              </w:rPr>
              <w:t xml:space="preserve">Диагностика и оценка транспортно-эксплуатационного состояния, паспортизация, разработка и актуализация проектов организации дорожного движения </w:t>
            </w:r>
            <w:r>
              <w:rPr>
                <w:szCs w:val="22"/>
              </w:rPr>
              <w:t xml:space="preserve">автомобильных дорог общего пользования местного значения </w:t>
            </w:r>
            <w:r>
              <w:rPr>
                <w:szCs w:val="22"/>
              </w:rPr>
              <w:t xml:space="preserve">за счет средств дорожного фонда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202</w:t>
            </w:r>
            <w:r>
              <w:rPr>
                <w:szCs w:val="22"/>
              </w:rPr>
              <w:t xml:space="preserve">5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1984" w:type="dxa"/>
            <w:textDirection w:val="lrTb"/>
            <w:noWrap w:val="false"/>
          </w:tcPr>
          <w:p>
            <w:pPr>
              <w:jc w:val="both"/>
              <w:widowControl w:val="off"/>
              <w:rPr>
                <w:szCs w:val="22"/>
              </w:rPr>
            </w:pPr>
            <w:r>
              <w:rPr>
                <w:color w:val="000000"/>
                <w:spacing w:val="1"/>
                <w:szCs w:val="22"/>
              </w:rPr>
              <w:t xml:space="preserve">Проведение диагностики и оценки транспортно-эксплуатационного состояния, паспортизации, разработки и актуализации проектов организации дорожного движения</w:t>
            </w:r>
            <w:r>
              <w:rPr>
                <w:color w:val="000000"/>
                <w:spacing w:val="1"/>
                <w:szCs w:val="22"/>
              </w:rPr>
              <w:t xml:space="preserve"> автомобильных дорог общего пользования местного значения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Да/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  <w:p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нет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Да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-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708" w:type="dxa"/>
            <w:textDirection w:val="lrTb"/>
            <w:noWrap w:val="false"/>
          </w:tcPr>
          <w:p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-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ОС и ЖКХ</w:t>
            </w:r>
            <w:r>
              <w:rPr>
                <w:szCs w:val="22"/>
              </w:rPr>
              <w:t xml:space="preserve">».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</w:tr>
    </w:tbl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pStyle w:val="959"/>
        <w:numPr>
          <w:ilvl w:val="0"/>
          <w:numId w:val="40"/>
        </w:numPr>
        <w:ind w:left="0" w:right="0" w:firstLine="709"/>
        <w:jc w:val="both"/>
        <w:spacing w:after="0" w:afterAutospacing="0" w:line="240" w:lineRule="auto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  <w:lang w:eastAsia="en-US"/>
        </w:rPr>
        <w:t xml:space="preserve">Настоящее постановление вступает в силу после его подписания.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9"/>
        <w:numPr>
          <w:ilvl w:val="0"/>
          <w:numId w:val="41"/>
        </w:numPr>
        <w:ind w:left="0" w:right="0" w:firstLine="709"/>
        <w:jc w:val="both"/>
        <w:spacing w:after="0" w:afterAutospacing="0" w:line="240" w:lineRule="auto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  <w:lang w:eastAsia="en-US"/>
        </w:rPr>
        <w:t xml:space="preserve">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rFonts w:ascii="Times New Roman" w:hAnsi="Times New Roman" w:eastAsia="Times New Roman" w:cs="Times New Roman"/>
          <w:sz w:val="24"/>
          <w:szCs w:val="24"/>
          <w:lang w:eastAsia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afterAutospacing="0" w:line="240" w:lineRule="auto"/>
        <w:widowControl w:val="off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  <w:lang w:eastAsia="en-US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sz w:val="24"/>
          <w:szCs w:val="24"/>
        </w:rPr>
      </w:pPr>
      <w:r>
        <w:rPr>
          <w:rFonts w:eastAsia="Calibri"/>
          <w:sz w:val="24"/>
          <w:szCs w:val="24"/>
          <w:lang w:eastAsia="en-US"/>
        </w:rPr>
        <w:t xml:space="preserve">Глава Печенгского муниципального округа                       </w:t>
      </w:r>
      <w:r>
        <w:rPr>
          <w:rFonts w:eastAsia="Calibri"/>
          <w:sz w:val="24"/>
          <w:szCs w:val="24"/>
          <w:lang w:eastAsia="en-US"/>
        </w:rPr>
        <w:t xml:space="preserve">      </w:t>
      </w:r>
      <w:r>
        <w:rPr>
          <w:rFonts w:eastAsia="Calibri"/>
          <w:sz w:val="24"/>
          <w:szCs w:val="24"/>
          <w:lang w:eastAsia="en-US"/>
        </w:rPr>
        <w:t xml:space="preserve">                           А.В. Кузнецов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  <w:rPr>
          <w:sz w:val="24"/>
          <w:szCs w:val="24"/>
        </w:rPr>
      </w:pPr>
      <w:r>
        <w:rPr>
          <w:highlight w:val="none"/>
        </w:rPr>
      </w:r>
      <w:r>
        <w:rPr>
          <w:highlight w:val="none"/>
        </w:rPr>
      </w:r>
      <w:r>
        <w:rPr>
          <w:sz w:val="24"/>
          <w:szCs w:val="24"/>
        </w:rPr>
      </w:r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t xml:space="preserve">Князева Э.Г</w:t>
      </w:r>
      <w:r>
        <w:t xml:space="preserve">., </w:t>
      </w:r>
      <w:r>
        <w:t xml:space="preserve">6</w:t>
      </w:r>
      <w:r>
        <w:t xml:space="preserve">-</w:t>
      </w:r>
      <w:r>
        <w:t xml:space="preserve">06-23</w:t>
      </w:r>
      <w:r>
        <w:rPr>
          <w:highlight w:val="none"/>
        </w:rPr>
      </w:r>
      <w:r>
        <w:rPr>
          <w:highlight w:val="none"/>
        </w:rPr>
      </w: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  <w:r>
        <w:rPr>
          <w:highlight w:val="none"/>
        </w:rPr>
      </w:r>
    </w:p>
    <w:p>
      <w:pPr>
        <w:widowControl w:val="off"/>
        <w:rPr>
          <w:bCs/>
          <w:sz w:val="16"/>
          <w:szCs w:val="16"/>
        </w:rPr>
      </w:pPr>
      <w:r>
        <w:rPr>
          <w:bCs/>
          <w:sz w:val="16"/>
          <w:szCs w:val="16"/>
        </w:rPr>
      </w:r>
      <w:r>
        <w:rPr>
          <w:bCs/>
          <w:sz w:val="16"/>
          <w:szCs w:val="16"/>
        </w:rPr>
      </w:r>
      <w:r>
        <w:rPr>
          <w:bCs/>
          <w:sz w:val="16"/>
          <w:szCs w:val="16"/>
        </w:rPr>
      </w:r>
    </w:p>
    <w:p>
      <w:pPr>
        <w:ind w:left="9639"/>
        <w:jc w:val="right"/>
        <w:tabs>
          <w:tab w:val="left" w:pos="993" w:leader="none"/>
        </w:tabs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sectPr>
      <w:headerReference w:type="default" r:id="rId9"/>
      <w:headerReference w:type="even" r:id="rId10"/>
      <w:footnotePr/>
      <w:endnotePr/>
      <w:type w:val="nextPage"/>
      <w:pgSz w:w="11906" w:h="16838" w:orient="portrait"/>
      <w:pgMar w:top="567" w:right="851" w:bottom="567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Verdana">
    <w:panose1 w:val="020B0604030504040204"/>
  </w:font>
  <w:font w:name="Cambria">
    <w:panose1 w:val="0204050305040603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53"/>
      <w:rPr>
        <w:rStyle w:val="952"/>
      </w:rPr>
      <w:framePr w:wrap="around" w:vAnchor="text" w:hAnchor="margin" w:xAlign="center" w:y="1"/>
    </w:pPr>
    <w:r>
      <w:rPr>
        <w:rStyle w:val="952"/>
      </w:rPr>
    </w:r>
    <w:r>
      <w:rPr>
        <w:rStyle w:val="952"/>
      </w:rPr>
    </w:r>
  </w:p>
  <w:p>
    <w:pPr>
      <w:pStyle w:val="953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53"/>
      <w:rPr>
        <w:rStyle w:val="952"/>
      </w:rPr>
      <w:framePr w:wrap="around" w:vAnchor="text" w:hAnchor="margin" w:xAlign="center" w:y="1"/>
    </w:pPr>
    <w:r>
      <w:rPr>
        <w:rStyle w:val="952"/>
      </w:rPr>
      <w:fldChar w:fldCharType="begin"/>
    </w:r>
    <w:r>
      <w:rPr>
        <w:rStyle w:val="952"/>
      </w:rPr>
      <w:instrText xml:space="preserve">PAGE  </w:instrText>
    </w:r>
    <w:r>
      <w:rPr>
        <w:rStyle w:val="952"/>
      </w:rPr>
      <w:fldChar w:fldCharType="end"/>
    </w:r>
    <w:r>
      <w:rPr>
        <w:rStyle w:val="952"/>
      </w:rPr>
    </w:r>
    <w:r>
      <w:rPr>
        <w:rStyle w:val="952"/>
      </w:rPr>
    </w:r>
  </w:p>
  <w:p>
    <w:pPr>
      <w:pStyle w:val="953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i w:val="0"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4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92" w:hanging="825"/>
      </w:pPr>
      <w:rPr>
        <w:rFonts w:hint="default" w:cs="Times New Roman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8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0" w:hanging="36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9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1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3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5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7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9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1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30" w:hanging="180"/>
      </w:pPr>
    </w:lvl>
  </w:abstractNum>
  <w:abstractNum w:abstractNumId="15">
    <w:multiLevelType w:val="hybridMultilevel"/>
    <w:lvl w:ilvl="0">
      <w:start w:val="2025"/>
      <w:numFmt w:val="decimal"/>
      <w:isLgl w:val="false"/>
      <w:suff w:val="tab"/>
      <w:lvlText w:val="%1"/>
      <w:lvlJc w:val="left"/>
      <w:pPr>
        <w:ind w:left="840" w:hanging="480"/>
      </w:pPr>
      <w:rPr>
        <w:rFonts w:hint="default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17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2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2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6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98" w:hanging="99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2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33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1418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34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1418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35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1418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36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1418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37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1418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38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1418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39">
    <w:multiLevelType w:val="hybridMultilevel"/>
    <w:lvl w:ilvl="0">
      <w:start w:val="1"/>
      <w:numFmt w:val="none"/>
      <w:isLgl w:val="false"/>
      <w:suff w:val="space"/>
      <w:lvlText w:val="2."/>
      <w:lvlJc w:val="left"/>
      <w:pPr>
        <w:ind w:left="1418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40">
    <w:multiLevelType w:val="hybridMultilevel"/>
    <w:lvl w:ilvl="0">
      <w:start w:val="1"/>
      <w:numFmt w:val="none"/>
      <w:isLgl w:val="false"/>
      <w:suff w:val="space"/>
      <w:lvlText w:val="3."/>
      <w:lvlJc w:val="left"/>
      <w:pPr>
        <w:ind w:left="720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num w:numId="1">
    <w:abstractNumId w:val="10"/>
  </w:num>
  <w:num w:numId="2">
    <w:abstractNumId w:val="0"/>
  </w:num>
  <w:num w:numId="3">
    <w:abstractNumId w:val="31"/>
  </w:num>
  <w:num w:numId="4">
    <w:abstractNumId w:val="25"/>
  </w:num>
  <w:num w:numId="5">
    <w:abstractNumId w:val="19"/>
  </w:num>
  <w:num w:numId="6">
    <w:abstractNumId w:val="8"/>
  </w:num>
  <w:num w:numId="7">
    <w:abstractNumId w:val="29"/>
  </w:num>
  <w:num w:numId="8">
    <w:abstractNumId w:val="20"/>
  </w:num>
  <w:num w:numId="9">
    <w:abstractNumId w:val="30"/>
  </w:num>
  <w:num w:numId="10">
    <w:abstractNumId w:val="3"/>
  </w:num>
  <w:num w:numId="11">
    <w:abstractNumId w:val="21"/>
  </w:num>
  <w:num w:numId="12">
    <w:abstractNumId w:val="22"/>
  </w:num>
  <w:num w:numId="13">
    <w:abstractNumId w:val="7"/>
  </w:num>
  <w:num w:numId="14">
    <w:abstractNumId w:val="4"/>
  </w:num>
  <w:num w:numId="15">
    <w:abstractNumId w:val="24"/>
  </w:num>
  <w:num w:numId="16">
    <w:abstractNumId w:val="27"/>
  </w:num>
  <w:num w:numId="17">
    <w:abstractNumId w:val="26"/>
  </w:num>
  <w:num w:numId="18">
    <w:abstractNumId w:val="23"/>
  </w:num>
  <w:num w:numId="19">
    <w:abstractNumId w:val="5"/>
  </w:num>
  <w:num w:numId="20">
    <w:abstractNumId w:val="16"/>
  </w:num>
  <w:num w:numId="21">
    <w:abstractNumId w:val="6"/>
  </w:num>
  <w:num w:numId="22">
    <w:abstractNumId w:val="28"/>
  </w:num>
  <w:num w:numId="23">
    <w:abstractNumId w:val="2"/>
  </w:num>
  <w:num w:numId="24">
    <w:abstractNumId w:val="9"/>
  </w:num>
  <w:num w:numId="25">
    <w:abstractNumId w:val="18"/>
  </w:num>
  <w:num w:numId="26">
    <w:abstractNumId w:val="13"/>
  </w:num>
  <w:num w:numId="27">
    <w:abstractNumId w:val="11"/>
  </w:num>
  <w:num w:numId="28">
    <w:abstractNumId w:val="17"/>
  </w:num>
  <w:num w:numId="29">
    <w:abstractNumId w:val="14"/>
  </w:num>
  <w:num w:numId="30">
    <w:abstractNumId w:val="12"/>
  </w:num>
  <w:num w:numId="31">
    <w:abstractNumId w:val="1"/>
  </w:num>
  <w:num w:numId="32">
    <w:abstractNumId w:val="15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67">
    <w:name w:val="Heading 1 Char"/>
    <w:basedOn w:val="939"/>
    <w:link w:val="937"/>
    <w:uiPriority w:val="9"/>
    <w:rPr>
      <w:rFonts w:ascii="Arial" w:hAnsi="Arial" w:eastAsia="Arial" w:cs="Arial"/>
      <w:sz w:val="40"/>
      <w:szCs w:val="40"/>
    </w:rPr>
  </w:style>
  <w:style w:type="character" w:styleId="768">
    <w:name w:val="Heading 2 Char"/>
    <w:basedOn w:val="939"/>
    <w:link w:val="938"/>
    <w:uiPriority w:val="9"/>
    <w:rPr>
      <w:rFonts w:ascii="Arial" w:hAnsi="Arial" w:eastAsia="Arial" w:cs="Arial"/>
      <w:sz w:val="34"/>
    </w:rPr>
  </w:style>
  <w:style w:type="paragraph" w:styleId="769">
    <w:name w:val="Heading 3"/>
    <w:basedOn w:val="936"/>
    <w:next w:val="936"/>
    <w:link w:val="7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70">
    <w:name w:val="Heading 3 Char"/>
    <w:basedOn w:val="939"/>
    <w:link w:val="769"/>
    <w:uiPriority w:val="9"/>
    <w:rPr>
      <w:rFonts w:ascii="Arial" w:hAnsi="Arial" w:eastAsia="Arial" w:cs="Arial"/>
      <w:sz w:val="30"/>
      <w:szCs w:val="30"/>
    </w:rPr>
  </w:style>
  <w:style w:type="paragraph" w:styleId="771">
    <w:name w:val="Heading 4"/>
    <w:basedOn w:val="936"/>
    <w:next w:val="936"/>
    <w:link w:val="7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72">
    <w:name w:val="Heading 4 Char"/>
    <w:basedOn w:val="939"/>
    <w:link w:val="771"/>
    <w:uiPriority w:val="9"/>
    <w:rPr>
      <w:rFonts w:ascii="Arial" w:hAnsi="Arial" w:eastAsia="Arial" w:cs="Arial"/>
      <w:b/>
      <w:bCs/>
      <w:sz w:val="26"/>
      <w:szCs w:val="26"/>
    </w:rPr>
  </w:style>
  <w:style w:type="paragraph" w:styleId="773">
    <w:name w:val="Heading 5"/>
    <w:basedOn w:val="936"/>
    <w:next w:val="936"/>
    <w:link w:val="7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74">
    <w:name w:val="Heading 5 Char"/>
    <w:basedOn w:val="939"/>
    <w:link w:val="773"/>
    <w:uiPriority w:val="9"/>
    <w:rPr>
      <w:rFonts w:ascii="Arial" w:hAnsi="Arial" w:eastAsia="Arial" w:cs="Arial"/>
      <w:b/>
      <w:bCs/>
      <w:sz w:val="24"/>
      <w:szCs w:val="24"/>
    </w:rPr>
  </w:style>
  <w:style w:type="paragraph" w:styleId="775">
    <w:name w:val="Heading 6"/>
    <w:basedOn w:val="936"/>
    <w:next w:val="936"/>
    <w:link w:val="7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76">
    <w:name w:val="Heading 6 Char"/>
    <w:basedOn w:val="939"/>
    <w:link w:val="775"/>
    <w:uiPriority w:val="9"/>
    <w:rPr>
      <w:rFonts w:ascii="Arial" w:hAnsi="Arial" w:eastAsia="Arial" w:cs="Arial"/>
      <w:b/>
      <w:bCs/>
      <w:sz w:val="22"/>
      <w:szCs w:val="22"/>
    </w:rPr>
  </w:style>
  <w:style w:type="paragraph" w:styleId="777">
    <w:name w:val="Heading 7"/>
    <w:basedOn w:val="936"/>
    <w:next w:val="936"/>
    <w:link w:val="7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78">
    <w:name w:val="Heading 7 Char"/>
    <w:basedOn w:val="939"/>
    <w:link w:val="7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79">
    <w:name w:val="Heading 8"/>
    <w:basedOn w:val="936"/>
    <w:next w:val="936"/>
    <w:link w:val="7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80">
    <w:name w:val="Heading 8 Char"/>
    <w:basedOn w:val="939"/>
    <w:link w:val="779"/>
    <w:uiPriority w:val="9"/>
    <w:rPr>
      <w:rFonts w:ascii="Arial" w:hAnsi="Arial" w:eastAsia="Arial" w:cs="Arial"/>
      <w:i/>
      <w:iCs/>
      <w:sz w:val="22"/>
      <w:szCs w:val="22"/>
    </w:rPr>
  </w:style>
  <w:style w:type="paragraph" w:styleId="781">
    <w:name w:val="Heading 9"/>
    <w:basedOn w:val="936"/>
    <w:next w:val="936"/>
    <w:link w:val="7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82">
    <w:name w:val="Heading 9 Char"/>
    <w:basedOn w:val="939"/>
    <w:link w:val="781"/>
    <w:uiPriority w:val="9"/>
    <w:rPr>
      <w:rFonts w:ascii="Arial" w:hAnsi="Arial" w:eastAsia="Arial" w:cs="Arial"/>
      <w:i/>
      <w:iCs/>
      <w:sz w:val="21"/>
      <w:szCs w:val="21"/>
    </w:rPr>
  </w:style>
  <w:style w:type="character" w:styleId="783">
    <w:name w:val="Title Char"/>
    <w:basedOn w:val="939"/>
    <w:link w:val="968"/>
    <w:uiPriority w:val="10"/>
    <w:rPr>
      <w:sz w:val="48"/>
      <w:szCs w:val="48"/>
    </w:rPr>
  </w:style>
  <w:style w:type="paragraph" w:styleId="784">
    <w:name w:val="Subtitle"/>
    <w:basedOn w:val="936"/>
    <w:next w:val="936"/>
    <w:link w:val="785"/>
    <w:uiPriority w:val="11"/>
    <w:qFormat/>
    <w:pPr>
      <w:spacing w:before="200" w:after="200"/>
    </w:pPr>
    <w:rPr>
      <w:sz w:val="24"/>
      <w:szCs w:val="24"/>
    </w:rPr>
  </w:style>
  <w:style w:type="character" w:styleId="785">
    <w:name w:val="Subtitle Char"/>
    <w:basedOn w:val="939"/>
    <w:link w:val="784"/>
    <w:uiPriority w:val="11"/>
    <w:rPr>
      <w:sz w:val="24"/>
      <w:szCs w:val="24"/>
    </w:rPr>
  </w:style>
  <w:style w:type="paragraph" w:styleId="786">
    <w:name w:val="Quote"/>
    <w:basedOn w:val="936"/>
    <w:next w:val="936"/>
    <w:link w:val="787"/>
    <w:uiPriority w:val="29"/>
    <w:qFormat/>
    <w:pPr>
      <w:ind w:left="720" w:right="720"/>
    </w:pPr>
    <w:rPr>
      <w:i/>
    </w:rPr>
  </w:style>
  <w:style w:type="character" w:styleId="787">
    <w:name w:val="Quote Char"/>
    <w:link w:val="786"/>
    <w:uiPriority w:val="29"/>
    <w:rPr>
      <w:i/>
    </w:rPr>
  </w:style>
  <w:style w:type="paragraph" w:styleId="788">
    <w:name w:val="Intense Quote"/>
    <w:basedOn w:val="936"/>
    <w:next w:val="936"/>
    <w:link w:val="78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89">
    <w:name w:val="Intense Quote Char"/>
    <w:link w:val="788"/>
    <w:uiPriority w:val="30"/>
    <w:rPr>
      <w:i/>
    </w:rPr>
  </w:style>
  <w:style w:type="character" w:styleId="790">
    <w:name w:val="Header Char"/>
    <w:basedOn w:val="939"/>
    <w:link w:val="953"/>
    <w:uiPriority w:val="99"/>
  </w:style>
  <w:style w:type="character" w:styleId="791">
    <w:name w:val="Footer Char"/>
    <w:basedOn w:val="939"/>
    <w:link w:val="950"/>
    <w:uiPriority w:val="99"/>
  </w:style>
  <w:style w:type="paragraph" w:styleId="792">
    <w:name w:val="Caption"/>
    <w:basedOn w:val="936"/>
    <w:next w:val="93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93">
    <w:name w:val="Caption Char"/>
    <w:basedOn w:val="792"/>
    <w:link w:val="950"/>
    <w:uiPriority w:val="99"/>
  </w:style>
  <w:style w:type="table" w:styleId="794">
    <w:name w:val="Table Grid Light"/>
    <w:basedOn w:val="94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95">
    <w:name w:val="Plain Table 1"/>
    <w:basedOn w:val="94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6">
    <w:name w:val="Plain Table 2"/>
    <w:basedOn w:val="94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7">
    <w:name w:val="Plain Table 3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8">
    <w:name w:val="Plain Table 4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Plain Table 5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00">
    <w:name w:val="Grid Table 1 Light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Grid Table 1 Light - Accent 1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Grid Table 1 Light - Accent 2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Grid Table 1 Light - Accent 3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Grid Table 1 Light - Accent 4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Grid Table 1 Light - Accent 5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Grid Table 1 Light - Accent 6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Grid Table 2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Grid Table 2 - Accent 1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Grid Table 2 - Accent 2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Grid Table 2 - Accent 3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Grid Table 2 - Accent 4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Grid Table 2 - Accent 5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Grid Table 2 - Accent 6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Grid Table 3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Grid Table 3 - Accent 1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Grid Table 3 - Accent 2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Grid Table 3 - Accent 3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Grid Table 3 - Accent 4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Grid Table 3 - Accent 5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Grid Table 3 - Accent 6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Grid Table 4"/>
    <w:basedOn w:val="9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22">
    <w:name w:val="Grid Table 4 - Accent 1"/>
    <w:basedOn w:val="9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23">
    <w:name w:val="Grid Table 4 - Accent 2"/>
    <w:basedOn w:val="9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24">
    <w:name w:val="Grid Table 4 - Accent 3"/>
    <w:basedOn w:val="9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25">
    <w:name w:val="Grid Table 4 - Accent 4"/>
    <w:basedOn w:val="9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6">
    <w:name w:val="Grid Table 4 - Accent 5"/>
    <w:basedOn w:val="9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7">
    <w:name w:val="Grid Table 4 - Accent 6"/>
    <w:basedOn w:val="9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8">
    <w:name w:val="Grid Table 5 Dark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29">
    <w:name w:val="Grid Table 5 Dark- Accent 1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30">
    <w:name w:val="Grid Table 5 Dark - Accent 2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31">
    <w:name w:val="Grid Table 5 Dark - Accent 3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32">
    <w:name w:val="Grid Table 5 Dark- Accent 4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33">
    <w:name w:val="Grid Table 5 Dark - Accent 5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34">
    <w:name w:val="Grid Table 5 Dark - Accent 6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35">
    <w:name w:val="Grid Table 6 Colorful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36">
    <w:name w:val="Grid Table 6 Colorful - Accent 1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37">
    <w:name w:val="Grid Table 6 Colorful - Accent 2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38">
    <w:name w:val="Grid Table 6 Colorful - Accent 3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39">
    <w:name w:val="Grid Table 6 Colorful - Accent 4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40">
    <w:name w:val="Grid Table 6 Colorful - Accent 5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41">
    <w:name w:val="Grid Table 6 Colorful - Accent 6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42">
    <w:name w:val="Grid Table 7 Colorful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>
    <w:name w:val="Grid Table 7 Colorful - Accent 1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>
    <w:name w:val="Grid Table 7 Colorful - Accent 2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>
    <w:name w:val="Grid Table 7 Colorful - Accent 3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>
    <w:name w:val="Grid Table 7 Colorful - Accent 4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>
    <w:name w:val="Grid Table 7 Colorful - Accent 5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>
    <w:name w:val="Grid Table 7 Colorful - Accent 6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>
    <w:name w:val="List Table 1 Light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>
    <w:name w:val="List Table 1 Light - Accent 1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>
    <w:name w:val="List Table 1 Light - Accent 2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>
    <w:name w:val="List Table 1 Light - Accent 3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>
    <w:name w:val="List Table 1 Light - Accent 4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>
    <w:name w:val="List Table 1 Light - Accent 5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>
    <w:name w:val="List Table 1 Light - Accent 6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>
    <w:name w:val="List Table 2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57">
    <w:name w:val="List Table 2 - Accent 1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58">
    <w:name w:val="List Table 2 - Accent 2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59">
    <w:name w:val="List Table 2 - Accent 3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60">
    <w:name w:val="List Table 2 - Accent 4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61">
    <w:name w:val="List Table 2 - Accent 5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62">
    <w:name w:val="List Table 2 - Accent 6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63">
    <w:name w:val="List Table 3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>
    <w:name w:val="List Table 3 - Accent 1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>
    <w:name w:val="List Table 3 - Accent 2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>
    <w:name w:val="List Table 3 - Accent 3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>
    <w:name w:val="List Table 3 - Accent 4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>
    <w:name w:val="List Table 3 - Accent 5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>
    <w:name w:val="List Table 3 - Accent 6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>
    <w:name w:val="List Table 4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>
    <w:name w:val="List Table 4 - Accent 1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>
    <w:name w:val="List Table 4 - Accent 2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3">
    <w:name w:val="List Table 4 - Accent 3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4">
    <w:name w:val="List Table 4 - Accent 4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5">
    <w:name w:val="List Table 4 - Accent 5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6">
    <w:name w:val="List Table 4 - Accent 6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7">
    <w:name w:val="List Table 5 Dark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8">
    <w:name w:val="List Table 5 Dark - Accent 1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9">
    <w:name w:val="List Table 5 Dark - Accent 2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0">
    <w:name w:val="List Table 5 Dark - Accent 3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1">
    <w:name w:val="List Table 5 Dark - Accent 4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2">
    <w:name w:val="List Table 5 Dark - Accent 5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3">
    <w:name w:val="List Table 5 Dark - Accent 6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4">
    <w:name w:val="List Table 6 Colorful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85">
    <w:name w:val="List Table 6 Colorful - Accent 1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86">
    <w:name w:val="List Table 6 Colorful - Accent 2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87">
    <w:name w:val="List Table 6 Colorful - Accent 3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88">
    <w:name w:val="List Table 6 Colorful - Accent 4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89">
    <w:name w:val="List Table 6 Colorful - Accent 5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90">
    <w:name w:val="List Table 6 Colorful - Accent 6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91">
    <w:name w:val="List Table 7 Colorful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92">
    <w:name w:val="List Table 7 Colorful - Accent 1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93">
    <w:name w:val="List Table 7 Colorful - Accent 2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94">
    <w:name w:val="List Table 7 Colorful - Accent 3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95">
    <w:name w:val="List Table 7 Colorful - Accent 4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96">
    <w:name w:val="List Table 7 Colorful - Accent 5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97">
    <w:name w:val="List Table 7 Colorful - Accent 6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98">
    <w:name w:val="Lined - Accent"/>
    <w:basedOn w:val="9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99">
    <w:name w:val="Lined - Accent 1"/>
    <w:basedOn w:val="9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00">
    <w:name w:val="Lined - Accent 2"/>
    <w:basedOn w:val="9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01">
    <w:name w:val="Lined - Accent 3"/>
    <w:basedOn w:val="9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02">
    <w:name w:val="Lined - Accent 4"/>
    <w:basedOn w:val="9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03">
    <w:name w:val="Lined - Accent 5"/>
    <w:basedOn w:val="9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04">
    <w:name w:val="Lined - Accent 6"/>
    <w:basedOn w:val="9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05">
    <w:name w:val="Bordered &amp; Lined - Accent"/>
    <w:basedOn w:val="9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06">
    <w:name w:val="Bordered &amp; Lined - Accent 1"/>
    <w:basedOn w:val="9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07">
    <w:name w:val="Bordered &amp; Lined - Accent 2"/>
    <w:basedOn w:val="9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08">
    <w:name w:val="Bordered &amp; Lined - Accent 3"/>
    <w:basedOn w:val="9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09">
    <w:name w:val="Bordered &amp; Lined - Accent 4"/>
    <w:basedOn w:val="9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10">
    <w:name w:val="Bordered &amp; Lined - Accent 5"/>
    <w:basedOn w:val="9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11">
    <w:name w:val="Bordered &amp; Lined - Accent 6"/>
    <w:basedOn w:val="9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12">
    <w:name w:val="Bordered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13">
    <w:name w:val="Bordered - Accent 1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14">
    <w:name w:val="Bordered - Accent 2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15">
    <w:name w:val="Bordered - Accent 3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16">
    <w:name w:val="Bordered - Accent 4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17">
    <w:name w:val="Bordered - Accent 5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18">
    <w:name w:val="Bordered - Accent 6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919">
    <w:name w:val="footnote text"/>
    <w:basedOn w:val="936"/>
    <w:link w:val="920"/>
    <w:uiPriority w:val="99"/>
    <w:semiHidden/>
    <w:unhideWhenUsed/>
    <w:pPr>
      <w:spacing w:after="40" w:line="240" w:lineRule="auto"/>
    </w:pPr>
    <w:rPr>
      <w:sz w:val="18"/>
    </w:rPr>
  </w:style>
  <w:style w:type="character" w:styleId="920">
    <w:name w:val="Footnote Text Char"/>
    <w:link w:val="919"/>
    <w:uiPriority w:val="99"/>
    <w:rPr>
      <w:sz w:val="18"/>
    </w:rPr>
  </w:style>
  <w:style w:type="character" w:styleId="921">
    <w:name w:val="footnote reference"/>
    <w:basedOn w:val="939"/>
    <w:uiPriority w:val="99"/>
    <w:unhideWhenUsed/>
    <w:rPr>
      <w:vertAlign w:val="superscript"/>
    </w:rPr>
  </w:style>
  <w:style w:type="paragraph" w:styleId="922">
    <w:name w:val="endnote text"/>
    <w:basedOn w:val="936"/>
    <w:link w:val="923"/>
    <w:uiPriority w:val="99"/>
    <w:semiHidden/>
    <w:unhideWhenUsed/>
    <w:pPr>
      <w:spacing w:after="0" w:line="240" w:lineRule="auto"/>
    </w:pPr>
    <w:rPr>
      <w:sz w:val="20"/>
    </w:rPr>
  </w:style>
  <w:style w:type="character" w:styleId="923">
    <w:name w:val="Endnote Text Char"/>
    <w:link w:val="922"/>
    <w:uiPriority w:val="99"/>
    <w:rPr>
      <w:sz w:val="20"/>
    </w:rPr>
  </w:style>
  <w:style w:type="character" w:styleId="924">
    <w:name w:val="endnote reference"/>
    <w:basedOn w:val="939"/>
    <w:uiPriority w:val="99"/>
    <w:semiHidden/>
    <w:unhideWhenUsed/>
    <w:rPr>
      <w:vertAlign w:val="superscript"/>
    </w:rPr>
  </w:style>
  <w:style w:type="paragraph" w:styleId="925">
    <w:name w:val="toc 1"/>
    <w:basedOn w:val="936"/>
    <w:next w:val="936"/>
    <w:uiPriority w:val="39"/>
    <w:unhideWhenUsed/>
    <w:pPr>
      <w:ind w:left="0" w:right="0" w:firstLine="0"/>
      <w:spacing w:after="57"/>
    </w:pPr>
  </w:style>
  <w:style w:type="paragraph" w:styleId="926">
    <w:name w:val="toc 2"/>
    <w:basedOn w:val="936"/>
    <w:next w:val="936"/>
    <w:uiPriority w:val="39"/>
    <w:unhideWhenUsed/>
    <w:pPr>
      <w:ind w:left="283" w:right="0" w:firstLine="0"/>
      <w:spacing w:after="57"/>
    </w:pPr>
  </w:style>
  <w:style w:type="paragraph" w:styleId="927">
    <w:name w:val="toc 3"/>
    <w:basedOn w:val="936"/>
    <w:next w:val="936"/>
    <w:uiPriority w:val="39"/>
    <w:unhideWhenUsed/>
    <w:pPr>
      <w:ind w:left="567" w:right="0" w:firstLine="0"/>
      <w:spacing w:after="57"/>
    </w:pPr>
  </w:style>
  <w:style w:type="paragraph" w:styleId="928">
    <w:name w:val="toc 4"/>
    <w:basedOn w:val="936"/>
    <w:next w:val="936"/>
    <w:uiPriority w:val="39"/>
    <w:unhideWhenUsed/>
    <w:pPr>
      <w:ind w:left="850" w:right="0" w:firstLine="0"/>
      <w:spacing w:after="57"/>
    </w:pPr>
  </w:style>
  <w:style w:type="paragraph" w:styleId="929">
    <w:name w:val="toc 5"/>
    <w:basedOn w:val="936"/>
    <w:next w:val="936"/>
    <w:uiPriority w:val="39"/>
    <w:unhideWhenUsed/>
    <w:pPr>
      <w:ind w:left="1134" w:right="0" w:firstLine="0"/>
      <w:spacing w:after="57"/>
    </w:pPr>
  </w:style>
  <w:style w:type="paragraph" w:styleId="930">
    <w:name w:val="toc 6"/>
    <w:basedOn w:val="936"/>
    <w:next w:val="936"/>
    <w:uiPriority w:val="39"/>
    <w:unhideWhenUsed/>
    <w:pPr>
      <w:ind w:left="1417" w:right="0" w:firstLine="0"/>
      <w:spacing w:after="57"/>
    </w:pPr>
  </w:style>
  <w:style w:type="paragraph" w:styleId="931">
    <w:name w:val="toc 7"/>
    <w:basedOn w:val="936"/>
    <w:next w:val="936"/>
    <w:uiPriority w:val="39"/>
    <w:unhideWhenUsed/>
    <w:pPr>
      <w:ind w:left="1701" w:right="0" w:firstLine="0"/>
      <w:spacing w:after="57"/>
    </w:pPr>
  </w:style>
  <w:style w:type="paragraph" w:styleId="932">
    <w:name w:val="toc 8"/>
    <w:basedOn w:val="936"/>
    <w:next w:val="936"/>
    <w:uiPriority w:val="39"/>
    <w:unhideWhenUsed/>
    <w:pPr>
      <w:ind w:left="1984" w:right="0" w:firstLine="0"/>
      <w:spacing w:after="57"/>
    </w:pPr>
  </w:style>
  <w:style w:type="paragraph" w:styleId="933">
    <w:name w:val="toc 9"/>
    <w:basedOn w:val="936"/>
    <w:next w:val="936"/>
    <w:uiPriority w:val="39"/>
    <w:unhideWhenUsed/>
    <w:pPr>
      <w:ind w:left="2268" w:right="0" w:firstLine="0"/>
      <w:spacing w:after="57"/>
    </w:pPr>
  </w:style>
  <w:style w:type="paragraph" w:styleId="934">
    <w:name w:val="TOC Heading"/>
    <w:uiPriority w:val="39"/>
    <w:unhideWhenUsed/>
  </w:style>
  <w:style w:type="paragraph" w:styleId="935">
    <w:name w:val="table of figures"/>
    <w:basedOn w:val="936"/>
    <w:next w:val="936"/>
    <w:uiPriority w:val="99"/>
    <w:unhideWhenUsed/>
    <w:pPr>
      <w:spacing w:after="0" w:afterAutospacing="0"/>
    </w:pPr>
  </w:style>
  <w:style w:type="paragraph" w:styleId="936" w:default="1">
    <w:name w:val="Normal"/>
    <w:qFormat/>
  </w:style>
  <w:style w:type="paragraph" w:styleId="937">
    <w:name w:val="Heading 1"/>
    <w:basedOn w:val="936"/>
    <w:next w:val="936"/>
    <w:qFormat/>
    <w:pPr>
      <w:jc w:val="center"/>
      <w:keepNext/>
      <w:outlineLvl w:val="0"/>
    </w:pPr>
    <w:rPr>
      <w:sz w:val="24"/>
    </w:rPr>
  </w:style>
  <w:style w:type="paragraph" w:styleId="938">
    <w:name w:val="Heading 2"/>
    <w:basedOn w:val="936"/>
    <w:next w:val="936"/>
    <w:link w:val="948"/>
    <w:uiPriority w:val="99"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939" w:default="1">
    <w:name w:val="Default Paragraph Font"/>
    <w:uiPriority w:val="1"/>
    <w:semiHidden/>
    <w:unhideWhenUsed/>
  </w:style>
  <w:style w:type="table" w:styleId="94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41" w:default="1">
    <w:name w:val="No List"/>
    <w:uiPriority w:val="99"/>
    <w:semiHidden/>
    <w:unhideWhenUsed/>
  </w:style>
  <w:style w:type="paragraph" w:styleId="942">
    <w:name w:val="Body Text"/>
    <w:basedOn w:val="936"/>
    <w:pPr>
      <w:jc w:val="both"/>
    </w:pPr>
    <w:rPr>
      <w:sz w:val="24"/>
      <w:szCs w:val="24"/>
    </w:rPr>
  </w:style>
  <w:style w:type="paragraph" w:styleId="943">
    <w:name w:val="Body Text Indent"/>
    <w:basedOn w:val="936"/>
    <w:link w:val="967"/>
    <w:uiPriority w:val="99"/>
    <w:pPr>
      <w:ind w:left="283"/>
      <w:spacing w:after="120"/>
    </w:pPr>
  </w:style>
  <w:style w:type="paragraph" w:styleId="944">
    <w:name w:val="Body Text 2"/>
    <w:basedOn w:val="936"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945">
    <w:name w:val="Body Text Indent 2"/>
    <w:basedOn w:val="936"/>
    <w:link w:val="975"/>
    <w:pPr>
      <w:ind w:firstLine="709"/>
      <w:jc w:val="both"/>
    </w:pPr>
    <w:rPr>
      <w:bCs/>
      <w:sz w:val="26"/>
      <w:szCs w:val="26"/>
    </w:rPr>
  </w:style>
  <w:style w:type="paragraph" w:styleId="946">
    <w:name w:val="Body Text Indent 3"/>
    <w:basedOn w:val="936"/>
    <w:pPr>
      <w:ind w:firstLine="708"/>
      <w:jc w:val="both"/>
      <w:tabs>
        <w:tab w:val="left" w:pos="1080" w:leader="none"/>
      </w:tabs>
    </w:pPr>
    <w:rPr>
      <w:sz w:val="26"/>
      <w:szCs w:val="26"/>
    </w:rPr>
  </w:style>
  <w:style w:type="paragraph" w:styleId="947" w:customStyle="1">
    <w:name w:val="Знак Знак2"/>
    <w:basedOn w:val="936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48" w:customStyle="1">
    <w:name w:val="Заголовок 2 Знак"/>
    <w:link w:val="938"/>
    <w:uiPriority w:val="99"/>
    <w:semiHidden/>
    <w:rPr>
      <w:rFonts w:ascii="Cambria" w:hAnsi="Cambria" w:eastAsia="Times New Roman" w:cs="Times New Roman"/>
      <w:b/>
      <w:bCs/>
      <w:i/>
      <w:iCs/>
      <w:sz w:val="28"/>
      <w:szCs w:val="28"/>
    </w:rPr>
  </w:style>
  <w:style w:type="paragraph" w:styleId="949" w:customStyle="1">
    <w:name w:val="ConsPlusNormal"/>
    <w:pPr>
      <w:ind w:firstLine="720"/>
      <w:widowControl w:val="off"/>
    </w:pPr>
    <w:rPr>
      <w:rFonts w:ascii="Arial" w:hAnsi="Arial" w:cs="Arial"/>
    </w:rPr>
  </w:style>
  <w:style w:type="paragraph" w:styleId="950">
    <w:name w:val="Footer"/>
    <w:basedOn w:val="936"/>
    <w:link w:val="951"/>
    <w:uiPriority w:val="99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951" w:customStyle="1">
    <w:name w:val="Нижний колонтитул Знак"/>
    <w:link w:val="950"/>
    <w:uiPriority w:val="99"/>
    <w:rPr>
      <w:rFonts w:ascii="Arial" w:hAnsi="Arial" w:cs="Arial"/>
    </w:rPr>
  </w:style>
  <w:style w:type="character" w:styleId="952">
    <w:name w:val="page number"/>
    <w:uiPriority w:val="99"/>
  </w:style>
  <w:style w:type="paragraph" w:styleId="953">
    <w:name w:val="Header"/>
    <w:basedOn w:val="936"/>
    <w:link w:val="954"/>
    <w:uiPriority w:val="99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954" w:customStyle="1">
    <w:name w:val="Верхний колонтитул Знак"/>
    <w:link w:val="953"/>
    <w:uiPriority w:val="99"/>
    <w:rPr>
      <w:rFonts w:ascii="Arial" w:hAnsi="Arial" w:cs="Arial"/>
    </w:rPr>
  </w:style>
  <w:style w:type="paragraph" w:styleId="955" w:customStyle="1">
    <w:name w:val="ConsPlusCell"/>
    <w:uiPriority w:val="99"/>
    <w:pPr>
      <w:widowControl w:val="off"/>
    </w:pPr>
    <w:rPr>
      <w:rFonts w:ascii="Arial" w:hAnsi="Arial" w:cs="Arial"/>
    </w:rPr>
  </w:style>
  <w:style w:type="table" w:styleId="956">
    <w:name w:val="Table Grid"/>
    <w:basedOn w:val="940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57">
    <w:name w:val="Balloon Text"/>
    <w:basedOn w:val="936"/>
    <w:link w:val="958"/>
    <w:uiPriority w:val="99"/>
    <w:rPr>
      <w:rFonts w:ascii="Arial" w:hAnsi="Arial" w:cs="Arial"/>
      <w:sz w:val="16"/>
      <w:szCs w:val="16"/>
    </w:rPr>
  </w:style>
  <w:style w:type="character" w:styleId="958" w:customStyle="1">
    <w:name w:val="Текст выноски Знак"/>
    <w:link w:val="957"/>
    <w:uiPriority w:val="99"/>
    <w:rPr>
      <w:rFonts w:ascii="Arial" w:hAnsi="Arial" w:cs="Arial"/>
      <w:sz w:val="16"/>
      <w:szCs w:val="16"/>
    </w:rPr>
  </w:style>
  <w:style w:type="paragraph" w:styleId="959">
    <w:name w:val="List Paragraph"/>
    <w:basedOn w:val="936"/>
    <w:link w:val="960"/>
    <w:uiPriority w:val="34"/>
    <w:qFormat/>
    <w:pPr>
      <w:ind w:left="720"/>
      <w:spacing w:after="200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character" w:styleId="960" w:customStyle="1">
    <w:name w:val="Абзац списка Знак"/>
    <w:link w:val="959"/>
    <w:uiPriority w:val="34"/>
    <w:rPr>
      <w:rFonts w:ascii="Calibri" w:hAnsi="Calibri" w:eastAsia="Calibri" w:cs="Calibri"/>
      <w:sz w:val="22"/>
      <w:szCs w:val="22"/>
      <w:lang w:eastAsia="en-US"/>
    </w:rPr>
  </w:style>
  <w:style w:type="paragraph" w:styleId="961" w:customStyle="1">
    <w:name w:val="Абзац списка1"/>
    <w:basedOn w:val="936"/>
    <w:pPr>
      <w:ind w:left="720"/>
      <w:spacing w:after="200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character" w:styleId="962">
    <w:name w:val="Hyperlink"/>
    <w:rPr>
      <w:color w:val="0000ff"/>
      <w:u w:val="single"/>
    </w:rPr>
  </w:style>
  <w:style w:type="paragraph" w:styleId="963">
    <w:name w:val="No Spacing"/>
    <w:uiPriority w:val="1"/>
    <w:qFormat/>
    <w:rPr>
      <w:rFonts w:ascii="Calibri" w:hAnsi="Calibri" w:eastAsia="Calibri" w:cs="Calibri"/>
      <w:sz w:val="22"/>
      <w:szCs w:val="22"/>
      <w:lang w:eastAsia="en-US"/>
    </w:rPr>
  </w:style>
  <w:style w:type="paragraph" w:styleId="964" w:customStyle="1">
    <w:name w:val="ConsPlusTitle"/>
    <w:uiPriority w:val="99"/>
    <w:pPr>
      <w:widowControl w:val="off"/>
    </w:pPr>
    <w:rPr>
      <w:b/>
      <w:bCs/>
      <w:sz w:val="24"/>
      <w:szCs w:val="24"/>
    </w:rPr>
  </w:style>
  <w:style w:type="paragraph" w:styleId="965">
    <w:name w:val="Body Text 3"/>
    <w:basedOn w:val="936"/>
    <w:link w:val="966"/>
    <w:uiPriority w:val="99"/>
    <w:pPr>
      <w:spacing w:after="120"/>
    </w:pPr>
    <w:rPr>
      <w:sz w:val="16"/>
      <w:szCs w:val="16"/>
    </w:rPr>
  </w:style>
  <w:style w:type="character" w:styleId="966" w:customStyle="1">
    <w:name w:val="Основной текст 3 Знак"/>
    <w:basedOn w:val="939"/>
    <w:link w:val="965"/>
    <w:uiPriority w:val="99"/>
    <w:rPr>
      <w:sz w:val="16"/>
      <w:szCs w:val="16"/>
    </w:rPr>
  </w:style>
  <w:style w:type="character" w:styleId="967" w:customStyle="1">
    <w:name w:val="Основной текст с отступом Знак"/>
    <w:link w:val="943"/>
    <w:uiPriority w:val="99"/>
  </w:style>
  <w:style w:type="paragraph" w:styleId="968">
    <w:name w:val="Title"/>
    <w:basedOn w:val="936"/>
    <w:link w:val="969"/>
    <w:uiPriority w:val="99"/>
    <w:qFormat/>
    <w:pPr>
      <w:jc w:val="center"/>
    </w:pPr>
    <w:rPr>
      <w:caps/>
      <w:sz w:val="24"/>
      <w:szCs w:val="24"/>
    </w:rPr>
  </w:style>
  <w:style w:type="character" w:styleId="969" w:customStyle="1">
    <w:name w:val="Заголовок Знак"/>
    <w:basedOn w:val="939"/>
    <w:link w:val="968"/>
    <w:uiPriority w:val="99"/>
    <w:rPr>
      <w:caps/>
      <w:sz w:val="24"/>
      <w:szCs w:val="24"/>
    </w:rPr>
  </w:style>
  <w:style w:type="paragraph" w:styleId="970" w:customStyle="1">
    <w:name w:val="Знак1"/>
    <w:basedOn w:val="936"/>
    <w:uiPriority w:val="99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styleId="971" w:customStyle="1">
    <w:name w:val="ConsPlusNonformat"/>
    <w:pPr>
      <w:widowControl w:val="off"/>
    </w:pPr>
    <w:rPr>
      <w:rFonts w:ascii="Courier New" w:hAnsi="Courier New" w:cs="Courier New"/>
    </w:rPr>
  </w:style>
  <w:style w:type="paragraph" w:styleId="972" w:customStyle="1">
    <w:name w:val="Знак Знак Знак Знак Знак Знак Знак Знак Знак Знак"/>
    <w:basedOn w:val="936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73">
    <w:name w:val="Emphasis"/>
    <w:qFormat/>
    <w:rPr>
      <w:i/>
      <w:iCs/>
    </w:rPr>
  </w:style>
  <w:style w:type="table" w:styleId="974" w:customStyle="1">
    <w:name w:val="Сетка таблицы1"/>
    <w:basedOn w:val="940"/>
    <w:next w:val="956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75" w:customStyle="1">
    <w:name w:val="Основной текст с отступом 2 Знак"/>
    <w:link w:val="945"/>
    <w:rPr>
      <w:bCs/>
      <w:sz w:val="26"/>
      <w:szCs w:val="2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customXml" Target="../customXml/item1.xml" /><Relationship Id="rId12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576CFC-8379-4228-9098-858D0433A7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Lobanova</dc:creator>
  <cp:revision>47</cp:revision>
  <dcterms:created xsi:type="dcterms:W3CDTF">2023-02-17T12:11:00Z</dcterms:created>
  <dcterms:modified xsi:type="dcterms:W3CDTF">2025-04-10T12:38:05Z</dcterms:modified>
</cp:coreProperties>
</file>