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w:bookmarkStart w:id="0" w:name="_GoBack"/>
      <w:r/>
      <w:bookmarkEnd w:id="0"/>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10.04.2025</w:t>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t xml:space="preserve">               № 589</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Об утверждении муниципального плана мероприятий по пр</w:t>
      </w:r>
      <w:r>
        <w:rPr>
          <w:rFonts w:eastAsia="Calibri"/>
          <w:b/>
          <w:bCs/>
          <w:sz w:val="20"/>
          <w:szCs w:val="20"/>
        </w:rPr>
        <w:t xml:space="preserve">испособлению жилых помещений инвалидов и общего имущества в многоквартирных домах, в которых проживают инвалиды, входящих в состав муниципального и частного жилищного фонда, с учетом потребностей инвалидов и обеспечению условий их доступности для инвалидов</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rPr>
      </w:pPr>
      <w:r>
        <w:rPr>
          <w:rFonts w:eastAsia="Calibri"/>
          <w:bCs/>
        </w:rPr>
      </w:r>
      <w:r>
        <w:rPr>
          <w:rFonts w:eastAsia="Calibri"/>
          <w:bCs/>
        </w:rPr>
      </w:r>
      <w:r>
        <w:rPr>
          <w:rFonts w:eastAsia="Calibri"/>
        </w:rPr>
      </w:r>
    </w:p>
    <w:p>
      <w:pPr>
        <w:ind w:firstLine="720"/>
        <w:jc w:val="both"/>
        <w:widowControl/>
        <w:tabs>
          <w:tab w:val="left" w:pos="993" w:leader="none"/>
        </w:tabs>
        <w:rPr>
          <w:rFonts w:eastAsia="Calibri"/>
        </w:rPr>
      </w:pPr>
      <w:r>
        <w:rPr>
          <w:rFonts w:eastAsia="Calibri"/>
          <w:bCs/>
        </w:rPr>
      </w:r>
      <w:r>
        <w:rPr>
          <w:rFonts w:eastAsia="Calibri"/>
        </w:rPr>
      </w:r>
      <w:r>
        <w:rPr>
          <w:rFonts w:eastAsia="Calibri"/>
        </w:rPr>
      </w:r>
    </w:p>
    <w:p>
      <w:pPr>
        <w:ind w:left="0" w:right="0" w:firstLine="709"/>
        <w:jc w:val="both"/>
        <w:widowControl/>
        <w:tabs>
          <w:tab w:val="left" w:pos="993" w:leader="none"/>
        </w:tabs>
        <w:rPr>
          <w:rFonts w:eastAsia="Calibri"/>
          <w:bCs/>
        </w:rPr>
      </w:pPr>
      <w:r>
        <w:rPr>
          <w:rFonts w:eastAsia="Calibri"/>
          <w:bCs/>
        </w:rPr>
        <w:t xml:space="preserve">В </w:t>
      </w:r>
      <w:r>
        <w:rPr>
          <w:rFonts w:eastAsia="Calibri"/>
          <w:bCs/>
        </w:rPr>
        <w:t xml:space="preserve">соответствии с Федеральным законом от 06.10.2003 № 131-ФЗ «Об общих принципах организации местного самоуправления в Российской Федерации», Жилищным кодексом Россий</w:t>
      </w:r>
      <w:r>
        <w:rPr>
          <w:rFonts w:eastAsia="Calibri"/>
          <w:bCs/>
        </w:rPr>
        <w:t xml:space="preserve">ской Федерации, во исполнение постановления Правительства Российской Федерации от 09.07.2016 № 649 «О мерах по приспособлению жилых помещений и общего имущества в многоквартирном доме с учетом потребностей инвалидов», а также постановлением  администрации </w:t>
      </w:r>
      <w:r>
        <w:rPr>
          <w:rFonts w:eastAsia="Calibri"/>
          <w:bCs/>
        </w:rPr>
        <w:t xml:space="preserve">Печенгского</w:t>
      </w:r>
      <w:r>
        <w:rPr>
          <w:rFonts w:eastAsia="Calibri"/>
          <w:bCs/>
        </w:rPr>
        <w:t xml:space="preserve"> муниципального</w:t>
      </w:r>
      <w:r>
        <w:rPr>
          <w:rFonts w:eastAsia="Calibri"/>
          <w:bCs/>
        </w:rPr>
        <w:t xml:space="preserve"> округа от 29.01.2025 № 125 «О создании муниципальной комиссии по обследованию жилых помещений инвалидов и общего имущества в многоквартирных домах, в которых проживают инвалиды, входящих в состав муниципального и частного жилищного фонда на территории </w:t>
      </w:r>
      <w:r>
        <w:rPr>
          <w:rFonts w:eastAsia="Calibri"/>
          <w:bCs/>
        </w:rPr>
        <w:t xml:space="preserve">Печенгского</w:t>
      </w:r>
      <w:r>
        <w:rPr>
          <w:rFonts w:eastAsia="Calibri"/>
          <w:bCs/>
        </w:rPr>
        <w:t xml:space="preserve"> муниципального </w:t>
      </w:r>
      <w:r>
        <w:rPr>
          <w:rFonts w:eastAsia="Calibri"/>
          <w:bCs/>
        </w:rPr>
        <w:t xml:space="preserve">округа</w:t>
      </w:r>
      <w:r>
        <w:rPr>
          <w:rFonts w:eastAsia="Calibri"/>
          <w:bCs/>
        </w:rPr>
        <w:t xml:space="preserve">»</w:t>
      </w:r>
      <w:r>
        <w:rPr>
          <w:rFonts w:eastAsia="Calibri"/>
          <w:bCs/>
        </w:rPr>
        <w:t xml:space="preserve">,</w:t>
      </w:r>
      <w:r>
        <w:rPr>
          <w:rFonts w:eastAsia="Calibri"/>
          <w:bCs/>
        </w:rPr>
        <w:t xml:space="preserve"> руководствуясь </w:t>
      </w:r>
      <w:r>
        <w:rPr>
          <w:rFonts w:eastAsia="Calibri"/>
          <w:bCs/>
        </w:rPr>
        <w:t xml:space="preserve">Уст</w:t>
      </w:r>
      <w:r>
        <w:rPr>
          <w:rFonts w:eastAsia="Calibri"/>
          <w:bCs/>
        </w:rPr>
        <w:t xml:space="preserve">авом </w:t>
      </w:r>
      <w:r>
        <w:rPr>
          <w:rFonts w:eastAsia="Calibri"/>
          <w:bCs/>
        </w:rPr>
        <w:t xml:space="preserve">Печенгского</w:t>
      </w:r>
      <w:r>
        <w:rPr>
          <w:rFonts w:eastAsia="Calibri"/>
          <w:bCs/>
        </w:rPr>
        <w:t xml:space="preserve"> </w:t>
      </w:r>
      <w:r>
        <w:rPr>
          <w:rFonts w:eastAsia="Calibri"/>
          <w:bCs/>
        </w:rPr>
        <w:t xml:space="preserve">муниципального </w:t>
      </w:r>
      <w:r>
        <w:rPr>
          <w:rFonts w:eastAsia="Calibri"/>
          <w:bCs/>
        </w:rPr>
        <w:t xml:space="preserve">округ</w:t>
      </w:r>
      <w:r>
        <w:rPr>
          <w:rFonts w:eastAsia="Calibri"/>
          <w:bCs/>
        </w:rPr>
        <w:t xml:space="preserve">а,</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pStyle w:val="932"/>
        <w:numPr>
          <w:ilvl w:val="0"/>
          <w:numId w:val="28"/>
        </w:numPr>
        <w:ind w:left="0" w:right="0" w:firstLine="709"/>
        <w:jc w:val="both"/>
        <w:widowControl/>
        <w:tabs>
          <w:tab w:val="left" w:pos="993" w:leader="none"/>
        </w:tabs>
        <w:rPr>
          <w:rFonts w:eastAsia="Calibri"/>
          <w:lang w:eastAsia="ar-SA"/>
        </w:rPr>
      </w:pPr>
      <w:r>
        <w:rPr>
          <w:rFonts w:eastAsia="Calibri"/>
          <w:lang w:eastAsia="ar-SA"/>
        </w:rPr>
        <w:t xml:space="preserve">Утвердить план мероприятий по приспособлению жилых помещений инвалидов и общего </w:t>
      </w:r>
      <w:r>
        <w:rPr>
          <w:rFonts w:eastAsia="Calibri"/>
          <w:lang w:eastAsia="ar-SA"/>
        </w:rPr>
        <w:t xml:space="preserve">имущества в многоквартирных домах, в которых проживают инвалиды, входящих в состав муниципального и частного жилищного фонда, с учетом потребностей инвалидов и обеспечению условий их доступности для инвалидов согласно приложению к настоящему постановлению.</w:t>
      </w:r>
      <w:r>
        <w:rPr>
          <w:rFonts w:eastAsia="Calibri"/>
          <w:lang w:eastAsia="ar-SA"/>
        </w:rPr>
      </w:r>
      <w:r>
        <w:rPr>
          <w:rFonts w:eastAsia="Calibri"/>
          <w:lang w:eastAsia="ar-SA"/>
        </w:rPr>
      </w:r>
    </w:p>
    <w:p>
      <w:pPr>
        <w:pStyle w:val="932"/>
        <w:numPr>
          <w:ilvl w:val="0"/>
          <w:numId w:val="28"/>
        </w:numPr>
        <w:ind w:left="0" w:right="0" w:firstLine="709"/>
        <w:jc w:val="both"/>
        <w:widowControl/>
        <w:tabs>
          <w:tab w:val="left" w:pos="993" w:leader="none"/>
        </w:tabs>
        <w:rPr>
          <w:rFonts w:eastAsia="Calibri"/>
          <w:lang w:eastAsia="ar-SA"/>
        </w:rPr>
      </w:pPr>
      <w:r>
        <w:rPr>
          <w:rFonts w:eastAsia="Calibri"/>
          <w:lang w:eastAsia="ar-SA"/>
        </w:rPr>
        <w:t xml:space="preserve">Настоящее постановление вступает в силу после его подписания</w:t>
      </w:r>
      <w:r>
        <w:rPr>
          <w:rFonts w:eastAsia="Calibri"/>
          <w:lang w:eastAsia="ar-SA"/>
        </w:rPr>
        <w:t xml:space="preserve">,</w:t>
      </w:r>
      <w:r>
        <w:rPr>
          <w:rFonts w:eastAsia="Calibri"/>
          <w:lang w:eastAsia="ar-SA"/>
        </w:rPr>
        <w:t xml:space="preserve"> </w:t>
      </w:r>
      <w:r>
        <w:rPr>
          <w:rFonts w:eastAsia="Calibri"/>
          <w:lang w:eastAsia="ar-SA"/>
        </w:rPr>
        <w:t xml:space="preserve">распространяется на правоотношения, возникшие с 01.01.2025.</w:t>
      </w:r>
      <w:r>
        <w:rPr>
          <w:rFonts w:eastAsia="Calibri"/>
          <w:lang w:eastAsia="ar-SA"/>
        </w:rPr>
      </w:r>
      <w:r>
        <w:rPr>
          <w:rFonts w:eastAsia="Calibri"/>
          <w:lang w:eastAsia="ar-SA"/>
        </w:rPr>
      </w:r>
    </w:p>
    <w:p>
      <w:pPr>
        <w:pStyle w:val="932"/>
        <w:numPr>
          <w:ilvl w:val="0"/>
          <w:numId w:val="28"/>
        </w:numPr>
        <w:ind w:left="0" w:right="0" w:firstLine="709"/>
        <w:jc w:val="both"/>
        <w:widowControl/>
        <w:tabs>
          <w:tab w:val="left" w:pos="1080" w:leader="none"/>
        </w:tabs>
        <w:rPr>
          <w:bCs/>
          <w:iCs/>
        </w:rPr>
      </w:pPr>
      <w:r>
        <w:rPr>
          <w:rFonts w:eastAsia="Calibri"/>
          <w:lang w:eastAsia="ar-SA"/>
        </w:rPr>
        <w:t xml:space="preserve">Настоящее постановление подлежит размещению </w:t>
      </w:r>
      <w:r>
        <w:rPr>
          <w:rFonts w:eastAsia="Calibri"/>
        </w:rPr>
        <w:t xml:space="preserve">на официальном сайте </w:t>
      </w:r>
      <w:r>
        <w:rPr>
          <w:rFonts w:eastAsia="Calibri"/>
        </w:rPr>
        <w:t xml:space="preserve">Печенгского</w:t>
      </w:r>
      <w:r>
        <w:rPr>
          <w:rFonts w:eastAsia="Calibri"/>
        </w:rPr>
        <w:t xml:space="preserve"> муниципального округа </w:t>
      </w:r>
      <w:hyperlink r:id="rId11" w:tooltip="http://pechengamr.gov-murman.ru/" w:history="1">
        <w:r>
          <w:rPr>
            <w:u w:val="single"/>
          </w:rPr>
          <w:t xml:space="preserve">http://pechengamr.gov-murman.ru/</w:t>
        </w:r>
      </w:hyperlink>
      <w:r>
        <w:rPr>
          <w:u w:val="single"/>
        </w:rPr>
        <w:t xml:space="preserve"> </w:t>
      </w:r>
      <w:r>
        <w:t xml:space="preserve">и опубликованию в газете «Печенга»</w:t>
      </w:r>
      <w:r>
        <w:rPr>
          <w:bCs/>
          <w:iCs/>
        </w:rPr>
        <w:t xml:space="preserve">.</w:t>
      </w:r>
      <w:r>
        <w:rPr>
          <w:bCs/>
          <w:iCs/>
        </w:rPr>
      </w:r>
      <w:r>
        <w:rPr>
          <w:bCs/>
          <w:iCs/>
        </w:rPr>
      </w:r>
    </w:p>
    <w:p>
      <w:pPr>
        <w:pStyle w:val="948"/>
        <w:numPr>
          <w:ilvl w:val="0"/>
          <w:numId w:val="28"/>
        </w:numPr>
        <w:ind w:left="0" w:right="0" w:firstLine="709"/>
        <w:jc w:val="both"/>
        <w:rPr>
          <w:b w:val="0"/>
          <w:bCs w:val="0"/>
          <w:sz w:val="24"/>
          <w:szCs w:val="24"/>
        </w:rPr>
      </w:pPr>
      <w:r>
        <w:rPr>
          <w:rFonts w:eastAsia="Times New Roman"/>
          <w:b w:val="0"/>
          <w:sz w:val="24"/>
          <w:szCs w:val="24"/>
        </w:rPr>
        <w:t xml:space="preserve">Контроль за</w:t>
      </w:r>
      <w:r>
        <w:rPr>
          <w:rFonts w:eastAsia="Times New Roman"/>
          <w:b w:val="0"/>
          <w:sz w:val="24"/>
          <w:szCs w:val="24"/>
        </w:rPr>
        <w:t xml:space="preserve"> исполнением настоящего постановления оставляю</w:t>
      </w:r>
      <w:r>
        <w:rPr>
          <w:rFonts w:eastAsia="Times New Roman"/>
          <w:b w:val="0"/>
          <w:sz w:val="24"/>
          <w:szCs w:val="24"/>
        </w:rPr>
        <w:t xml:space="preserve"> за собой.</w:t>
      </w:r>
      <w:r>
        <w:rPr>
          <w:b w:val="0"/>
          <w:bCs w:val="0"/>
          <w:sz w:val="24"/>
          <w:szCs w:val="24"/>
        </w:rPr>
      </w:r>
      <w:r>
        <w:rPr>
          <w:b w:val="0"/>
          <w:bCs w:val="0"/>
          <w:sz w:val="24"/>
          <w:szCs w:val="24"/>
        </w:rPr>
      </w:r>
    </w:p>
    <w:p>
      <w:pPr>
        <w:widowControl/>
      </w:pPr>
      <w:r/>
      <w:r/>
    </w:p>
    <w:p>
      <w:r/>
      <w:r/>
    </w:p>
    <w:p>
      <w:r>
        <w:t xml:space="preserve">Глава </w:t>
      </w:r>
      <w:r>
        <w:t xml:space="preserve">Печенгского</w:t>
      </w:r>
      <w:r>
        <w:t xml:space="preserve"> муниципального округа </w:t>
      </w:r>
      <w:r>
        <w:tab/>
      </w:r>
      <w:r>
        <w:tab/>
      </w:r>
      <w:r>
        <w:tab/>
      </w:r>
      <w:r>
        <w:tab/>
        <w:t xml:space="preserve">             А.В. Кузнецов</w:t>
      </w:r>
      <w:r/>
    </w:p>
    <w:p>
      <w:pPr>
        <w:rPr>
          <w:sz w:val="16"/>
          <w:szCs w:val="16"/>
        </w:rPr>
      </w:pPr>
      <w:r>
        <w:rPr>
          <w:sz w:val="16"/>
          <w:szCs w:val="16"/>
        </w:rPr>
      </w:r>
      <w:r>
        <w:rPr>
          <w:sz w:val="16"/>
          <w:szCs w:val="16"/>
        </w:rPr>
      </w:r>
      <w:r>
        <w:rPr>
          <w:sz w:val="16"/>
          <w:szCs w:val="16"/>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Рыжкова А.А.</w:t>
      </w:r>
      <w:r>
        <w:rPr>
          <w:sz w:val="20"/>
          <w:szCs w:val="20"/>
        </w:rPr>
        <w:t xml:space="preserve">,</w:t>
      </w:r>
      <w:r>
        <w:rPr>
          <w:sz w:val="20"/>
          <w:szCs w:val="20"/>
        </w:rPr>
        <w:t xml:space="preserve">51543</w:t>
      </w:r>
      <w:r>
        <w:rPr>
          <w:sz w:val="20"/>
          <w:szCs w:val="20"/>
          <w:highlight w:val="none"/>
        </w:rPr>
      </w:r>
      <w:r>
        <w:rPr>
          <w:sz w:val="20"/>
          <w:szCs w:val="20"/>
          <w:highlight w:val="none"/>
        </w:rPr>
      </w:r>
    </w:p>
    <w:p>
      <w:pPr>
        <w:ind w:left="5529"/>
        <w:jc w:val="both"/>
        <w:widowControl w:val="off"/>
        <w:rPr>
          <w:sz w:val="24"/>
          <w:szCs w:val="24"/>
        </w:rPr>
      </w:pPr>
      <w:r>
        <w:rPr>
          <w:sz w:val="24"/>
          <w:szCs w:val="24"/>
        </w:rPr>
      </w:r>
      <w:r>
        <w:rPr>
          <w:sz w:val="24"/>
          <w:szCs w:val="24"/>
        </w:rPr>
        <w:t xml:space="preserve">Приложение </w:t>
      </w:r>
      <w:r>
        <w:rPr>
          <w:sz w:val="24"/>
          <w:szCs w:val="24"/>
        </w:rPr>
      </w:r>
      <w:r>
        <w:rPr>
          <w:sz w:val="24"/>
          <w:szCs w:val="24"/>
        </w:rPr>
      </w:r>
    </w:p>
    <w:p>
      <w:pPr>
        <w:ind w:left="5529"/>
        <w:jc w:val="both"/>
        <w:widowControl w:val="off"/>
        <w:rPr>
          <w:sz w:val="24"/>
          <w:szCs w:val="24"/>
        </w:rPr>
      </w:pPr>
      <w:r>
        <w:rPr>
          <w:color w:val="auto"/>
          <w:sz w:val="24"/>
          <w:szCs w:val="24"/>
        </w:rPr>
        <w:t xml:space="preserve">к </w:t>
      </w:r>
      <w:r>
        <w:rPr>
          <w:color w:val="000000" w:themeColor="text1"/>
          <w:sz w:val="24"/>
          <w:szCs w:val="24"/>
        </w:rPr>
        <w:t xml:space="preserve">постановлению</w:t>
      </w:r>
      <w:r>
        <w:rPr>
          <w:color w:val="auto"/>
          <w:sz w:val="24"/>
          <w:szCs w:val="24"/>
        </w:rPr>
        <w:t xml:space="preserve"> </w:t>
      </w:r>
      <w:r>
        <w:rPr>
          <w:sz w:val="24"/>
          <w:szCs w:val="24"/>
        </w:rPr>
        <w:t xml:space="preserve">администрации Печенгского муниципального округа</w:t>
      </w:r>
      <w:r>
        <w:rPr>
          <w:sz w:val="24"/>
          <w:szCs w:val="24"/>
        </w:rPr>
      </w:r>
      <w:r>
        <w:rPr>
          <w:sz w:val="24"/>
          <w:szCs w:val="24"/>
        </w:rPr>
      </w:r>
    </w:p>
    <w:p>
      <w:pPr>
        <w:ind w:left="5529"/>
        <w:jc w:val="both"/>
        <w:widowControl w:val="off"/>
        <w:rPr>
          <w:sz w:val="24"/>
          <w:szCs w:val="24"/>
        </w:rPr>
      </w:pPr>
      <w:r>
        <w:rPr>
          <w:sz w:val="24"/>
          <w:szCs w:val="24"/>
        </w:rPr>
        <w:t xml:space="preserve">от 10.04.2025 № </w:t>
      </w:r>
      <w:r>
        <w:rPr>
          <w:sz w:val="24"/>
          <w:szCs w:val="24"/>
        </w:rPr>
        <w:t xml:space="preserve">589</w:t>
      </w:r>
      <w:r>
        <w:rPr>
          <w:sz w:val="24"/>
          <w:szCs w:val="24"/>
        </w:rPr>
      </w:r>
      <w:r>
        <w:rPr>
          <w:sz w:val="24"/>
          <w:szCs w:val="24"/>
        </w:rPr>
      </w:r>
    </w:p>
    <w:p>
      <w:pPr>
        <w:ind w:left="5529"/>
        <w:jc w:val="both"/>
        <w:widowControl w:val="off"/>
        <w:rPr>
          <w:color w:val="auto"/>
          <w:sz w:val="24"/>
          <w:szCs w:val="24"/>
        </w:rPr>
      </w:pPr>
      <w:r>
        <w:rPr>
          <w:color w:val="auto"/>
          <w:sz w:val="24"/>
          <w:szCs w:val="24"/>
        </w:rPr>
      </w:r>
      <w:r>
        <w:rPr>
          <w:color w:val="auto"/>
          <w:sz w:val="24"/>
          <w:szCs w:val="24"/>
        </w:rPr>
      </w:r>
      <w:r>
        <w:rPr>
          <w:color w:val="auto"/>
          <w:sz w:val="24"/>
          <w:szCs w:val="24"/>
        </w:rPr>
      </w:r>
    </w:p>
    <w:p>
      <w:pPr>
        <w:pStyle w:val="950"/>
        <w:jc w:val="center"/>
        <w:rPr>
          <w:rFonts w:ascii="Times New Roman" w:hAnsi="Times New Roman" w:cs="Times New Roman"/>
          <w:sz w:val="28"/>
          <w:szCs w:val="28"/>
        </w:rPr>
      </w:pPr>
      <w:r/>
      <w:bookmarkStart w:id="1" w:name="Par36"/>
      <w:r/>
      <w:bookmarkEnd w:id="1"/>
      <w:r>
        <w:rPr>
          <w:rFonts w:ascii="Times New Roman" w:hAnsi="Times New Roman" w:cs="Times New Roman"/>
          <w:sz w:val="28"/>
          <w:szCs w:val="28"/>
        </w:rPr>
      </w:r>
      <w:r>
        <w:rPr>
          <w:rFonts w:ascii="Times New Roman" w:hAnsi="Times New Roman" w:cs="Times New Roman"/>
          <w:sz w:val="28"/>
          <w:szCs w:val="28"/>
        </w:rPr>
      </w:r>
    </w:p>
    <w:p>
      <w:pPr>
        <w:pStyle w:val="950"/>
        <w:jc w:val="center"/>
        <w:rPr>
          <w:rFonts w:ascii="Times New Roman" w:hAnsi="Times New Roman" w:cs="Times New Roman"/>
          <w:sz w:val="28"/>
          <w:szCs w:val="28"/>
        </w:rPr>
      </w:pPr>
      <w:r>
        <w:rPr>
          <w:rFonts w:ascii="Times New Roman" w:hAnsi="Times New Roman" w:cs="Times New Roman"/>
          <w:sz w:val="28"/>
          <w:szCs w:val="28"/>
        </w:rPr>
        <w:t xml:space="preserve">ПЛАН</w:t>
      </w:r>
      <w:r>
        <w:rPr>
          <w:rFonts w:ascii="Times New Roman" w:hAnsi="Times New Roman" w:cs="Times New Roman"/>
          <w:sz w:val="28"/>
          <w:szCs w:val="28"/>
        </w:rPr>
      </w:r>
      <w:r>
        <w:rPr>
          <w:rFonts w:ascii="Times New Roman" w:hAnsi="Times New Roman" w:cs="Times New Roman"/>
          <w:sz w:val="28"/>
          <w:szCs w:val="28"/>
        </w:rPr>
      </w:r>
    </w:p>
    <w:p>
      <w:pPr>
        <w:pStyle w:val="950"/>
        <w:jc w:val="center"/>
        <w:rPr>
          <w:rFonts w:ascii="Times New Roman" w:hAnsi="Times New Roman" w:cs="Times New Roman"/>
          <w:b w:val="0"/>
          <w:sz w:val="24"/>
          <w:szCs w:val="24"/>
        </w:rPr>
      </w:pPr>
      <w:r>
        <w:rPr>
          <w:rFonts w:ascii="Times New Roman" w:hAnsi="Times New Roman" w:eastAsia="Calibri" w:cs="Times New Roman"/>
          <w:b w:val="0"/>
          <w:sz w:val="24"/>
          <w:szCs w:val="24"/>
          <w:lang w:eastAsia="ar-SA"/>
        </w:rPr>
        <w:t xml:space="preserve">мероприятий по пр</w:t>
      </w:r>
      <w:r>
        <w:rPr>
          <w:rFonts w:ascii="Times New Roman" w:hAnsi="Times New Roman" w:eastAsia="Calibri" w:cs="Times New Roman"/>
          <w:b w:val="0"/>
          <w:sz w:val="24"/>
          <w:szCs w:val="24"/>
          <w:lang w:eastAsia="ar-SA"/>
        </w:rPr>
        <w:t xml:space="preserve">испособлению жилых помещений инвалидов и общего имущества в многоквартирных домах, в которых проживают инвалиды, входящих в состав муниципального и частного жилищного фонда, с учетом потребностей инвалидов и обеспечению условий их доступности для инвалидов</w:t>
      </w:r>
      <w:r>
        <w:rPr>
          <w:rFonts w:ascii="Times New Roman" w:hAnsi="Times New Roman" w:cs="Times New Roman"/>
          <w:b w:val="0"/>
          <w:sz w:val="24"/>
          <w:szCs w:val="24"/>
        </w:rPr>
      </w:r>
      <w:r>
        <w:rPr>
          <w:rFonts w:ascii="Times New Roman" w:hAnsi="Times New Roman" w:cs="Times New Roman"/>
          <w:b w:val="0"/>
          <w:sz w:val="24"/>
          <w:szCs w:val="24"/>
        </w:rPr>
      </w:r>
    </w:p>
    <w:p>
      <w:pPr>
        <w:rPr>
          <w:sz w:val="28"/>
          <w:szCs w:val="28"/>
        </w:rPr>
      </w:pPr>
      <w:r>
        <w:rPr>
          <w:sz w:val="28"/>
          <w:szCs w:val="28"/>
        </w:rPr>
      </w:r>
      <w:r>
        <w:rPr>
          <w:sz w:val="28"/>
          <w:szCs w:val="28"/>
        </w:rPr>
      </w:r>
      <w:r>
        <w:rPr>
          <w:sz w:val="28"/>
          <w:szCs w:val="28"/>
        </w:rPr>
      </w:r>
    </w:p>
    <w:tbl>
      <w:tblPr>
        <w:tblStyle w:val="935"/>
        <w:tblW w:w="0" w:type="auto"/>
        <w:tblInd w:w="-459" w:type="dxa"/>
        <w:tblLook w:val="04A0" w:firstRow="1" w:lastRow="0" w:firstColumn="1" w:lastColumn="0" w:noHBand="0" w:noVBand="1"/>
      </w:tblPr>
      <w:tblGrid>
        <w:gridCol w:w="576"/>
        <w:gridCol w:w="4232"/>
        <w:gridCol w:w="2989"/>
        <w:gridCol w:w="2233"/>
      </w:tblGrid>
      <w:tr>
        <w:tblPrEx/>
        <w:trPr/>
        <w:tc>
          <w:tcPr>
            <w:tcW w:w="576" w:type="dxa"/>
            <w:textDirection w:val="lrTb"/>
            <w:noWrap w:val="false"/>
          </w:tcPr>
          <w:p>
            <w:r>
              <w:t xml:space="preserve">№ </w:t>
            </w:r>
            <w:r>
              <w:t xml:space="preserve">п</w:t>
            </w:r>
            <w:r>
              <w:t xml:space="preserve">/п</w:t>
            </w:r>
            <w:r/>
          </w:p>
        </w:tc>
        <w:tc>
          <w:tcPr>
            <w:tcW w:w="4232" w:type="dxa"/>
            <w:textDirection w:val="lrTb"/>
            <w:noWrap w:val="false"/>
          </w:tcPr>
          <w:p>
            <w:pPr>
              <w:jc w:val="center"/>
            </w:pPr>
            <w:r>
              <w:t xml:space="preserve">Мероприятие</w:t>
            </w:r>
            <w:r/>
          </w:p>
          <w:p>
            <w:pPr>
              <w:jc w:val="center"/>
            </w:pPr>
            <w:r/>
            <w:r/>
          </w:p>
          <w:p>
            <w:pPr>
              <w:jc w:val="center"/>
            </w:pPr>
            <w:r/>
            <w:r/>
          </w:p>
          <w:p>
            <w:pPr>
              <w:jc w:val="center"/>
            </w:pPr>
            <w:r/>
            <w:r/>
          </w:p>
        </w:tc>
        <w:tc>
          <w:tcPr>
            <w:tcW w:w="2989" w:type="dxa"/>
            <w:textDirection w:val="lrTb"/>
            <w:noWrap w:val="false"/>
          </w:tcPr>
          <w:p>
            <w:pPr>
              <w:jc w:val="center"/>
            </w:pPr>
            <w:r>
              <w:t xml:space="preserve">Срок исполнения мероприятия</w:t>
            </w:r>
            <w:r/>
          </w:p>
        </w:tc>
        <w:tc>
          <w:tcPr>
            <w:tcW w:w="2233" w:type="dxa"/>
            <w:textDirection w:val="lrTb"/>
            <w:noWrap w:val="false"/>
          </w:tcPr>
          <w:p>
            <w:pPr>
              <w:jc w:val="center"/>
            </w:pPr>
            <w:r>
              <w:t xml:space="preserve">Ответственные исполнители</w:t>
            </w:r>
            <w:r/>
          </w:p>
        </w:tc>
      </w:tr>
      <w:tr>
        <w:tblPrEx/>
        <w:trPr/>
        <w:tc>
          <w:tcPr>
            <w:tcW w:w="576" w:type="dxa"/>
            <w:textDirection w:val="lrTb"/>
            <w:noWrap w:val="false"/>
          </w:tcPr>
          <w:p>
            <w:pPr>
              <w:jc w:val="center"/>
            </w:pPr>
            <w:r>
              <w:t xml:space="preserve">1.</w:t>
            </w:r>
            <w:r/>
          </w:p>
        </w:tc>
        <w:tc>
          <w:tcPr>
            <w:tcW w:w="4232" w:type="dxa"/>
            <w:textDirection w:val="lrTb"/>
            <w:noWrap w:val="false"/>
          </w:tcPr>
          <w:p>
            <w:pPr>
              <w:pStyle w:val="948"/>
              <w:jc w:val="both"/>
              <w:rPr>
                <w:b w:val="0"/>
                <w:sz w:val="24"/>
                <w:szCs w:val="24"/>
              </w:rPr>
            </w:pPr>
            <w:r>
              <w:rPr>
                <w:b w:val="0"/>
                <w:sz w:val="24"/>
                <w:szCs w:val="24"/>
              </w:rPr>
              <w:t xml:space="preserve">Сбор и направление сведений о зарегистрированных по месту жительства гражданах, имеющих инвалидность (далее – сведения):</w:t>
            </w:r>
            <w:r>
              <w:rPr>
                <w:b w:val="0"/>
                <w:sz w:val="24"/>
                <w:szCs w:val="24"/>
              </w:rPr>
            </w:r>
            <w:r>
              <w:rPr>
                <w:b w:val="0"/>
                <w:sz w:val="24"/>
                <w:szCs w:val="24"/>
              </w:rPr>
            </w:r>
          </w:p>
          <w:p>
            <w:pPr>
              <w:pStyle w:val="948"/>
              <w:jc w:val="both"/>
              <w:rPr>
                <w:b w:val="0"/>
                <w:sz w:val="24"/>
                <w:szCs w:val="24"/>
              </w:rPr>
            </w:pPr>
            <w:r>
              <w:rPr>
                <w:b w:val="0"/>
                <w:sz w:val="24"/>
                <w:szCs w:val="24"/>
              </w:rPr>
              <w:t xml:space="preserve"> </w:t>
            </w:r>
            <w:r>
              <w:rPr>
                <w:rFonts w:ascii="Symbol" w:hAnsi="Symbol" w:eastAsia="Symbol" w:cs="Symbol"/>
                <w:b w:val="0"/>
                <w:sz w:val="24"/>
                <w:szCs w:val="24"/>
              </w:rPr>
              <w:t xml:space="preserve">-</w:t>
            </w:r>
            <w:r>
              <w:rPr>
                <w:b w:val="0"/>
                <w:sz w:val="24"/>
                <w:szCs w:val="24"/>
              </w:rPr>
              <w:t xml:space="preserve"> осуществление сбора сведений и их систематизация;</w:t>
            </w:r>
            <w:r>
              <w:rPr>
                <w:b w:val="0"/>
                <w:sz w:val="24"/>
                <w:szCs w:val="24"/>
              </w:rPr>
            </w:r>
            <w:r>
              <w:rPr>
                <w:b w:val="0"/>
                <w:sz w:val="24"/>
                <w:szCs w:val="24"/>
              </w:rPr>
            </w:r>
          </w:p>
          <w:p>
            <w:pPr>
              <w:pStyle w:val="948"/>
              <w:jc w:val="both"/>
              <w:rPr>
                <w:b w:val="0"/>
                <w:sz w:val="24"/>
                <w:szCs w:val="24"/>
              </w:rPr>
            </w:pPr>
            <w:r>
              <w:rPr>
                <w:b w:val="0"/>
                <w:sz w:val="24"/>
                <w:szCs w:val="24"/>
              </w:rPr>
              <w:t xml:space="preserve"> </w:t>
            </w:r>
            <w:r>
              <w:rPr>
                <w:rFonts w:ascii="Symbol" w:hAnsi="Symbol" w:eastAsia="Symbol" w:cs="Symbol"/>
                <w:b w:val="0"/>
                <w:sz w:val="24"/>
                <w:szCs w:val="24"/>
              </w:rPr>
              <w:t xml:space="preserve">-</w:t>
            </w:r>
            <w:r>
              <w:rPr>
                <w:b w:val="0"/>
                <w:sz w:val="24"/>
                <w:szCs w:val="24"/>
              </w:rPr>
              <w:t xml:space="preserve"> формирование адресно</w:t>
            </w:r>
            <w:r>
              <w:rPr>
                <w:b w:val="0"/>
                <w:sz w:val="24"/>
                <w:szCs w:val="24"/>
              </w:rPr>
              <w:t xml:space="preserve">го перечня инвалидов, жилых помещений инвалидов и общего имущества в многоквартирном доме (далее – МКД), в которых проживают инвалиды, входящих в состав муниципального или частного жилого фонда (далее – Адресный перечень) и осуществление его корректировки;</w:t>
            </w:r>
            <w:r>
              <w:rPr>
                <w:b w:val="0"/>
                <w:sz w:val="24"/>
                <w:szCs w:val="24"/>
              </w:rPr>
            </w:r>
            <w:r>
              <w:rPr>
                <w:b w:val="0"/>
                <w:sz w:val="24"/>
                <w:szCs w:val="24"/>
              </w:rPr>
            </w:r>
          </w:p>
          <w:p>
            <w:pPr>
              <w:jc w:val="both"/>
            </w:pPr>
            <w:r>
              <w:t xml:space="preserve"> </w:t>
            </w:r>
            <w:r>
              <w:rPr>
                <w:rFonts w:ascii="Symbol" w:hAnsi="Symbol" w:eastAsia="Symbol" w:cs="Symbol"/>
              </w:rPr>
              <w:t xml:space="preserve">-</w:t>
            </w:r>
            <w:r>
              <w:t xml:space="preserve"> направление Адресного перечня в адрес секретаря муниципальной комиссии</w:t>
            </w:r>
            <w:r/>
          </w:p>
        </w:tc>
        <w:tc>
          <w:tcPr>
            <w:tcW w:w="2989" w:type="dxa"/>
            <w:textDirection w:val="lrTb"/>
            <w:noWrap w:val="false"/>
          </w:tcPr>
          <w:p>
            <w:pPr>
              <w:pStyle w:val="948"/>
              <w:jc w:val="center"/>
              <w:rPr>
                <w:b w:val="0"/>
                <w:iCs/>
                <w:sz w:val="24"/>
                <w:szCs w:val="24"/>
              </w:rPr>
            </w:pPr>
            <w:r>
              <w:rPr>
                <w:b w:val="0"/>
                <w:sz w:val="24"/>
                <w:szCs w:val="24"/>
              </w:rPr>
              <w:t xml:space="preserve">С марта</w:t>
            </w:r>
            <w:r>
              <w:rPr>
                <w:b w:val="0"/>
                <w:sz w:val="24"/>
                <w:szCs w:val="24"/>
              </w:rPr>
              <w:t xml:space="preserve"> 2025 года на постоянной основе</w:t>
            </w:r>
            <w:r>
              <w:rPr>
                <w:b w:val="0"/>
                <w:iCs/>
                <w:sz w:val="24"/>
                <w:szCs w:val="24"/>
              </w:rPr>
            </w:r>
            <w:r>
              <w:rPr>
                <w:b w:val="0"/>
                <w:iCs/>
                <w:sz w:val="24"/>
                <w:szCs w:val="24"/>
              </w:rPr>
            </w:r>
          </w:p>
          <w:p>
            <w:pPr>
              <w:pStyle w:val="948"/>
              <w:jc w:val="center"/>
              <w:rPr>
                <w:b w:val="0"/>
                <w:iCs/>
                <w:sz w:val="24"/>
                <w:szCs w:val="24"/>
              </w:rPr>
            </w:pPr>
            <w:r>
              <w:rPr>
                <w:b w:val="0"/>
                <w:iCs/>
                <w:sz w:val="24"/>
                <w:szCs w:val="24"/>
              </w:rPr>
            </w:r>
            <w:r>
              <w:rPr>
                <w:b w:val="0"/>
                <w:iCs/>
                <w:sz w:val="24"/>
                <w:szCs w:val="24"/>
              </w:rPr>
            </w:r>
            <w:r>
              <w:rPr>
                <w:b w:val="0"/>
                <w:iCs/>
                <w:sz w:val="24"/>
                <w:szCs w:val="24"/>
              </w:rPr>
            </w:r>
          </w:p>
          <w:p>
            <w:pPr>
              <w:pStyle w:val="948"/>
              <w:jc w:val="center"/>
              <w:rPr>
                <w:b w:val="0"/>
                <w:iCs/>
                <w:sz w:val="24"/>
                <w:szCs w:val="24"/>
              </w:rPr>
            </w:pPr>
            <w:r>
              <w:rPr>
                <w:b w:val="0"/>
                <w:iCs/>
                <w:sz w:val="24"/>
                <w:szCs w:val="24"/>
              </w:rPr>
            </w:r>
            <w:r>
              <w:rPr>
                <w:b w:val="0"/>
                <w:iCs/>
                <w:sz w:val="24"/>
                <w:szCs w:val="24"/>
              </w:rPr>
            </w:r>
            <w:r>
              <w:rPr>
                <w:b w:val="0"/>
                <w:iCs/>
                <w:sz w:val="24"/>
                <w:szCs w:val="24"/>
              </w:rPr>
            </w:r>
          </w:p>
          <w:p>
            <w:pPr>
              <w:pStyle w:val="948"/>
              <w:jc w:val="center"/>
              <w:rPr>
                <w:b w:val="0"/>
                <w:iCs/>
                <w:sz w:val="24"/>
                <w:szCs w:val="24"/>
              </w:rPr>
            </w:pPr>
            <w:r>
              <w:rPr>
                <w:b w:val="0"/>
                <w:iCs/>
                <w:sz w:val="24"/>
                <w:szCs w:val="24"/>
              </w:rPr>
            </w:r>
            <w:r>
              <w:rPr>
                <w:b w:val="0"/>
                <w:iCs/>
                <w:sz w:val="24"/>
                <w:szCs w:val="24"/>
              </w:rPr>
            </w:r>
            <w:r>
              <w:rPr>
                <w:b w:val="0"/>
                <w:iCs/>
                <w:sz w:val="24"/>
                <w:szCs w:val="24"/>
              </w:rPr>
            </w:r>
          </w:p>
          <w:p>
            <w:pPr>
              <w:pStyle w:val="948"/>
              <w:jc w:val="center"/>
              <w:rPr>
                <w:b w:val="0"/>
                <w:iCs/>
                <w:sz w:val="24"/>
                <w:szCs w:val="24"/>
              </w:rPr>
            </w:pPr>
            <w:r>
              <w:rPr>
                <w:b w:val="0"/>
                <w:iCs/>
                <w:sz w:val="24"/>
                <w:szCs w:val="24"/>
              </w:rPr>
            </w:r>
            <w:r>
              <w:rPr>
                <w:b w:val="0"/>
                <w:iCs/>
                <w:sz w:val="24"/>
                <w:szCs w:val="24"/>
              </w:rPr>
            </w:r>
            <w:r>
              <w:rPr>
                <w:b w:val="0"/>
                <w:iCs/>
                <w:sz w:val="24"/>
                <w:szCs w:val="24"/>
              </w:rPr>
            </w:r>
          </w:p>
          <w:p>
            <w:pPr>
              <w:pStyle w:val="948"/>
              <w:jc w:val="center"/>
              <w:rPr>
                <w:b w:val="0"/>
                <w:iCs/>
                <w:sz w:val="24"/>
                <w:szCs w:val="24"/>
              </w:rPr>
            </w:pPr>
            <w:r>
              <w:rPr>
                <w:b w:val="0"/>
                <w:iCs/>
                <w:sz w:val="24"/>
                <w:szCs w:val="24"/>
              </w:rPr>
            </w:r>
            <w:r>
              <w:rPr>
                <w:b w:val="0"/>
                <w:iCs/>
                <w:sz w:val="24"/>
                <w:szCs w:val="24"/>
              </w:rPr>
            </w:r>
            <w:r>
              <w:rPr>
                <w:b w:val="0"/>
                <w:iCs/>
                <w:sz w:val="24"/>
                <w:szCs w:val="24"/>
              </w:rPr>
            </w:r>
          </w:p>
          <w:p>
            <w:pPr>
              <w:pStyle w:val="948"/>
              <w:jc w:val="center"/>
              <w:rPr>
                <w:b w:val="0"/>
                <w:iCs/>
                <w:sz w:val="24"/>
                <w:szCs w:val="24"/>
              </w:rPr>
            </w:pPr>
            <w:r>
              <w:rPr>
                <w:b w:val="0"/>
                <w:iCs/>
                <w:sz w:val="24"/>
                <w:szCs w:val="24"/>
              </w:rPr>
            </w:r>
            <w:r>
              <w:rPr>
                <w:b w:val="0"/>
                <w:iCs/>
                <w:sz w:val="24"/>
                <w:szCs w:val="24"/>
              </w:rPr>
            </w:r>
            <w:r>
              <w:rPr>
                <w:b w:val="0"/>
                <w:iCs/>
                <w:sz w:val="24"/>
                <w:szCs w:val="24"/>
              </w:rPr>
            </w:r>
          </w:p>
          <w:p>
            <w:pPr>
              <w:pStyle w:val="948"/>
              <w:jc w:val="center"/>
              <w:rPr>
                <w:b w:val="0"/>
                <w:iCs/>
                <w:sz w:val="24"/>
                <w:szCs w:val="24"/>
              </w:rPr>
            </w:pPr>
            <w:r>
              <w:rPr>
                <w:b w:val="0"/>
                <w:iCs/>
                <w:sz w:val="24"/>
                <w:szCs w:val="24"/>
              </w:rPr>
            </w:r>
            <w:r>
              <w:rPr>
                <w:b w:val="0"/>
                <w:iCs/>
                <w:sz w:val="24"/>
                <w:szCs w:val="24"/>
              </w:rPr>
            </w:r>
            <w:r>
              <w:rPr>
                <w:b w:val="0"/>
                <w:iCs/>
                <w:sz w:val="24"/>
                <w:szCs w:val="24"/>
              </w:rPr>
            </w:r>
          </w:p>
          <w:p>
            <w:pPr>
              <w:pStyle w:val="948"/>
              <w:jc w:val="center"/>
              <w:rPr>
                <w:b w:val="0"/>
                <w:iCs/>
                <w:sz w:val="24"/>
                <w:szCs w:val="24"/>
              </w:rPr>
            </w:pPr>
            <w:r>
              <w:rPr>
                <w:b w:val="0"/>
                <w:iCs/>
                <w:sz w:val="24"/>
                <w:szCs w:val="24"/>
              </w:rPr>
            </w:r>
            <w:r>
              <w:rPr>
                <w:b w:val="0"/>
                <w:iCs/>
                <w:sz w:val="24"/>
                <w:szCs w:val="24"/>
              </w:rPr>
            </w:r>
            <w:r>
              <w:rPr>
                <w:b w:val="0"/>
                <w:iCs/>
                <w:sz w:val="24"/>
                <w:szCs w:val="24"/>
              </w:rPr>
            </w:r>
          </w:p>
          <w:p>
            <w:pPr>
              <w:pStyle w:val="948"/>
              <w:jc w:val="center"/>
              <w:rPr>
                <w:b w:val="0"/>
                <w:iCs/>
                <w:sz w:val="24"/>
                <w:szCs w:val="24"/>
              </w:rPr>
            </w:pPr>
            <w:r>
              <w:rPr>
                <w:b w:val="0"/>
                <w:iCs/>
                <w:sz w:val="24"/>
                <w:szCs w:val="24"/>
              </w:rPr>
              <w:t xml:space="preserve">Ежемесячно</w:t>
            </w:r>
            <w:r>
              <w:rPr>
                <w:b w:val="0"/>
                <w:iCs/>
                <w:sz w:val="24"/>
                <w:szCs w:val="24"/>
              </w:rPr>
            </w:r>
            <w:r>
              <w:rPr>
                <w:b w:val="0"/>
                <w:iCs/>
                <w:sz w:val="24"/>
                <w:szCs w:val="24"/>
              </w:rPr>
            </w:r>
          </w:p>
          <w:p>
            <w:pPr>
              <w:jc w:val="center"/>
            </w:pPr>
            <w:r>
              <w:rPr>
                <w:iCs/>
              </w:rPr>
              <w:t xml:space="preserve">1-го числа</w:t>
            </w:r>
            <w:r/>
          </w:p>
        </w:tc>
        <w:tc>
          <w:tcPr>
            <w:tcW w:w="2233" w:type="dxa"/>
            <w:textDirection w:val="lrTb"/>
            <w:noWrap w:val="false"/>
          </w:tcPr>
          <w:p>
            <w:pPr>
              <w:jc w:val="center"/>
            </w:pPr>
            <w:r>
              <w:t xml:space="preserve">Сектор по социальной работе организационного отдела МКУ «Управление по обеспечению деятельности  администрации </w:t>
            </w:r>
            <w:r>
              <w:t xml:space="preserve">Печенгского</w:t>
            </w:r>
            <w:r>
              <w:t xml:space="preserve"> муниципального округа» (</w:t>
            </w:r>
            <w:r>
              <w:t xml:space="preserve">далее</w:t>
            </w:r>
            <w:r>
              <w:t xml:space="preserve"> </w:t>
            </w:r>
            <w:r>
              <w:t xml:space="preserve"> –</w:t>
            </w:r>
            <w:r>
              <w:t xml:space="preserve"> </w:t>
            </w:r>
            <w:r>
              <w:t xml:space="preserve">сектор по социальной работе)</w:t>
            </w:r>
            <w:r>
              <w:t xml:space="preserve">,</w:t>
            </w:r>
            <w:r/>
          </w:p>
          <w:p>
            <w:pPr>
              <w:jc w:val="center"/>
            </w:pPr>
            <w:r>
              <w:t xml:space="preserve">Отдел строительства и ЖКХ</w:t>
            </w:r>
            <w:r/>
          </w:p>
        </w:tc>
      </w:tr>
      <w:tr>
        <w:tblPrEx/>
        <w:trPr/>
        <w:tc>
          <w:tcPr>
            <w:tcW w:w="576" w:type="dxa"/>
            <w:textDirection w:val="lrTb"/>
            <w:noWrap w:val="false"/>
          </w:tcPr>
          <w:p>
            <w:pPr>
              <w:jc w:val="center"/>
            </w:pPr>
            <w:r>
              <w:t xml:space="preserve">2.</w:t>
            </w:r>
            <w:r/>
          </w:p>
        </w:tc>
        <w:tc>
          <w:tcPr>
            <w:tcW w:w="4232" w:type="dxa"/>
            <w:textDirection w:val="lrTb"/>
            <w:noWrap w:val="false"/>
          </w:tcPr>
          <w:p>
            <w:pPr>
              <w:jc w:val="both"/>
            </w:pPr>
            <w:r>
              <w:t xml:space="preserve">Разработка и утверждение последовательности обследования муниципальной комиссией жилых помещений инвалидов и общего имущества в МКД, в которых проживают инвалиды</w:t>
            </w:r>
            <w:r/>
          </w:p>
        </w:tc>
        <w:tc>
          <w:tcPr>
            <w:tcW w:w="2989" w:type="dxa"/>
            <w:textDirection w:val="lrTb"/>
            <w:noWrap w:val="false"/>
          </w:tcPr>
          <w:p>
            <w:pPr>
              <w:jc w:val="center"/>
            </w:pPr>
            <w:r>
              <w:t xml:space="preserve">С марта 2025 года </w:t>
            </w:r>
            <w:r/>
          </w:p>
          <w:p>
            <w:pPr>
              <w:jc w:val="center"/>
            </w:pPr>
            <w:r>
              <w:t xml:space="preserve">на постоянной основе</w:t>
            </w:r>
            <w:r/>
          </w:p>
        </w:tc>
        <w:tc>
          <w:tcPr>
            <w:tcW w:w="2233" w:type="dxa"/>
            <w:textDirection w:val="lrTb"/>
            <w:noWrap w:val="false"/>
          </w:tcPr>
          <w:p>
            <w:pPr>
              <w:jc w:val="center"/>
            </w:pPr>
            <w:r>
              <w:t xml:space="preserve">Муниципальная комиссия</w:t>
            </w:r>
            <w:r/>
          </w:p>
          <w:p>
            <w:pPr>
              <w:jc w:val="center"/>
            </w:pPr>
            <w:r>
              <w:t xml:space="preserve">(заместитель председателя)</w:t>
            </w:r>
            <w:r/>
          </w:p>
        </w:tc>
      </w:tr>
      <w:tr>
        <w:tblPrEx/>
        <w:trPr/>
        <w:tc>
          <w:tcPr>
            <w:tcW w:w="576" w:type="dxa"/>
            <w:textDirection w:val="lrTb"/>
            <w:noWrap w:val="false"/>
          </w:tcPr>
          <w:p>
            <w:pPr>
              <w:jc w:val="center"/>
            </w:pPr>
            <w:r>
              <w:t xml:space="preserve">3.</w:t>
            </w:r>
            <w:r/>
          </w:p>
        </w:tc>
        <w:tc>
          <w:tcPr>
            <w:tcW w:w="4232" w:type="dxa"/>
            <w:textDirection w:val="lrTb"/>
            <w:noWrap w:val="false"/>
          </w:tcPr>
          <w:p>
            <w:pPr>
              <w:pStyle w:val="948"/>
              <w:jc w:val="both"/>
              <w:rPr>
                <w:b w:val="0"/>
                <w:sz w:val="24"/>
                <w:szCs w:val="24"/>
              </w:rPr>
            </w:pPr>
            <w:r>
              <w:rPr>
                <w:b w:val="0"/>
                <w:sz w:val="24"/>
                <w:szCs w:val="24"/>
              </w:rPr>
              <w:t xml:space="preserve">Осуществление сбора исходных данных:</w:t>
            </w:r>
            <w:r>
              <w:rPr>
                <w:b w:val="0"/>
                <w:sz w:val="24"/>
                <w:szCs w:val="24"/>
              </w:rPr>
            </w:r>
            <w:r>
              <w:rPr>
                <w:b w:val="0"/>
                <w:sz w:val="24"/>
                <w:szCs w:val="24"/>
              </w:rPr>
            </w:r>
          </w:p>
          <w:p>
            <w:pPr>
              <w:pStyle w:val="948"/>
              <w:jc w:val="both"/>
              <w:rPr>
                <w:b w:val="0"/>
                <w:sz w:val="24"/>
                <w:szCs w:val="24"/>
              </w:rPr>
            </w:pPr>
            <w:r>
              <w:rPr>
                <w:rFonts w:ascii="Symbol" w:hAnsi="Symbol" w:eastAsia="Symbol" w:cs="Symbol"/>
                <w:b w:val="0"/>
                <w:sz w:val="24"/>
                <w:szCs w:val="24"/>
              </w:rPr>
              <w:t xml:space="preserve">-</w:t>
            </w:r>
            <w:r>
              <w:rPr>
                <w:b w:val="0"/>
                <w:sz w:val="24"/>
                <w:szCs w:val="24"/>
              </w:rPr>
              <w:t xml:space="preserve"> технических характеристик общего имущества в МКД, в которых проживают инвалиды</w:t>
            </w:r>
            <w:r>
              <w:rPr>
                <w:b w:val="0"/>
                <w:sz w:val="24"/>
                <w:szCs w:val="24"/>
              </w:rPr>
            </w:r>
            <w:r>
              <w:rPr>
                <w:b w:val="0"/>
                <w:sz w:val="24"/>
                <w:szCs w:val="24"/>
              </w:rPr>
            </w:r>
          </w:p>
        </w:tc>
        <w:tc>
          <w:tcPr>
            <w:tcW w:w="2989" w:type="dxa"/>
            <w:textDirection w:val="lrTb"/>
            <w:noWrap w:val="false"/>
          </w:tcPr>
          <w:p>
            <w:pPr>
              <w:jc w:val="center"/>
            </w:pPr>
            <w:r>
              <w:t xml:space="preserve">С марта 2025 года </w:t>
            </w:r>
            <w:r/>
          </w:p>
          <w:p>
            <w:pPr>
              <w:jc w:val="center"/>
            </w:pPr>
            <w:r>
              <w:t xml:space="preserve">на постоянной основе</w:t>
            </w:r>
            <w:r/>
          </w:p>
        </w:tc>
        <w:tc>
          <w:tcPr>
            <w:tcW w:w="2233" w:type="dxa"/>
            <w:textDirection w:val="lrTb"/>
            <w:noWrap w:val="false"/>
          </w:tcPr>
          <w:p>
            <w:pPr>
              <w:jc w:val="center"/>
            </w:pPr>
            <w:r>
              <w:t xml:space="preserve">Отдел строительства и ЖКХ</w:t>
            </w:r>
            <w:r/>
          </w:p>
        </w:tc>
      </w:tr>
      <w:tr>
        <w:tblPrEx/>
        <w:trPr/>
        <w:tc>
          <w:tcPr>
            <w:tcW w:w="576" w:type="dxa"/>
            <w:textDirection w:val="lrTb"/>
            <w:noWrap w:val="false"/>
          </w:tcPr>
          <w:p>
            <w:pPr>
              <w:jc w:val="center"/>
            </w:pPr>
            <w:r>
              <w:t xml:space="preserve">4.</w:t>
            </w:r>
            <w:r/>
          </w:p>
        </w:tc>
        <w:tc>
          <w:tcPr>
            <w:tcW w:w="4232" w:type="dxa"/>
            <w:textDirection w:val="lrTb"/>
            <w:noWrap w:val="false"/>
          </w:tcPr>
          <w:p>
            <w:pPr>
              <w:pStyle w:val="948"/>
              <w:jc w:val="both"/>
              <w:rPr>
                <w:b w:val="0"/>
                <w:bCs w:val="0"/>
                <w:sz w:val="24"/>
                <w:szCs w:val="24"/>
              </w:rPr>
            </w:pPr>
            <w:r>
              <w:rPr>
                <w:b w:val="0"/>
                <w:sz w:val="24"/>
                <w:szCs w:val="24"/>
              </w:rPr>
              <w:t xml:space="preserve">Осуществление проведения обследования жилого помещения инвалида и общего имущества в МКД, в котором проживает инвалид, в целях оценки их приспособления, с учетом его потребностей и обеспечения </w:t>
            </w:r>
            <w:r>
              <w:rPr>
                <w:b w:val="0"/>
                <w:sz w:val="24"/>
                <w:szCs w:val="24"/>
              </w:rPr>
              <w:t xml:space="preserve">условий их доступности для инвалида:</w:t>
            </w:r>
            <w:r>
              <w:rPr>
                <w:b w:val="0"/>
                <w:bCs w:val="0"/>
                <w:sz w:val="24"/>
                <w:szCs w:val="24"/>
              </w:rPr>
            </w:r>
            <w:r>
              <w:rPr>
                <w:b w:val="0"/>
                <w:bCs w:val="0"/>
                <w:sz w:val="24"/>
                <w:szCs w:val="24"/>
              </w:rPr>
            </w:r>
          </w:p>
          <w:p>
            <w:pPr>
              <w:pStyle w:val="948"/>
              <w:jc w:val="both"/>
              <w:rPr>
                <w:b w:val="0"/>
                <w:sz w:val="24"/>
                <w:szCs w:val="24"/>
              </w:rPr>
            </w:pPr>
            <w:r>
              <w:rPr>
                <w:b w:val="0"/>
                <w:sz w:val="24"/>
                <w:szCs w:val="24"/>
              </w:rPr>
              <w:t xml:space="preserve"> </w:t>
            </w:r>
            <w:r>
              <w:rPr>
                <w:rFonts w:ascii="Symbol" w:hAnsi="Symbol" w:eastAsia="Symbol" w:cs="Symbol"/>
                <w:b w:val="0"/>
                <w:sz w:val="24"/>
                <w:szCs w:val="24"/>
              </w:rPr>
              <w:t xml:space="preserve">-</w:t>
            </w:r>
            <w:r>
              <w:rPr>
                <w:b w:val="0"/>
                <w:sz w:val="24"/>
                <w:szCs w:val="24"/>
              </w:rPr>
              <w:t xml:space="preserve"> проведение беседы с гражданином, признанным инвалидом; </w:t>
            </w:r>
            <w:r>
              <w:rPr>
                <w:b w:val="0"/>
                <w:sz w:val="24"/>
                <w:szCs w:val="24"/>
              </w:rPr>
            </w:r>
            <w:r>
              <w:rPr>
                <w:b w:val="0"/>
                <w:sz w:val="24"/>
                <w:szCs w:val="24"/>
              </w:rPr>
            </w:r>
          </w:p>
          <w:p>
            <w:pPr>
              <w:pStyle w:val="948"/>
              <w:jc w:val="both"/>
              <w:rPr>
                <w:b w:val="0"/>
                <w:sz w:val="24"/>
                <w:szCs w:val="24"/>
              </w:rPr>
            </w:pPr>
            <w:r>
              <w:rPr>
                <w:b w:val="0"/>
                <w:sz w:val="24"/>
                <w:szCs w:val="24"/>
              </w:rPr>
              <w:t xml:space="preserve"> </w:t>
            </w:r>
            <w:r>
              <w:rPr>
                <w:rFonts w:ascii="Symbol" w:hAnsi="Symbol" w:eastAsia="Symbol" w:cs="Symbol"/>
                <w:b w:val="0"/>
                <w:sz w:val="24"/>
                <w:szCs w:val="24"/>
              </w:rPr>
              <w:t xml:space="preserve">-</w:t>
            </w:r>
            <w:r>
              <w:rPr>
                <w:b w:val="0"/>
                <w:sz w:val="24"/>
                <w:szCs w:val="24"/>
              </w:rPr>
              <w:t xml:space="preserve"> рассмотрение документов о признании гражданина инвалидом;</w:t>
            </w:r>
            <w:r>
              <w:rPr>
                <w:b w:val="0"/>
                <w:sz w:val="24"/>
                <w:szCs w:val="24"/>
              </w:rPr>
            </w:r>
            <w:r>
              <w:rPr>
                <w:b w:val="0"/>
                <w:sz w:val="24"/>
                <w:szCs w:val="24"/>
              </w:rPr>
            </w:r>
          </w:p>
          <w:p>
            <w:r>
              <w:rPr>
                <w:rFonts w:ascii="Symbol" w:hAnsi="Symbol" w:eastAsia="Symbol" w:cs="Symbol"/>
              </w:rPr>
              <w:t xml:space="preserve">-</w:t>
            </w:r>
            <w:r>
              <w:t xml:space="preserve"> </w:t>
            </w:r>
            <w:r>
              <w:rPr>
                <w:bCs/>
              </w:rPr>
              <w:t xml:space="preserve">рассмотрение документов о характеристиках жилого помещения инвалида, общего имущества в МКД и проведение</w:t>
            </w:r>
            <w:r>
              <w:t xml:space="preserve"> их осмотра</w:t>
            </w:r>
            <w:r/>
          </w:p>
        </w:tc>
        <w:tc>
          <w:tcPr>
            <w:tcW w:w="2989" w:type="dxa"/>
            <w:textDirection w:val="lrTb"/>
            <w:noWrap w:val="false"/>
          </w:tcPr>
          <w:p>
            <w:pPr>
              <w:jc w:val="center"/>
            </w:pPr>
            <w:r>
              <w:t xml:space="preserve">С марта 2025 года</w:t>
            </w:r>
            <w:r/>
          </w:p>
          <w:p>
            <w:pPr>
              <w:jc w:val="center"/>
            </w:pPr>
            <w:r>
              <w:t xml:space="preserve">на постоянной основе</w:t>
            </w:r>
            <w:r/>
          </w:p>
        </w:tc>
        <w:tc>
          <w:tcPr>
            <w:tcW w:w="2233" w:type="dxa"/>
            <w:textDirection w:val="lrTb"/>
            <w:noWrap w:val="false"/>
          </w:tcPr>
          <w:p>
            <w:pPr>
              <w:jc w:val="center"/>
            </w:pPr>
            <w:r>
              <w:t xml:space="preserve">Муниципальная </w:t>
            </w:r>
            <w:r>
              <w:t xml:space="preserve">комиссия</w:t>
            </w:r>
            <w:r/>
          </w:p>
        </w:tc>
      </w:tr>
      <w:tr>
        <w:tblPrEx/>
        <w:trPr/>
        <w:tc>
          <w:tcPr>
            <w:tcW w:w="576" w:type="dxa"/>
            <w:textDirection w:val="lrTb"/>
            <w:noWrap w:val="false"/>
          </w:tcPr>
          <w:p>
            <w:pPr>
              <w:jc w:val="center"/>
            </w:pPr>
            <w:r>
              <w:t xml:space="preserve">5.</w:t>
            </w:r>
            <w:r/>
          </w:p>
        </w:tc>
        <w:tc>
          <w:tcPr>
            <w:tcW w:w="4232" w:type="dxa"/>
            <w:textDirection w:val="lrTb"/>
            <w:noWrap w:val="false"/>
          </w:tcPr>
          <w:p>
            <w:pPr>
              <w:jc w:val="both"/>
            </w:pPr>
            <w:r>
              <w:t xml:space="preserve">Осуществление проведения дополнительных обследований</w:t>
            </w:r>
            <w:r/>
          </w:p>
        </w:tc>
        <w:tc>
          <w:tcPr>
            <w:tcW w:w="2989" w:type="dxa"/>
            <w:textDirection w:val="lrTb"/>
            <w:noWrap w:val="false"/>
          </w:tcPr>
          <w:p>
            <w:pPr>
              <w:jc w:val="center"/>
            </w:pPr>
            <w:r>
              <w:t xml:space="preserve">По мере необходимости</w:t>
            </w:r>
            <w:r/>
          </w:p>
        </w:tc>
        <w:tc>
          <w:tcPr>
            <w:tcW w:w="2233" w:type="dxa"/>
            <w:textDirection w:val="lrTb"/>
            <w:noWrap w:val="false"/>
          </w:tcPr>
          <w:p>
            <w:pPr>
              <w:jc w:val="center"/>
            </w:pPr>
            <w:r>
              <w:t xml:space="preserve">Муниципальная комиссия</w:t>
            </w:r>
            <w:r/>
          </w:p>
        </w:tc>
      </w:tr>
      <w:tr>
        <w:tblPrEx/>
        <w:trPr/>
        <w:tc>
          <w:tcPr>
            <w:tcW w:w="576" w:type="dxa"/>
            <w:textDirection w:val="lrTb"/>
            <w:noWrap w:val="false"/>
          </w:tcPr>
          <w:p>
            <w:pPr>
              <w:jc w:val="center"/>
            </w:pPr>
            <w:r>
              <w:t xml:space="preserve">6.</w:t>
            </w:r>
            <w:r/>
          </w:p>
        </w:tc>
        <w:tc>
          <w:tcPr>
            <w:tcW w:w="4232" w:type="dxa"/>
            <w:textDirection w:val="lrTb"/>
            <w:noWrap w:val="false"/>
          </w:tcPr>
          <w:p>
            <w:pPr>
              <w:pStyle w:val="948"/>
              <w:jc w:val="both"/>
              <w:rPr>
                <w:b w:val="0"/>
                <w:sz w:val="24"/>
                <w:szCs w:val="24"/>
              </w:rPr>
            </w:pPr>
            <w:r>
              <w:rPr>
                <w:b w:val="0"/>
                <w:sz w:val="24"/>
                <w:szCs w:val="24"/>
              </w:rPr>
              <w:t xml:space="preserve">Осуществление </w:t>
            </w:r>
            <w:r>
              <w:rPr>
                <w:b w:val="0"/>
                <w:sz w:val="24"/>
                <w:szCs w:val="24"/>
              </w:rPr>
              <w:t xml:space="preserve">подготовки и оформления акта обследования жилого помещения инвалида и общего имущества в МКД, в котором проживает инвалид, в целях их приспособления с учетом потребностей инвалида и обеспечения условий их доступности для инвалида (далее – акт обследования)</w:t>
            </w:r>
            <w:r>
              <w:rPr>
                <w:b w:val="0"/>
                <w:sz w:val="24"/>
                <w:szCs w:val="24"/>
              </w:rPr>
            </w:r>
            <w:r>
              <w:rPr>
                <w:b w:val="0"/>
                <w:sz w:val="24"/>
                <w:szCs w:val="24"/>
              </w:rPr>
            </w:r>
          </w:p>
        </w:tc>
        <w:tc>
          <w:tcPr>
            <w:tcW w:w="2989" w:type="dxa"/>
            <w:textDirection w:val="lrTb"/>
            <w:noWrap w:val="false"/>
          </w:tcPr>
          <w:p>
            <w:pPr>
              <w:jc w:val="center"/>
            </w:pPr>
            <w:r>
              <w:t xml:space="preserve">В течение 10 рабочих дней после проведения мероприятий </w:t>
            </w:r>
            <w:r>
              <w:t xml:space="preserve">п.п</w:t>
            </w:r>
            <w:r>
              <w:t xml:space="preserve">. 4, 5 настоящего плана</w:t>
            </w:r>
            <w:r/>
          </w:p>
        </w:tc>
        <w:tc>
          <w:tcPr>
            <w:tcW w:w="2233" w:type="dxa"/>
            <w:textDirection w:val="lrTb"/>
            <w:noWrap w:val="false"/>
          </w:tcPr>
          <w:p>
            <w:pPr>
              <w:jc w:val="center"/>
            </w:pPr>
            <w:r>
              <w:t xml:space="preserve">Секретарь муниципальной комиссии</w:t>
            </w:r>
            <w:r/>
          </w:p>
        </w:tc>
      </w:tr>
      <w:tr>
        <w:tblPrEx/>
        <w:trPr/>
        <w:tc>
          <w:tcPr>
            <w:tcW w:w="576" w:type="dxa"/>
            <w:textDirection w:val="lrTb"/>
            <w:noWrap w:val="false"/>
          </w:tcPr>
          <w:p>
            <w:pPr>
              <w:jc w:val="center"/>
            </w:pPr>
            <w:r>
              <w:t xml:space="preserve">7.</w:t>
            </w:r>
            <w:r/>
          </w:p>
        </w:tc>
        <w:tc>
          <w:tcPr>
            <w:tcW w:w="4232" w:type="dxa"/>
            <w:textDirection w:val="lrTb"/>
            <w:noWrap w:val="false"/>
          </w:tcPr>
          <w:p>
            <w:pPr>
              <w:pStyle w:val="948"/>
              <w:jc w:val="both"/>
              <w:rPr>
                <w:b w:val="0"/>
                <w:sz w:val="24"/>
                <w:szCs w:val="24"/>
              </w:rPr>
            </w:pPr>
            <w:r>
              <w:rPr>
                <w:b w:val="0"/>
                <w:sz w:val="24"/>
                <w:szCs w:val="24"/>
              </w:rPr>
              <w:t xml:space="preserve">Разработка перечня мероприятий по приспособлению жилого помещения и общего имущества в МКД, в котором проживает инвалид, с учетом потребностей инвалида и обеспечению условий их доступности для инвалида, определяемого с учетом мнения инвалида</w:t>
            </w:r>
            <w:r>
              <w:rPr>
                <w:b w:val="0"/>
                <w:sz w:val="24"/>
                <w:szCs w:val="24"/>
              </w:rPr>
            </w:r>
            <w:r>
              <w:rPr>
                <w:b w:val="0"/>
                <w:sz w:val="24"/>
                <w:szCs w:val="24"/>
              </w:rPr>
            </w:r>
          </w:p>
        </w:tc>
        <w:tc>
          <w:tcPr>
            <w:tcW w:w="2989" w:type="dxa"/>
            <w:textDirection w:val="lrTb"/>
            <w:noWrap w:val="false"/>
          </w:tcPr>
          <w:p>
            <w:pPr>
              <w:jc w:val="center"/>
            </w:pPr>
            <w:r>
              <w:t xml:space="preserve">В течение 10 рабочих дней после проведения мероприятий </w:t>
            </w:r>
            <w:r>
              <w:t xml:space="preserve">п.п</w:t>
            </w:r>
            <w:r>
              <w:t xml:space="preserve">. 4, 5 настоящего плана</w:t>
            </w:r>
            <w:r/>
          </w:p>
        </w:tc>
        <w:tc>
          <w:tcPr>
            <w:tcW w:w="2233" w:type="dxa"/>
            <w:textDirection w:val="lrTb"/>
            <w:noWrap w:val="false"/>
          </w:tcPr>
          <w:p>
            <w:pPr>
              <w:jc w:val="center"/>
            </w:pPr>
            <w:r>
              <w:t xml:space="preserve">Муниципальная комиссия</w:t>
            </w:r>
            <w:r/>
          </w:p>
        </w:tc>
      </w:tr>
      <w:tr>
        <w:tblPrEx/>
        <w:trPr/>
        <w:tc>
          <w:tcPr>
            <w:tcW w:w="576" w:type="dxa"/>
            <w:textDirection w:val="lrTb"/>
            <w:noWrap w:val="false"/>
          </w:tcPr>
          <w:p>
            <w:pPr>
              <w:jc w:val="center"/>
            </w:pPr>
            <w:r>
              <w:t xml:space="preserve">8.</w:t>
            </w:r>
            <w:r/>
          </w:p>
        </w:tc>
        <w:tc>
          <w:tcPr>
            <w:tcW w:w="4232" w:type="dxa"/>
            <w:textDirection w:val="lrTb"/>
            <w:noWrap w:val="false"/>
          </w:tcPr>
          <w:p>
            <w:pPr>
              <w:jc w:val="both"/>
            </w:pPr>
            <w:r>
              <w:t xml:space="preserve">В случае</w:t>
            </w:r>
            <w:r>
              <w:t xml:space="preserve">,</w:t>
            </w:r>
            <w:r>
              <w:t xml:space="preserve"> если в акте обследования содержится вывод об отсутствии технической возможности для</w:t>
            </w:r>
            <w:r>
              <w:t xml:space="preserve"> приспособления жилого помещения и (или) общего имущества в МКД без осуществления их реконструкции или капитального ремонта, принятие решения о проведении проверки экономической целесообразности реконструкции или капитального ремонта МКД (далее – проверка)</w:t>
            </w:r>
            <w:r/>
          </w:p>
        </w:tc>
        <w:tc>
          <w:tcPr>
            <w:tcW w:w="2989" w:type="dxa"/>
            <w:textDirection w:val="lrTb"/>
            <w:noWrap w:val="false"/>
          </w:tcPr>
          <w:p>
            <w:pPr>
              <w:jc w:val="center"/>
            </w:pPr>
            <w:r>
              <w:t xml:space="preserve">По мере необходимости</w:t>
            </w:r>
            <w:r/>
          </w:p>
        </w:tc>
        <w:tc>
          <w:tcPr>
            <w:tcW w:w="2233" w:type="dxa"/>
            <w:textDirection w:val="lrTb"/>
            <w:noWrap w:val="false"/>
          </w:tcPr>
          <w:p>
            <w:pPr>
              <w:jc w:val="center"/>
            </w:pPr>
            <w:r>
              <w:t xml:space="preserve">Муниципальная комиссия</w:t>
            </w:r>
            <w:r/>
          </w:p>
        </w:tc>
      </w:tr>
      <w:tr>
        <w:tblPrEx/>
        <w:trPr/>
        <w:tc>
          <w:tcPr>
            <w:tcW w:w="576" w:type="dxa"/>
            <w:textDirection w:val="lrTb"/>
            <w:noWrap w:val="false"/>
          </w:tcPr>
          <w:p>
            <w:pPr>
              <w:jc w:val="center"/>
            </w:pPr>
            <w:r>
              <w:t xml:space="preserve">8.1.</w:t>
            </w:r>
            <w:r/>
          </w:p>
        </w:tc>
        <w:tc>
          <w:tcPr>
            <w:tcW w:w="4232" w:type="dxa"/>
            <w:textDirection w:val="lrTb"/>
            <w:noWrap w:val="false"/>
          </w:tcPr>
          <w:p>
            <w:pPr>
              <w:pStyle w:val="948"/>
              <w:jc w:val="both"/>
              <w:rPr>
                <w:b w:val="0"/>
                <w:sz w:val="24"/>
                <w:szCs w:val="24"/>
              </w:rPr>
            </w:pPr>
            <w:r>
              <w:rPr>
                <w:b w:val="0"/>
                <w:sz w:val="24"/>
                <w:szCs w:val="24"/>
              </w:rPr>
              <w:t xml:space="preserve">В рамках проведения проверки выполнение расчета потребности в финансовых ресурсах, необходимых на проведение реконструкции и (или) капитального ремонта МКД (части дома), исходя из перечня мероприятий, указанных в акте обследования.</w:t>
            </w:r>
            <w:r>
              <w:rPr>
                <w:b w:val="0"/>
                <w:sz w:val="24"/>
                <w:szCs w:val="24"/>
              </w:rPr>
            </w:r>
            <w:r>
              <w:rPr>
                <w:b w:val="0"/>
                <w:sz w:val="24"/>
                <w:szCs w:val="24"/>
              </w:rPr>
            </w:r>
          </w:p>
          <w:p>
            <w:pPr>
              <w:pStyle w:val="948"/>
              <w:jc w:val="both"/>
              <w:rPr>
                <w:b w:val="0"/>
                <w:sz w:val="24"/>
                <w:szCs w:val="24"/>
              </w:rPr>
            </w:pPr>
            <w:r>
              <w:rPr>
                <w:b w:val="0"/>
                <w:sz w:val="24"/>
                <w:szCs w:val="24"/>
              </w:rPr>
            </w:r>
            <w:r>
              <w:rPr>
                <w:b w:val="0"/>
                <w:sz w:val="24"/>
                <w:szCs w:val="24"/>
              </w:rPr>
            </w:r>
            <w:r>
              <w:rPr>
                <w:b w:val="0"/>
                <w:sz w:val="24"/>
                <w:szCs w:val="24"/>
              </w:rPr>
            </w:r>
          </w:p>
          <w:p>
            <w:pPr>
              <w:jc w:val="both"/>
            </w:pPr>
            <w:r>
              <w:t xml:space="preserve">В рамках проведения проверки </w:t>
            </w:r>
            <w:r>
              <w:t xml:space="preserve">выполнение расчета потребности в финансовых ресурсах, необходимых на приобретение нового жилого помещения, приспособленного с учетом потребностей инвалида, и равнозначного по общей площади и месторасположению помещения, в котором проживает инвалид</w:t>
            </w:r>
            <w:r/>
          </w:p>
        </w:tc>
        <w:tc>
          <w:tcPr>
            <w:tcW w:w="2989" w:type="dxa"/>
            <w:textDirection w:val="lrTb"/>
            <w:noWrap w:val="false"/>
          </w:tcPr>
          <w:p>
            <w:pPr>
              <w:pStyle w:val="948"/>
              <w:jc w:val="center"/>
              <w:rPr>
                <w:b w:val="0"/>
                <w:sz w:val="24"/>
                <w:szCs w:val="24"/>
              </w:rPr>
            </w:pPr>
            <w:r>
              <w:rPr>
                <w:b w:val="0"/>
                <w:sz w:val="24"/>
                <w:szCs w:val="24"/>
              </w:rPr>
              <w:t xml:space="preserve">В течение 20 рабочих дней после проведения мероприятия п.7 настоящего плана.</w:t>
            </w:r>
            <w:r>
              <w:rPr>
                <w:b w:val="0"/>
                <w:sz w:val="24"/>
                <w:szCs w:val="24"/>
              </w:rPr>
            </w:r>
            <w:r>
              <w:rPr>
                <w:b w:val="0"/>
                <w:sz w:val="24"/>
                <w:szCs w:val="24"/>
              </w:rPr>
            </w:r>
          </w:p>
          <w:p>
            <w:pPr>
              <w:pStyle w:val="948"/>
              <w:jc w:val="center"/>
              <w:rPr>
                <w:b w:val="0"/>
                <w:sz w:val="24"/>
                <w:szCs w:val="24"/>
              </w:rPr>
            </w:pPr>
            <w:r>
              <w:rPr>
                <w:b w:val="0"/>
                <w:sz w:val="24"/>
                <w:szCs w:val="24"/>
              </w:rPr>
            </w:r>
            <w:r>
              <w:rPr>
                <w:b w:val="0"/>
                <w:sz w:val="24"/>
                <w:szCs w:val="24"/>
              </w:rPr>
            </w:r>
            <w:r>
              <w:rPr>
                <w:b w:val="0"/>
                <w:sz w:val="24"/>
                <w:szCs w:val="24"/>
              </w:rPr>
            </w:r>
          </w:p>
          <w:p>
            <w:r/>
            <w:r/>
          </w:p>
          <w:p>
            <w:r/>
            <w:r/>
          </w:p>
          <w:p>
            <w:r/>
            <w:r/>
          </w:p>
          <w:p>
            <w:r/>
            <w:r/>
          </w:p>
          <w:p>
            <w:pPr>
              <w:jc w:val="center"/>
            </w:pPr>
            <w:r>
              <w:t xml:space="preserve">В течение 10 рабочих дней </w:t>
            </w:r>
            <w:r>
              <w:t xml:space="preserve">после проведения мероприятия п.</w:t>
            </w:r>
            <w:r>
              <w:rPr>
                <w:lang w:val="en-US"/>
              </w:rPr>
              <w:t xml:space="preserve"> </w:t>
            </w:r>
            <w:r>
              <w:t xml:space="preserve">8 настоящего плана</w:t>
            </w:r>
            <w:r/>
          </w:p>
        </w:tc>
        <w:tc>
          <w:tcPr>
            <w:tcW w:w="2233" w:type="dxa"/>
            <w:textDirection w:val="lrTb"/>
            <w:noWrap w:val="false"/>
          </w:tcPr>
          <w:p>
            <w:pPr>
              <w:jc w:val="center"/>
            </w:pPr>
            <w:r>
              <w:t xml:space="preserve">Отдел строительства и ЖКХ</w:t>
            </w:r>
            <w:r/>
          </w:p>
        </w:tc>
      </w:tr>
      <w:tr>
        <w:tblPrEx/>
        <w:trPr>
          <w:trHeight w:val="450"/>
        </w:trPr>
        <w:tc>
          <w:tcPr>
            <w:tcW w:w="576" w:type="dxa"/>
            <w:textDirection w:val="lrTb"/>
            <w:noWrap w:val="false"/>
          </w:tcPr>
          <w:p>
            <w:pPr>
              <w:jc w:val="center"/>
            </w:pPr>
            <w:r>
              <w:t xml:space="preserve">8.2.</w:t>
            </w:r>
            <w:r/>
          </w:p>
        </w:tc>
        <w:tc>
          <w:tcPr>
            <w:tcW w:w="4232" w:type="dxa"/>
            <w:textDirection w:val="lrTb"/>
            <w:noWrap w:val="false"/>
          </w:tcPr>
          <w:p>
            <w:pPr>
              <w:jc w:val="both"/>
            </w:pPr>
            <w:r>
              <w:t xml:space="preserve">По результатам проверки, исходя из сравнения расчетов, принятие решения об экономической целесообразности/ нецелесообразности реконструкции или капитального ремонта МКД (части дома)</w:t>
            </w:r>
            <w:r/>
          </w:p>
        </w:tc>
        <w:tc>
          <w:tcPr>
            <w:tcW w:w="2989" w:type="dxa"/>
            <w:textDirection w:val="lrTb"/>
            <w:noWrap w:val="false"/>
          </w:tcPr>
          <w:p>
            <w:pPr>
              <w:jc w:val="center"/>
            </w:pPr>
            <w:r>
              <w:t xml:space="preserve">После проведения мероприятий п. 8.1 настоящего плана</w:t>
            </w:r>
            <w:r/>
          </w:p>
        </w:tc>
        <w:tc>
          <w:tcPr>
            <w:tcW w:w="2233" w:type="dxa"/>
            <w:textDirection w:val="lrTb"/>
            <w:noWrap w:val="false"/>
          </w:tcPr>
          <w:p>
            <w:pPr>
              <w:jc w:val="center"/>
            </w:pPr>
            <w:r>
              <w:t xml:space="preserve">Муниципальная комиссия</w:t>
            </w:r>
            <w:r/>
          </w:p>
          <w:p>
            <w:pPr>
              <w:jc w:val="center"/>
            </w:pPr>
            <w:r/>
            <w:r/>
          </w:p>
          <w:p>
            <w:pPr>
              <w:jc w:val="center"/>
            </w:pPr>
            <w:r/>
            <w:r/>
          </w:p>
        </w:tc>
      </w:tr>
      <w:tr>
        <w:tblPrEx/>
        <w:trPr/>
        <w:tc>
          <w:tcPr>
            <w:tcW w:w="576" w:type="dxa"/>
            <w:textDirection w:val="lrTb"/>
            <w:noWrap w:val="false"/>
          </w:tcPr>
          <w:p>
            <w:pPr>
              <w:jc w:val="center"/>
            </w:pPr>
            <w:r>
              <w:t xml:space="preserve">8.3.</w:t>
            </w:r>
            <w:r/>
          </w:p>
        </w:tc>
        <w:tc>
          <w:tcPr>
            <w:tcW w:w="4232" w:type="dxa"/>
            <w:textDirection w:val="lrTb"/>
            <w:noWrap w:val="false"/>
          </w:tcPr>
          <w:p>
            <w:pPr>
              <w:jc w:val="both"/>
            </w:pPr>
            <w:r>
              <w:t xml:space="preserve">Вынесение заключения о возможности или об отсутствии возможности приспособления жилого помещения инвалида и общего имущества в МКД, в котором проживает инвалид, с учетом его потребностей и обеспечения условий их доступности для инвалида</w:t>
            </w:r>
            <w:r/>
          </w:p>
        </w:tc>
        <w:tc>
          <w:tcPr>
            <w:tcW w:w="2989" w:type="dxa"/>
            <w:textDirection w:val="lrTb"/>
            <w:noWrap w:val="false"/>
          </w:tcPr>
          <w:p>
            <w:pPr>
              <w:jc w:val="center"/>
            </w:pPr>
            <w:r>
              <w:t xml:space="preserve">После проведения мероприятий </w:t>
            </w:r>
            <w:r>
              <w:t xml:space="preserve">пп</w:t>
            </w:r>
            <w:r>
              <w:t xml:space="preserve">. 8, 8.1, 8.2</w:t>
            </w:r>
            <w:r>
              <w:br/>
              <w:t xml:space="preserve">настоящего плана</w:t>
            </w:r>
            <w:r/>
          </w:p>
        </w:tc>
        <w:tc>
          <w:tcPr>
            <w:tcW w:w="2233" w:type="dxa"/>
            <w:textDirection w:val="lrTb"/>
            <w:noWrap w:val="false"/>
          </w:tcPr>
          <w:p>
            <w:pPr>
              <w:jc w:val="center"/>
            </w:pPr>
            <w:r>
              <w:t xml:space="preserve">Муниципальная комиссия</w:t>
            </w:r>
            <w:r/>
          </w:p>
          <w:p>
            <w:pPr>
              <w:jc w:val="center"/>
            </w:pPr>
            <w:r/>
            <w:r/>
          </w:p>
        </w:tc>
      </w:tr>
      <w:tr>
        <w:tblPrEx/>
        <w:trPr/>
        <w:tc>
          <w:tcPr>
            <w:tcW w:w="576" w:type="dxa"/>
            <w:textDirection w:val="lrTb"/>
            <w:noWrap w:val="false"/>
          </w:tcPr>
          <w:p>
            <w:pPr>
              <w:jc w:val="center"/>
            </w:pPr>
            <w:r>
              <w:t xml:space="preserve">9.</w:t>
            </w:r>
            <w:r/>
          </w:p>
        </w:tc>
        <w:tc>
          <w:tcPr>
            <w:tcW w:w="4232" w:type="dxa"/>
            <w:textDirection w:val="lrTb"/>
            <w:noWrap w:val="false"/>
          </w:tcPr>
          <w:p>
            <w:pPr>
              <w:jc w:val="both"/>
            </w:pPr>
            <w:r>
              <w:rPr>
                <w:iCs/>
              </w:rPr>
              <w:t xml:space="preserve">В случае</w:t>
            </w:r>
            <w:r>
              <w:rPr>
                <w:iCs/>
              </w:rPr>
              <w:t xml:space="preserve">,</w:t>
            </w:r>
            <w:r>
              <w:rPr>
                <w:iCs/>
              </w:rPr>
              <w:t xml:space="preserve"> если в акте обследования содержится вывод о наличии технической возможности для приспособления жилого помещения и общего имущества в МКД, в котором проживает инвалид, без изменения существующих не</w:t>
            </w:r>
            <w:r>
              <w:rPr>
                <w:iCs/>
              </w:rPr>
              <w:t xml:space="preserve">сущих и ограждающих конструкций МКД (части дома), вынесение заключения о возможности приспособления жилого помещения инвалида и общего имущества в МКД, в котором проживает инвалид, с учетом его потребностей и обеспечения условий их доступности для инвалида</w:t>
            </w:r>
            <w:r/>
          </w:p>
        </w:tc>
        <w:tc>
          <w:tcPr>
            <w:tcW w:w="2989" w:type="dxa"/>
            <w:textDirection w:val="lrTb"/>
            <w:noWrap w:val="false"/>
          </w:tcPr>
          <w:p>
            <w:pPr>
              <w:jc w:val="center"/>
            </w:pPr>
            <w:r>
              <w:t xml:space="preserve">После проведения мероприятия п. 6 настоящего плана</w:t>
            </w:r>
            <w:r/>
          </w:p>
        </w:tc>
        <w:tc>
          <w:tcPr>
            <w:tcW w:w="2233" w:type="dxa"/>
            <w:textDirection w:val="lrTb"/>
            <w:noWrap w:val="false"/>
          </w:tcPr>
          <w:p>
            <w:pPr>
              <w:jc w:val="center"/>
            </w:pPr>
            <w:r>
              <w:t xml:space="preserve">Муниципальная комиссия</w:t>
            </w:r>
            <w:r/>
          </w:p>
          <w:p>
            <w:pPr>
              <w:jc w:val="center"/>
            </w:pPr>
            <w:r/>
            <w:r/>
          </w:p>
        </w:tc>
      </w:tr>
      <w:tr>
        <w:tblPrEx/>
        <w:trPr/>
        <w:tc>
          <w:tcPr>
            <w:tcW w:w="576" w:type="dxa"/>
            <w:textDirection w:val="lrTb"/>
            <w:noWrap w:val="false"/>
          </w:tcPr>
          <w:p>
            <w:pPr>
              <w:jc w:val="center"/>
            </w:pPr>
            <w:r>
              <w:t xml:space="preserve">10.</w:t>
            </w:r>
            <w:r/>
          </w:p>
        </w:tc>
        <w:tc>
          <w:tcPr>
            <w:tcW w:w="4232" w:type="dxa"/>
            <w:textDirection w:val="lrTb"/>
            <w:noWrap w:val="false"/>
          </w:tcPr>
          <w:p>
            <w:pPr>
              <w:pStyle w:val="948"/>
              <w:jc w:val="both"/>
              <w:rPr>
                <w:b w:val="0"/>
                <w:sz w:val="24"/>
                <w:szCs w:val="24"/>
              </w:rPr>
            </w:pPr>
            <w:r>
              <w:rPr>
                <w:b w:val="0"/>
                <w:sz w:val="24"/>
                <w:szCs w:val="24"/>
              </w:rPr>
              <w:t xml:space="preserve">Направление заключения об отсутствии возможности приспособления жилого помещения и общего имущества в МКД, в котором проживает инвалид, с учетом его потребностей и обеспечения условий их доступности для инвалида:</w:t>
            </w:r>
            <w:r>
              <w:rPr>
                <w:b w:val="0"/>
                <w:sz w:val="24"/>
                <w:szCs w:val="24"/>
              </w:rPr>
            </w:r>
            <w:r>
              <w:rPr>
                <w:b w:val="0"/>
                <w:sz w:val="24"/>
                <w:szCs w:val="24"/>
              </w:rPr>
            </w:r>
          </w:p>
          <w:p>
            <w:pPr>
              <w:jc w:val="both"/>
              <w:rPr>
                <w:iCs/>
              </w:rPr>
            </w:pPr>
            <w:r>
              <w:t xml:space="preserve"> </w:t>
            </w:r>
            <w:r>
              <w:rPr>
                <w:rFonts w:ascii="Symbol" w:hAnsi="Symbol" w:eastAsia="Symbol" w:cs="Symbol"/>
              </w:rPr>
              <w:t xml:space="preserve">-</w:t>
            </w:r>
            <w:r>
              <w:t xml:space="preserve"> в адрес инвалида</w:t>
            </w:r>
            <w:r>
              <w:rPr>
                <w:iCs/>
              </w:rPr>
            </w:r>
            <w:r>
              <w:rPr>
                <w:iCs/>
              </w:rPr>
            </w:r>
          </w:p>
        </w:tc>
        <w:tc>
          <w:tcPr>
            <w:tcW w:w="2989" w:type="dxa"/>
            <w:textDirection w:val="lrTb"/>
            <w:noWrap w:val="false"/>
          </w:tcPr>
          <w:p>
            <w:pPr>
              <w:jc w:val="center"/>
            </w:pPr>
            <w:r>
              <w:t xml:space="preserve">В течение 10 рабочих дней со дня принятия решения, предусмотренного п. 8.3 настоящего плана</w:t>
            </w:r>
            <w:r/>
          </w:p>
        </w:tc>
        <w:tc>
          <w:tcPr>
            <w:tcW w:w="2233" w:type="dxa"/>
            <w:textDirection w:val="lrTb"/>
            <w:noWrap w:val="false"/>
          </w:tcPr>
          <w:p>
            <w:pPr>
              <w:jc w:val="center"/>
            </w:pPr>
            <w:r>
              <w:t xml:space="preserve">Председатель муниципальной комиссии</w:t>
            </w:r>
            <w:r/>
          </w:p>
        </w:tc>
      </w:tr>
      <w:tr>
        <w:tblPrEx/>
        <w:trPr/>
        <w:tc>
          <w:tcPr>
            <w:tcW w:w="576" w:type="dxa"/>
            <w:textDirection w:val="lrTb"/>
            <w:noWrap w:val="false"/>
          </w:tcPr>
          <w:p>
            <w:pPr>
              <w:jc w:val="center"/>
            </w:pPr>
            <w:r>
              <w:t xml:space="preserve">11.</w:t>
            </w:r>
            <w:r/>
          </w:p>
        </w:tc>
        <w:tc>
          <w:tcPr>
            <w:tcW w:w="4232" w:type="dxa"/>
            <w:textDirection w:val="lrTb"/>
            <w:noWrap w:val="false"/>
          </w:tcPr>
          <w:p>
            <w:pPr>
              <w:jc w:val="both"/>
              <w:rPr>
                <w:iCs/>
              </w:rPr>
            </w:pPr>
            <w:r>
              <w:t xml:space="preserve">Направление заключения о возможности приспособления жилого помещения и общего имущества в МКД, в котором проживает инвалид, с учетом его потребностей и обеспечения услови</w:t>
            </w:r>
            <w:r>
              <w:t xml:space="preserve">й их доступности </w:t>
            </w:r>
            <w:r>
              <w:t xml:space="preserve">для инвалида, </w:t>
            </w:r>
            <w:r>
              <w:t xml:space="preserve">Г</w:t>
            </w:r>
            <w:r>
              <w:t xml:space="preserve">лаве </w:t>
            </w:r>
            <w:r>
              <w:t xml:space="preserve">Печенгского</w:t>
            </w:r>
            <w:r>
              <w:t xml:space="preserve"> </w:t>
            </w:r>
            <w:r>
              <w:t xml:space="preserve">муниципального </w:t>
            </w:r>
            <w:r>
              <w:t xml:space="preserve">округа для принятия решения о включении мероприятий</w:t>
            </w:r>
            <w:r>
              <w:t xml:space="preserve"> в муниципальную программу, направленную на обеспечение социальной поддержки инвалидов</w:t>
            </w:r>
            <w:r>
              <w:rPr>
                <w:iCs/>
              </w:rPr>
            </w:r>
            <w:r>
              <w:rPr>
                <w:iCs/>
              </w:rPr>
            </w:r>
          </w:p>
        </w:tc>
        <w:tc>
          <w:tcPr>
            <w:tcW w:w="2989" w:type="dxa"/>
            <w:textDirection w:val="lrTb"/>
            <w:noWrap w:val="false"/>
          </w:tcPr>
          <w:p>
            <w:pPr>
              <w:jc w:val="center"/>
            </w:pPr>
            <w:r>
              <w:t xml:space="preserve">В течение 10 рабочих дней со дня проведения мероприятия п. 8 настоящего плана</w:t>
            </w:r>
            <w:r/>
          </w:p>
        </w:tc>
        <w:tc>
          <w:tcPr>
            <w:tcW w:w="2233" w:type="dxa"/>
            <w:textDirection w:val="lrTb"/>
            <w:noWrap w:val="false"/>
          </w:tcPr>
          <w:p>
            <w:pPr>
              <w:jc w:val="center"/>
            </w:pPr>
            <w:r>
              <w:t xml:space="preserve">Председатель муниципальной комиссии</w:t>
            </w:r>
            <w:r/>
          </w:p>
        </w:tc>
      </w:tr>
      <w:tr>
        <w:tblPrEx/>
        <w:trPr>
          <w:trHeight w:val="1837"/>
        </w:trPr>
        <w:tc>
          <w:tcPr>
            <w:tcW w:w="576" w:type="dxa"/>
            <w:textDirection w:val="lrTb"/>
            <w:noWrap w:val="false"/>
          </w:tcPr>
          <w:p>
            <w:pPr>
              <w:jc w:val="center"/>
            </w:pPr>
            <w:r>
              <w:t xml:space="preserve">12.</w:t>
            </w:r>
            <w:r/>
          </w:p>
        </w:tc>
        <w:tc>
          <w:tcPr>
            <w:tcW w:w="4232" w:type="dxa"/>
            <w:textDirection w:val="lrTb"/>
            <w:noWrap w:val="false"/>
          </w:tcPr>
          <w:p>
            <w:pPr>
              <w:pStyle w:val="948"/>
              <w:jc w:val="both"/>
              <w:rPr>
                <w:b w:val="0"/>
                <w:sz w:val="24"/>
                <w:szCs w:val="24"/>
              </w:rPr>
            </w:pPr>
            <w:r>
              <w:rPr>
                <w:b w:val="0"/>
                <w:sz w:val="24"/>
                <w:szCs w:val="24"/>
              </w:rPr>
              <w:t xml:space="preserve">Формирование и направление адресного перечня жилых помещений для реализации программных мероприятий (далее – Адресный перечень программных мероприятий):</w:t>
            </w:r>
            <w:r>
              <w:rPr>
                <w:b w:val="0"/>
                <w:sz w:val="24"/>
                <w:szCs w:val="24"/>
              </w:rPr>
            </w:r>
            <w:r>
              <w:rPr>
                <w:b w:val="0"/>
                <w:sz w:val="24"/>
                <w:szCs w:val="24"/>
              </w:rPr>
            </w:r>
          </w:p>
          <w:p>
            <w:pPr>
              <w:pStyle w:val="948"/>
              <w:jc w:val="both"/>
              <w:rPr>
                <w:b w:val="0"/>
                <w:sz w:val="24"/>
                <w:szCs w:val="24"/>
              </w:rPr>
            </w:pPr>
            <w:r>
              <w:rPr>
                <w:b w:val="0"/>
                <w:sz w:val="24"/>
                <w:szCs w:val="24"/>
              </w:rPr>
              <w:t xml:space="preserve">- в адрес председателя муниципальной комиссии</w:t>
            </w:r>
            <w:r>
              <w:rPr>
                <w:b w:val="0"/>
                <w:sz w:val="24"/>
                <w:szCs w:val="24"/>
              </w:rPr>
            </w:r>
            <w:r>
              <w:rPr>
                <w:b w:val="0"/>
                <w:sz w:val="24"/>
                <w:szCs w:val="24"/>
              </w:rPr>
            </w:r>
          </w:p>
        </w:tc>
        <w:tc>
          <w:tcPr>
            <w:tcW w:w="2989" w:type="dxa"/>
            <w:textDirection w:val="lrTb"/>
            <w:noWrap w:val="false"/>
          </w:tcPr>
          <w:p>
            <w:pPr>
              <w:jc w:val="center"/>
            </w:pPr>
            <w:r>
              <w:t xml:space="preserve">В течение 10 рабочих дней со дня принятия решения, предусмотренного п. 9 настоящего плана</w:t>
            </w:r>
            <w:r/>
          </w:p>
        </w:tc>
        <w:tc>
          <w:tcPr>
            <w:tcW w:w="2233" w:type="dxa"/>
            <w:textDirection w:val="lrTb"/>
            <w:noWrap w:val="false"/>
          </w:tcPr>
          <w:p>
            <w:pPr>
              <w:jc w:val="center"/>
            </w:pPr>
            <w:r>
              <w:t xml:space="preserve">Секретарь муниципальной комиссии</w:t>
            </w:r>
            <w:r/>
          </w:p>
        </w:tc>
      </w:tr>
      <w:tr>
        <w:tblPrEx/>
        <w:trPr/>
        <w:tc>
          <w:tcPr>
            <w:tcW w:w="576" w:type="dxa"/>
            <w:textDirection w:val="lrTb"/>
            <w:noWrap w:val="false"/>
          </w:tcPr>
          <w:p>
            <w:pPr>
              <w:jc w:val="center"/>
            </w:pPr>
            <w:r>
              <w:t xml:space="preserve">13.</w:t>
            </w:r>
            <w:r/>
          </w:p>
        </w:tc>
        <w:tc>
          <w:tcPr>
            <w:tcW w:w="4232" w:type="dxa"/>
            <w:textDirection w:val="lrTb"/>
            <w:noWrap w:val="false"/>
          </w:tcPr>
          <w:p>
            <w:pPr>
              <w:pStyle w:val="948"/>
              <w:jc w:val="both"/>
              <w:rPr>
                <w:b w:val="0"/>
                <w:sz w:val="24"/>
                <w:szCs w:val="24"/>
              </w:rPr>
            </w:pPr>
            <w:r>
              <w:rPr>
                <w:b w:val="0"/>
                <w:sz w:val="24"/>
                <w:szCs w:val="24"/>
              </w:rPr>
              <w:t xml:space="preserve">Выполнение программных мероприятий в рамках реализации муниципальной программы «Обеспечение социальной стабильности», действующей на территории </w:t>
            </w:r>
            <w:r>
              <w:rPr>
                <w:b w:val="0"/>
                <w:sz w:val="24"/>
                <w:szCs w:val="24"/>
              </w:rPr>
              <w:t xml:space="preserve">Печенгского</w:t>
            </w:r>
            <w:r>
              <w:rPr>
                <w:b w:val="0"/>
                <w:sz w:val="24"/>
                <w:szCs w:val="24"/>
              </w:rPr>
              <w:t xml:space="preserve"> округа</w:t>
            </w:r>
            <w:r>
              <w:rPr>
                <w:b w:val="0"/>
                <w:sz w:val="24"/>
                <w:szCs w:val="24"/>
              </w:rPr>
            </w:r>
            <w:r>
              <w:rPr>
                <w:b w:val="0"/>
                <w:sz w:val="24"/>
                <w:szCs w:val="24"/>
              </w:rPr>
            </w:r>
          </w:p>
        </w:tc>
        <w:tc>
          <w:tcPr>
            <w:tcW w:w="2989" w:type="dxa"/>
            <w:textDirection w:val="lrTb"/>
            <w:noWrap w:val="false"/>
          </w:tcPr>
          <w:p>
            <w:pPr>
              <w:jc w:val="center"/>
            </w:pPr>
            <w:r>
              <w:t xml:space="preserve">На постоянной основе</w:t>
            </w:r>
            <w:r/>
          </w:p>
        </w:tc>
        <w:tc>
          <w:tcPr>
            <w:tcW w:w="2233" w:type="dxa"/>
            <w:textDirection w:val="lrTb"/>
            <w:noWrap w:val="false"/>
          </w:tcPr>
          <w:p>
            <w:pPr>
              <w:jc w:val="center"/>
            </w:pPr>
            <w:r>
              <w:t xml:space="preserve">сектор по социальной работе</w:t>
            </w:r>
            <w:r/>
          </w:p>
        </w:tc>
      </w:tr>
    </w:tbl>
    <w:p>
      <w:pPr>
        <w:rPr>
          <w:b/>
        </w:rPr>
      </w:pPr>
      <w:r>
        <w:rPr>
          <w:b/>
        </w:rPr>
      </w:r>
      <w:r>
        <w:rPr>
          <w:b/>
        </w:rPr>
      </w:r>
      <w:r>
        <w:rPr>
          <w:b/>
        </w:rPr>
      </w:r>
    </w:p>
    <w:p>
      <w:pPr>
        <w:widowControl/>
        <w:rPr>
          <w:b/>
        </w:rPr>
      </w:pPr>
      <w:r>
        <w:rPr>
          <w:b/>
        </w:rPr>
      </w:r>
      <w:r>
        <w:rPr>
          <w:b/>
        </w:rPr>
      </w:r>
    </w:p>
    <w:p>
      <w:pPr>
        <w:rPr>
          <w:b/>
        </w:rPr>
      </w:pPr>
      <w:r>
        <w:rPr>
          <w:b/>
        </w:rPr>
      </w:r>
      <w:r>
        <w:rPr>
          <w:b/>
        </w:rPr>
      </w:r>
      <w:r>
        <w:rPr>
          <w:b/>
        </w:rPr>
      </w:r>
    </w:p>
    <w:sectPr>
      <w:footnotePr/>
      <w:endnotePr/>
      <w:type w:val="nextPage"/>
      <w:pgSz w:w="11906" w:h="16838" w:orient="portrait"/>
      <w:pgMar w:top="1134" w:right="850" w:bottom="397"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5">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6">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9">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12">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4">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6">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17">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1">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22">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space"/>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23"/>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25"/>
  </w:num>
  <w:num w:numId="3">
    <w:abstractNumId w:val="7"/>
  </w:num>
  <w:num w:numId="4">
    <w:abstractNumId w:val="24"/>
  </w:num>
  <w:num w:numId="5">
    <w:abstractNumId w:val="9"/>
  </w:num>
  <w:num w:numId="6">
    <w:abstractNumId w:val="15"/>
  </w:num>
  <w:num w:numId="7">
    <w:abstractNumId w:val="0"/>
  </w:num>
  <w:num w:numId="8">
    <w:abstractNumId w:val="21"/>
  </w:num>
  <w:num w:numId="9">
    <w:abstractNumId w:val="4"/>
  </w:num>
  <w:num w:numId="10">
    <w:abstractNumId w:val="5"/>
  </w:num>
  <w:num w:numId="11">
    <w:abstractNumId w:val="20"/>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num>
  <w:num w:numId="14">
    <w:abstractNumId w:val="6"/>
  </w:num>
  <w:num w:numId="15">
    <w:abstractNumId w:val="12"/>
  </w:num>
  <w:num w:numId="16">
    <w:abstractNumId w:val="17"/>
  </w:num>
  <w:num w:numId="17">
    <w:abstractNumId w:val="2"/>
  </w:num>
  <w:num w:numId="18">
    <w:abstractNumId w:val="22"/>
  </w:num>
  <w:num w:numId="19">
    <w:abstractNumId w:val="14"/>
  </w:num>
  <w:num w:numId="20">
    <w:abstractNumId w:val="10"/>
  </w:num>
  <w:num w:numId="21">
    <w:abstractNumId w:val="1"/>
  </w:num>
  <w:num w:numId="22">
    <w:abstractNumId w:val="3"/>
  </w:num>
  <w:num w:numId="23">
    <w:abstractNumId w:val="8"/>
  </w:num>
  <w:num w:numId="24">
    <w:abstractNumId w:val="19"/>
  </w:num>
  <w:num w:numId="25">
    <w:abstractNumId w:val="16"/>
  </w:num>
  <w:num w:numId="26">
    <w:abstractNumId w:val="13"/>
  </w:num>
  <w:num w:numId="27">
    <w:abstractNumId w:val="11"/>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9">
    <w:name w:val="Heading 1 Char"/>
    <w:basedOn w:val="755"/>
    <w:link w:val="746"/>
    <w:uiPriority w:val="9"/>
    <w:rPr>
      <w:rFonts w:ascii="Arial" w:hAnsi="Arial" w:eastAsia="Arial" w:cs="Arial"/>
      <w:sz w:val="40"/>
      <w:szCs w:val="40"/>
    </w:rPr>
  </w:style>
  <w:style w:type="character" w:styleId="710">
    <w:name w:val="Heading 2 Char"/>
    <w:basedOn w:val="755"/>
    <w:link w:val="747"/>
    <w:uiPriority w:val="9"/>
    <w:rPr>
      <w:rFonts w:ascii="Arial" w:hAnsi="Arial" w:eastAsia="Arial" w:cs="Arial"/>
      <w:sz w:val="34"/>
    </w:rPr>
  </w:style>
  <w:style w:type="character" w:styleId="711">
    <w:name w:val="Heading 3 Char"/>
    <w:basedOn w:val="755"/>
    <w:link w:val="748"/>
    <w:uiPriority w:val="9"/>
    <w:rPr>
      <w:rFonts w:ascii="Arial" w:hAnsi="Arial" w:eastAsia="Arial" w:cs="Arial"/>
      <w:sz w:val="30"/>
      <w:szCs w:val="30"/>
    </w:rPr>
  </w:style>
  <w:style w:type="character" w:styleId="712">
    <w:name w:val="Heading 4 Char"/>
    <w:basedOn w:val="755"/>
    <w:link w:val="749"/>
    <w:uiPriority w:val="9"/>
    <w:rPr>
      <w:rFonts w:ascii="Arial" w:hAnsi="Arial" w:eastAsia="Arial" w:cs="Arial"/>
      <w:b/>
      <w:bCs/>
      <w:sz w:val="26"/>
      <w:szCs w:val="26"/>
    </w:rPr>
  </w:style>
  <w:style w:type="character" w:styleId="713">
    <w:name w:val="Heading 5 Char"/>
    <w:basedOn w:val="755"/>
    <w:link w:val="750"/>
    <w:uiPriority w:val="9"/>
    <w:rPr>
      <w:rFonts w:ascii="Arial" w:hAnsi="Arial" w:eastAsia="Arial" w:cs="Arial"/>
      <w:b/>
      <w:bCs/>
      <w:sz w:val="24"/>
      <w:szCs w:val="24"/>
    </w:rPr>
  </w:style>
  <w:style w:type="character" w:styleId="714">
    <w:name w:val="Heading 6 Char"/>
    <w:basedOn w:val="755"/>
    <w:link w:val="751"/>
    <w:uiPriority w:val="9"/>
    <w:rPr>
      <w:rFonts w:ascii="Arial" w:hAnsi="Arial" w:eastAsia="Arial" w:cs="Arial"/>
      <w:b/>
      <w:bCs/>
      <w:sz w:val="22"/>
      <w:szCs w:val="22"/>
    </w:rPr>
  </w:style>
  <w:style w:type="character" w:styleId="715">
    <w:name w:val="Heading 7 Char"/>
    <w:basedOn w:val="755"/>
    <w:link w:val="752"/>
    <w:uiPriority w:val="9"/>
    <w:rPr>
      <w:rFonts w:ascii="Arial" w:hAnsi="Arial" w:eastAsia="Arial" w:cs="Arial"/>
      <w:b/>
      <w:bCs/>
      <w:i/>
      <w:iCs/>
      <w:sz w:val="22"/>
      <w:szCs w:val="22"/>
    </w:rPr>
  </w:style>
  <w:style w:type="character" w:styleId="716">
    <w:name w:val="Heading 8 Char"/>
    <w:basedOn w:val="755"/>
    <w:link w:val="753"/>
    <w:uiPriority w:val="9"/>
    <w:rPr>
      <w:rFonts w:ascii="Arial" w:hAnsi="Arial" w:eastAsia="Arial" w:cs="Arial"/>
      <w:i/>
      <w:iCs/>
      <w:sz w:val="22"/>
      <w:szCs w:val="22"/>
    </w:rPr>
  </w:style>
  <w:style w:type="character" w:styleId="717">
    <w:name w:val="Heading 9 Char"/>
    <w:basedOn w:val="755"/>
    <w:link w:val="754"/>
    <w:uiPriority w:val="9"/>
    <w:rPr>
      <w:rFonts w:ascii="Arial" w:hAnsi="Arial" w:eastAsia="Arial" w:cs="Arial"/>
      <w:i/>
      <w:iCs/>
      <w:sz w:val="21"/>
      <w:szCs w:val="21"/>
    </w:rPr>
  </w:style>
  <w:style w:type="character" w:styleId="718">
    <w:name w:val="Title Char"/>
    <w:basedOn w:val="755"/>
    <w:link w:val="768"/>
    <w:uiPriority w:val="10"/>
    <w:rPr>
      <w:sz w:val="48"/>
      <w:szCs w:val="48"/>
    </w:rPr>
  </w:style>
  <w:style w:type="character" w:styleId="719">
    <w:name w:val="Subtitle Char"/>
    <w:basedOn w:val="755"/>
    <w:link w:val="770"/>
    <w:uiPriority w:val="11"/>
    <w:rPr>
      <w:sz w:val="24"/>
      <w:szCs w:val="24"/>
    </w:rPr>
  </w:style>
  <w:style w:type="character" w:styleId="720">
    <w:name w:val="Quote Char"/>
    <w:link w:val="772"/>
    <w:uiPriority w:val="29"/>
    <w:rPr>
      <w:i/>
    </w:rPr>
  </w:style>
  <w:style w:type="character" w:styleId="721">
    <w:name w:val="Intense Quote Char"/>
    <w:link w:val="774"/>
    <w:uiPriority w:val="30"/>
    <w:rPr>
      <w:i/>
    </w:rPr>
  </w:style>
  <w:style w:type="character" w:styleId="722">
    <w:name w:val="Header Char"/>
    <w:basedOn w:val="755"/>
    <w:link w:val="939"/>
    <w:uiPriority w:val="99"/>
  </w:style>
  <w:style w:type="character" w:styleId="723">
    <w:name w:val="Caption Char"/>
    <w:basedOn w:val="936"/>
    <w:link w:val="777"/>
    <w:uiPriority w:val="99"/>
  </w:style>
  <w:style w:type="table" w:styleId="724">
    <w:name w:val="Plain Table 1"/>
    <w:basedOn w:val="7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basedOn w:val="7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basedOn w:val="7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basedOn w:val="7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basedOn w:val="7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basedOn w:val="7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2"/>
    <w:basedOn w:val="7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3"/>
    <w:basedOn w:val="7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basedOn w:val="7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5 Dark"/>
    <w:basedOn w:val="7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4">
    <w:name w:val="Grid Table 6 Colorful"/>
    <w:basedOn w:val="7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5">
    <w:name w:val="Grid Table 7 Colorful"/>
    <w:basedOn w:val="7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List Table 1 Light"/>
    <w:basedOn w:val="7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2"/>
    <w:basedOn w:val="7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3"/>
    <w:basedOn w:val="7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4"/>
    <w:basedOn w:val="7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0">
    <w:name w:val="List Table 5 Dark"/>
    <w:basedOn w:val="7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1">
    <w:name w:val="List Table 6 Colorful"/>
    <w:basedOn w:val="7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2">
    <w:name w:val="List Table 7 Colorful"/>
    <w:basedOn w:val="7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3">
    <w:name w:val="Footnote Text Char"/>
    <w:link w:val="905"/>
    <w:uiPriority w:val="99"/>
    <w:rPr>
      <w:sz w:val="18"/>
    </w:rPr>
  </w:style>
  <w:style w:type="character" w:styleId="744">
    <w:name w:val="Endnote Text Char"/>
    <w:link w:val="908"/>
    <w:uiPriority w:val="99"/>
    <w:rPr>
      <w:sz w:val="20"/>
    </w:rPr>
  </w:style>
  <w:style w:type="paragraph" w:styleId="745" w:default="1">
    <w:name w:val="Normal"/>
    <w:qFormat/>
    <w:pPr>
      <w:widowControl w:val="off"/>
    </w:pPr>
    <w:rPr>
      <w:rFonts w:ascii="Times New Roman" w:hAnsi="Times New Roman" w:eastAsia="Times New Roman"/>
      <w:sz w:val="24"/>
      <w:szCs w:val="24"/>
    </w:rPr>
  </w:style>
  <w:style w:type="paragraph" w:styleId="746">
    <w:name w:val="Heading 1"/>
    <w:basedOn w:val="745"/>
    <w:next w:val="745"/>
    <w:link w:val="758"/>
    <w:uiPriority w:val="9"/>
    <w:qFormat/>
    <w:pPr>
      <w:keepLines/>
      <w:keepNext/>
      <w:spacing w:before="480" w:after="200"/>
      <w:outlineLvl w:val="0"/>
    </w:pPr>
    <w:rPr>
      <w:rFonts w:ascii="Arial" w:hAnsi="Arial" w:eastAsia="Arial" w:cs="Arial"/>
      <w:sz w:val="40"/>
      <w:szCs w:val="40"/>
    </w:rPr>
  </w:style>
  <w:style w:type="paragraph" w:styleId="747">
    <w:name w:val="Heading 2"/>
    <w:basedOn w:val="745"/>
    <w:next w:val="745"/>
    <w:link w:val="759"/>
    <w:qFormat/>
    <w:pPr>
      <w:jc w:val="center"/>
      <w:keepNext/>
      <w:widowControl/>
      <w:outlineLvl w:val="1"/>
    </w:pPr>
    <w:rPr>
      <w:b/>
      <w:sz w:val="44"/>
    </w:rPr>
  </w:style>
  <w:style w:type="paragraph" w:styleId="748">
    <w:name w:val="Heading 3"/>
    <w:basedOn w:val="745"/>
    <w:next w:val="745"/>
    <w:link w:val="760"/>
    <w:uiPriority w:val="9"/>
    <w:unhideWhenUsed/>
    <w:qFormat/>
    <w:pPr>
      <w:keepLines/>
      <w:keepNext/>
      <w:spacing w:before="320" w:after="200"/>
      <w:outlineLvl w:val="2"/>
    </w:pPr>
    <w:rPr>
      <w:rFonts w:ascii="Arial" w:hAnsi="Arial" w:eastAsia="Arial" w:cs="Arial"/>
      <w:sz w:val="30"/>
      <w:szCs w:val="30"/>
    </w:rPr>
  </w:style>
  <w:style w:type="paragraph" w:styleId="749">
    <w:name w:val="Heading 4"/>
    <w:basedOn w:val="745"/>
    <w:next w:val="745"/>
    <w:link w:val="761"/>
    <w:uiPriority w:val="9"/>
    <w:unhideWhenUsed/>
    <w:qFormat/>
    <w:pPr>
      <w:keepLines/>
      <w:keepNext/>
      <w:spacing w:before="320" w:after="200"/>
      <w:outlineLvl w:val="3"/>
    </w:pPr>
    <w:rPr>
      <w:rFonts w:ascii="Arial" w:hAnsi="Arial" w:eastAsia="Arial" w:cs="Arial"/>
      <w:b/>
      <w:bCs/>
      <w:sz w:val="26"/>
      <w:szCs w:val="26"/>
    </w:rPr>
  </w:style>
  <w:style w:type="paragraph" w:styleId="750">
    <w:name w:val="Heading 5"/>
    <w:basedOn w:val="745"/>
    <w:next w:val="745"/>
    <w:link w:val="762"/>
    <w:uiPriority w:val="9"/>
    <w:unhideWhenUsed/>
    <w:qFormat/>
    <w:pPr>
      <w:keepLines/>
      <w:keepNext/>
      <w:spacing w:before="320" w:after="200"/>
      <w:outlineLvl w:val="4"/>
    </w:pPr>
    <w:rPr>
      <w:rFonts w:ascii="Arial" w:hAnsi="Arial" w:eastAsia="Arial" w:cs="Arial"/>
      <w:b/>
      <w:bCs/>
    </w:rPr>
  </w:style>
  <w:style w:type="paragraph" w:styleId="751">
    <w:name w:val="Heading 6"/>
    <w:basedOn w:val="745"/>
    <w:next w:val="745"/>
    <w:link w:val="763"/>
    <w:uiPriority w:val="9"/>
    <w:unhideWhenUsed/>
    <w:qFormat/>
    <w:pPr>
      <w:keepLines/>
      <w:keepNext/>
      <w:spacing w:before="320" w:after="200"/>
      <w:outlineLvl w:val="5"/>
    </w:pPr>
    <w:rPr>
      <w:rFonts w:ascii="Arial" w:hAnsi="Arial" w:eastAsia="Arial" w:cs="Arial"/>
      <w:b/>
      <w:bCs/>
      <w:sz w:val="22"/>
      <w:szCs w:val="22"/>
    </w:rPr>
  </w:style>
  <w:style w:type="paragraph" w:styleId="752">
    <w:name w:val="Heading 7"/>
    <w:basedOn w:val="745"/>
    <w:next w:val="745"/>
    <w:link w:val="764"/>
    <w:uiPriority w:val="9"/>
    <w:unhideWhenUsed/>
    <w:qFormat/>
    <w:pPr>
      <w:keepLines/>
      <w:keepNext/>
      <w:spacing w:before="320" w:after="200"/>
      <w:outlineLvl w:val="6"/>
    </w:pPr>
    <w:rPr>
      <w:rFonts w:ascii="Arial" w:hAnsi="Arial" w:eastAsia="Arial" w:cs="Arial"/>
      <w:b/>
      <w:bCs/>
      <w:i/>
      <w:iCs/>
      <w:sz w:val="22"/>
      <w:szCs w:val="22"/>
    </w:rPr>
  </w:style>
  <w:style w:type="paragraph" w:styleId="753">
    <w:name w:val="Heading 8"/>
    <w:basedOn w:val="745"/>
    <w:next w:val="745"/>
    <w:link w:val="765"/>
    <w:uiPriority w:val="9"/>
    <w:unhideWhenUsed/>
    <w:qFormat/>
    <w:pPr>
      <w:keepLines/>
      <w:keepNext/>
      <w:spacing w:before="320" w:after="200"/>
      <w:outlineLvl w:val="7"/>
    </w:pPr>
    <w:rPr>
      <w:rFonts w:ascii="Arial" w:hAnsi="Arial" w:eastAsia="Arial" w:cs="Arial"/>
      <w:i/>
      <w:iCs/>
      <w:sz w:val="22"/>
      <w:szCs w:val="22"/>
    </w:rPr>
  </w:style>
  <w:style w:type="paragraph" w:styleId="754">
    <w:name w:val="Heading 9"/>
    <w:basedOn w:val="745"/>
    <w:next w:val="745"/>
    <w:link w:val="766"/>
    <w:uiPriority w:val="9"/>
    <w:unhideWhenUsed/>
    <w:qFormat/>
    <w:pPr>
      <w:keepLines/>
      <w:keepNext/>
      <w:spacing w:before="320" w:after="200"/>
      <w:outlineLvl w:val="8"/>
    </w:pPr>
    <w:rPr>
      <w:rFonts w:ascii="Arial" w:hAnsi="Arial" w:eastAsia="Arial" w:cs="Arial"/>
      <w:i/>
      <w:iCs/>
      <w:sz w:val="21"/>
      <w:szCs w:val="21"/>
    </w:rPr>
  </w:style>
  <w:style w:type="character" w:styleId="755" w:default="1">
    <w:name w:val="Default Paragraph Font"/>
    <w:uiPriority w:val="1"/>
    <w:semiHidden/>
    <w:unhideWhenUsed/>
  </w:style>
  <w:style w:type="table" w:styleId="756" w:default="1">
    <w:name w:val="Normal Table"/>
    <w:uiPriority w:val="99"/>
    <w:semiHidden/>
    <w:unhideWhenUsed/>
    <w:tblPr>
      <w:tblInd w:w="0" w:type="dxa"/>
      <w:tblCellMar>
        <w:left w:w="108" w:type="dxa"/>
        <w:top w:w="0" w:type="dxa"/>
        <w:right w:w="108" w:type="dxa"/>
        <w:bottom w:w="0" w:type="dxa"/>
      </w:tblCellMar>
    </w:tblPr>
  </w:style>
  <w:style w:type="numbering" w:styleId="757" w:default="1">
    <w:name w:val="No List"/>
    <w:uiPriority w:val="99"/>
    <w:semiHidden/>
    <w:unhideWhenUsed/>
  </w:style>
  <w:style w:type="character" w:styleId="758" w:customStyle="1">
    <w:name w:val="Заголовок 1 Знак"/>
    <w:basedOn w:val="755"/>
    <w:link w:val="746"/>
    <w:uiPriority w:val="9"/>
    <w:rPr>
      <w:rFonts w:ascii="Arial" w:hAnsi="Arial" w:eastAsia="Arial" w:cs="Arial"/>
      <w:sz w:val="40"/>
      <w:szCs w:val="40"/>
    </w:rPr>
  </w:style>
  <w:style w:type="character" w:styleId="759" w:customStyle="1">
    <w:name w:val="Заголовок 2 Знак"/>
    <w:basedOn w:val="755"/>
    <w:link w:val="747"/>
    <w:uiPriority w:val="9"/>
    <w:rPr>
      <w:rFonts w:ascii="Arial" w:hAnsi="Arial" w:eastAsia="Arial" w:cs="Arial"/>
      <w:sz w:val="34"/>
    </w:rPr>
  </w:style>
  <w:style w:type="character" w:styleId="760" w:customStyle="1">
    <w:name w:val="Заголовок 3 Знак"/>
    <w:basedOn w:val="755"/>
    <w:link w:val="748"/>
    <w:uiPriority w:val="9"/>
    <w:rPr>
      <w:rFonts w:ascii="Arial" w:hAnsi="Arial" w:eastAsia="Arial" w:cs="Arial"/>
      <w:sz w:val="30"/>
      <w:szCs w:val="30"/>
    </w:rPr>
  </w:style>
  <w:style w:type="character" w:styleId="761" w:customStyle="1">
    <w:name w:val="Заголовок 4 Знак"/>
    <w:basedOn w:val="755"/>
    <w:link w:val="749"/>
    <w:uiPriority w:val="9"/>
    <w:rPr>
      <w:rFonts w:ascii="Arial" w:hAnsi="Arial" w:eastAsia="Arial" w:cs="Arial"/>
      <w:b/>
      <w:bCs/>
      <w:sz w:val="26"/>
      <w:szCs w:val="26"/>
    </w:rPr>
  </w:style>
  <w:style w:type="character" w:styleId="762" w:customStyle="1">
    <w:name w:val="Заголовок 5 Знак"/>
    <w:basedOn w:val="755"/>
    <w:link w:val="750"/>
    <w:uiPriority w:val="9"/>
    <w:rPr>
      <w:rFonts w:ascii="Arial" w:hAnsi="Arial" w:eastAsia="Arial" w:cs="Arial"/>
      <w:b/>
      <w:bCs/>
      <w:sz w:val="24"/>
      <w:szCs w:val="24"/>
    </w:rPr>
  </w:style>
  <w:style w:type="character" w:styleId="763" w:customStyle="1">
    <w:name w:val="Заголовок 6 Знак"/>
    <w:basedOn w:val="755"/>
    <w:link w:val="751"/>
    <w:uiPriority w:val="9"/>
    <w:rPr>
      <w:rFonts w:ascii="Arial" w:hAnsi="Arial" w:eastAsia="Arial" w:cs="Arial"/>
      <w:b/>
      <w:bCs/>
      <w:sz w:val="22"/>
      <w:szCs w:val="22"/>
    </w:rPr>
  </w:style>
  <w:style w:type="character" w:styleId="764" w:customStyle="1">
    <w:name w:val="Заголовок 7 Знак"/>
    <w:basedOn w:val="755"/>
    <w:link w:val="752"/>
    <w:uiPriority w:val="9"/>
    <w:rPr>
      <w:rFonts w:ascii="Arial" w:hAnsi="Arial" w:eastAsia="Arial" w:cs="Arial"/>
      <w:b/>
      <w:bCs/>
      <w:i/>
      <w:iCs/>
      <w:sz w:val="22"/>
      <w:szCs w:val="22"/>
    </w:rPr>
  </w:style>
  <w:style w:type="character" w:styleId="765" w:customStyle="1">
    <w:name w:val="Заголовок 8 Знак"/>
    <w:basedOn w:val="755"/>
    <w:link w:val="753"/>
    <w:uiPriority w:val="9"/>
    <w:rPr>
      <w:rFonts w:ascii="Arial" w:hAnsi="Arial" w:eastAsia="Arial" w:cs="Arial"/>
      <w:i/>
      <w:iCs/>
      <w:sz w:val="22"/>
      <w:szCs w:val="22"/>
    </w:rPr>
  </w:style>
  <w:style w:type="character" w:styleId="766" w:customStyle="1">
    <w:name w:val="Заголовок 9 Знак"/>
    <w:basedOn w:val="755"/>
    <w:link w:val="754"/>
    <w:uiPriority w:val="9"/>
    <w:rPr>
      <w:rFonts w:ascii="Arial" w:hAnsi="Arial" w:eastAsia="Arial" w:cs="Arial"/>
      <w:i/>
      <w:iCs/>
      <w:sz w:val="21"/>
      <w:szCs w:val="21"/>
    </w:rPr>
  </w:style>
  <w:style w:type="paragraph" w:styleId="767">
    <w:name w:val="No Spacing"/>
    <w:uiPriority w:val="1"/>
    <w:qFormat/>
  </w:style>
  <w:style w:type="paragraph" w:styleId="768">
    <w:name w:val="Title"/>
    <w:basedOn w:val="745"/>
    <w:next w:val="745"/>
    <w:link w:val="769"/>
    <w:uiPriority w:val="10"/>
    <w:qFormat/>
    <w:pPr>
      <w:contextualSpacing/>
      <w:spacing w:before="300" w:after="200"/>
    </w:pPr>
    <w:rPr>
      <w:sz w:val="48"/>
      <w:szCs w:val="48"/>
    </w:rPr>
  </w:style>
  <w:style w:type="character" w:styleId="769" w:customStyle="1">
    <w:name w:val="Название Знак"/>
    <w:basedOn w:val="755"/>
    <w:link w:val="768"/>
    <w:uiPriority w:val="10"/>
    <w:rPr>
      <w:sz w:val="48"/>
      <w:szCs w:val="48"/>
    </w:rPr>
  </w:style>
  <w:style w:type="paragraph" w:styleId="770">
    <w:name w:val="Subtitle"/>
    <w:basedOn w:val="745"/>
    <w:next w:val="745"/>
    <w:link w:val="771"/>
    <w:uiPriority w:val="11"/>
    <w:qFormat/>
    <w:pPr>
      <w:spacing w:before="200" w:after="200"/>
    </w:pPr>
  </w:style>
  <w:style w:type="character" w:styleId="771" w:customStyle="1">
    <w:name w:val="Подзаголовок Знак"/>
    <w:basedOn w:val="755"/>
    <w:link w:val="770"/>
    <w:uiPriority w:val="11"/>
    <w:rPr>
      <w:sz w:val="24"/>
      <w:szCs w:val="24"/>
    </w:rPr>
  </w:style>
  <w:style w:type="paragraph" w:styleId="772">
    <w:name w:val="Quote"/>
    <w:basedOn w:val="745"/>
    <w:next w:val="745"/>
    <w:link w:val="773"/>
    <w:uiPriority w:val="29"/>
    <w:qFormat/>
    <w:pPr>
      <w:ind w:left="720" w:right="720"/>
    </w:pPr>
    <w:rPr>
      <w:i/>
    </w:rPr>
  </w:style>
  <w:style w:type="character" w:styleId="773" w:customStyle="1">
    <w:name w:val="Цитата 2 Знак"/>
    <w:link w:val="772"/>
    <w:uiPriority w:val="29"/>
    <w:rPr>
      <w:i/>
    </w:rPr>
  </w:style>
  <w:style w:type="paragraph" w:styleId="774">
    <w:name w:val="Intense Quote"/>
    <w:basedOn w:val="745"/>
    <w:next w:val="745"/>
    <w:link w:val="7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customStyle="1">
    <w:name w:val="Выделенная цитата Знак"/>
    <w:link w:val="774"/>
    <w:uiPriority w:val="30"/>
    <w:rPr>
      <w:i/>
    </w:rPr>
  </w:style>
  <w:style w:type="character" w:styleId="776" w:customStyle="1">
    <w:name w:val="Верхний колонтитул Знак"/>
    <w:basedOn w:val="755"/>
    <w:link w:val="939"/>
    <w:uiPriority w:val="99"/>
  </w:style>
  <w:style w:type="paragraph" w:styleId="777">
    <w:name w:val="Footer"/>
    <w:basedOn w:val="745"/>
    <w:link w:val="779"/>
    <w:uiPriority w:val="99"/>
    <w:unhideWhenUsed/>
    <w:pPr>
      <w:tabs>
        <w:tab w:val="center" w:pos="7143" w:leader="none"/>
        <w:tab w:val="right" w:pos="14287" w:leader="none"/>
      </w:tabs>
    </w:pPr>
  </w:style>
  <w:style w:type="character" w:styleId="778" w:customStyle="1">
    <w:name w:val="Footer Char"/>
    <w:basedOn w:val="755"/>
    <w:uiPriority w:val="99"/>
  </w:style>
  <w:style w:type="character" w:styleId="779" w:customStyle="1">
    <w:name w:val="Нижний колонтитул Знак"/>
    <w:link w:val="777"/>
    <w:uiPriority w:val="99"/>
  </w:style>
  <w:style w:type="table" w:styleId="780" w:customStyle="1">
    <w:name w:val="Table Grid Light"/>
    <w:basedOn w:val="756"/>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81" w:customStyle="1">
    <w:name w:val="Таблица простая 11"/>
    <w:basedOn w:val="756"/>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Таблица простая 21"/>
    <w:basedOn w:val="756"/>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Таблица простая 31"/>
    <w:basedOn w:val="756"/>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Таблица простая 41"/>
    <w:basedOn w:val="756"/>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Таблица простая 51"/>
    <w:basedOn w:val="756"/>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Таблица-сетка 1 светлая1"/>
    <w:basedOn w:val="756"/>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1"/>
    <w:basedOn w:val="756"/>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basedOn w:val="756"/>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basedOn w:val="756"/>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basedOn w:val="756"/>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basedOn w:val="756"/>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basedOn w:val="75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3" w:customStyle="1">
    <w:name w:val="Таблица-сетка 21"/>
    <w:basedOn w:val="756"/>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4" w:customStyle="1">
    <w:name w:val="Grid Table 2 - Accent 1"/>
    <w:basedOn w:val="756"/>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95" w:customStyle="1">
    <w:name w:val="Grid Table 2 - Accent 2"/>
    <w:basedOn w:val="756"/>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96" w:customStyle="1">
    <w:name w:val="Grid Table 2 - Accent 3"/>
    <w:basedOn w:val="756"/>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97" w:customStyle="1">
    <w:name w:val="Grid Table 2 - Accent 4"/>
    <w:basedOn w:val="756"/>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2 - Accent 5"/>
    <w:basedOn w:val="756"/>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Grid Table 2 - Accent 6"/>
    <w:basedOn w:val="75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0" w:customStyle="1">
    <w:name w:val="Таблица-сетка 31"/>
    <w:basedOn w:val="756"/>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1"/>
    <w:basedOn w:val="756"/>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2"/>
    <w:basedOn w:val="756"/>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3"/>
    <w:basedOn w:val="756"/>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4"/>
    <w:basedOn w:val="756"/>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5"/>
    <w:basedOn w:val="756"/>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6"/>
    <w:basedOn w:val="75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Таблица-сетка 41"/>
    <w:basedOn w:val="756"/>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4 - Accent 1"/>
    <w:basedOn w:val="756"/>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09" w:customStyle="1">
    <w:name w:val="Grid Table 4 - Accent 2"/>
    <w:basedOn w:val="756"/>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10" w:customStyle="1">
    <w:name w:val="Grid Table 4 - Accent 3"/>
    <w:basedOn w:val="756"/>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11" w:customStyle="1">
    <w:name w:val="Grid Table 4 - Accent 4"/>
    <w:basedOn w:val="756"/>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2" w:customStyle="1">
    <w:name w:val="Grid Table 4 - Accent 5"/>
    <w:basedOn w:val="756"/>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3" w:customStyle="1">
    <w:name w:val="Grid Table 4 - Accent 6"/>
    <w:basedOn w:val="75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4" w:customStyle="1">
    <w:name w:val="Таблица-сетка 5 темная1"/>
    <w:basedOn w:val="75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5 Dark- Accent 1"/>
    <w:basedOn w:val="75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6" w:customStyle="1">
    <w:name w:val="Grid Table 5 Dark - Accent 2"/>
    <w:basedOn w:val="75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7" w:customStyle="1">
    <w:name w:val="Grid Table 5 Dark - Accent 3"/>
    <w:basedOn w:val="75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8" w:customStyle="1">
    <w:name w:val="Grid Table 5 Dark- Accent 4"/>
    <w:basedOn w:val="75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9" w:customStyle="1">
    <w:name w:val="Grid Table 5 Dark - Accent 5"/>
    <w:basedOn w:val="75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0" w:customStyle="1">
    <w:name w:val="Grid Table 5 Dark - Accent 6"/>
    <w:basedOn w:val="75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1" w:customStyle="1">
    <w:name w:val="Таблица-сетка 6 цветная1"/>
    <w:basedOn w:val="756"/>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22" w:customStyle="1">
    <w:name w:val="Grid Table 6 Colorful - Accent 1"/>
    <w:basedOn w:val="756"/>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3" w:customStyle="1">
    <w:name w:val="Grid Table 6 Colorful - Accent 2"/>
    <w:basedOn w:val="756"/>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24" w:customStyle="1">
    <w:name w:val="Grid Table 6 Colorful - Accent 3"/>
    <w:basedOn w:val="756"/>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25" w:customStyle="1">
    <w:name w:val="Grid Table 6 Colorful - Accent 4"/>
    <w:basedOn w:val="756"/>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26" w:customStyle="1">
    <w:name w:val="Grid Table 6 Colorful - Accent 5"/>
    <w:basedOn w:val="756"/>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7" w:customStyle="1">
    <w:name w:val="Grid Table 6 Colorful - Accent 6"/>
    <w:basedOn w:val="75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8" w:customStyle="1">
    <w:name w:val="Таблица-сетка 7 цветная1"/>
    <w:basedOn w:val="756"/>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29" w:customStyle="1">
    <w:name w:val="Grid Table 7 Colorful - Accent 1"/>
    <w:basedOn w:val="756"/>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style>
  <w:style w:type="table" w:styleId="830" w:customStyle="1">
    <w:name w:val="Grid Table 7 Colorful - Accent 2"/>
    <w:basedOn w:val="756"/>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31" w:customStyle="1">
    <w:name w:val="Grid Table 7 Colorful - Accent 3"/>
    <w:basedOn w:val="756"/>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style>
  <w:style w:type="table" w:styleId="832" w:customStyle="1">
    <w:name w:val="Grid Table 7 Colorful - Accent 4"/>
    <w:basedOn w:val="756"/>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33" w:customStyle="1">
    <w:name w:val="Grid Table 7 Colorful - Accent 5"/>
    <w:basedOn w:val="756"/>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style>
  <w:style w:type="table" w:styleId="834" w:customStyle="1">
    <w:name w:val="Grid Table 7 Colorful - Accent 6"/>
    <w:basedOn w:val="75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style>
  <w:style w:type="table" w:styleId="835" w:customStyle="1">
    <w:name w:val="Список-таблица 1 светлая1"/>
    <w:basedOn w:val="756"/>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1 Light - Accent 1"/>
    <w:basedOn w:val="756"/>
    <w:uiPriority w:val="99"/>
    <w:tblPr>
      <w:tblStyleRowBandSize w:val="1"/>
      <w:tblStyleColBandSize w:val="1"/>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1 Light - Accent 2"/>
    <w:basedOn w:val="756"/>
    <w:uiPriority w:val="99"/>
    <w:tblPr>
      <w:tblStyleRowBandSize w:val="1"/>
      <w:tblStyleColBandSize w:val="1"/>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8" w:customStyle="1">
    <w:name w:val="List Table 1 Light - Accent 3"/>
    <w:basedOn w:val="756"/>
    <w:uiPriority w:val="99"/>
    <w:tblPr>
      <w:tblStyleRowBandSize w:val="1"/>
      <w:tblStyleColBandSize w:val="1"/>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9" w:customStyle="1">
    <w:name w:val="List Table 1 Light - Accent 4"/>
    <w:basedOn w:val="756"/>
    <w:uiPriority w:val="99"/>
    <w:tblPr>
      <w:tblStyleRowBandSize w:val="1"/>
      <w:tblStyleColBandSize w:val="1"/>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0" w:customStyle="1">
    <w:name w:val="List Table 1 Light - Accent 5"/>
    <w:basedOn w:val="756"/>
    <w:uiPriority w:val="99"/>
    <w:tblPr>
      <w:tblStyleRowBandSize w:val="1"/>
      <w:tblStyleColBandSize w:val="1"/>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List Table 1 Light - Accent 6"/>
    <w:basedOn w:val="756"/>
    <w:uiPriority w:val="99"/>
    <w:tblPr>
      <w:tblStyleRowBandSize w:val="1"/>
      <w:tblStyleColBandSize w:val="1"/>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Список-таблица 21"/>
    <w:basedOn w:val="756"/>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3" w:customStyle="1">
    <w:name w:val="List Table 2 - Accent 1"/>
    <w:basedOn w:val="756"/>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4" w:customStyle="1">
    <w:name w:val="List Table 2 - Accent 2"/>
    <w:basedOn w:val="756"/>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45" w:customStyle="1">
    <w:name w:val="List Table 2 - Accent 3"/>
    <w:basedOn w:val="756"/>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6" w:customStyle="1">
    <w:name w:val="List Table 2 - Accent 4"/>
    <w:basedOn w:val="756"/>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7" w:customStyle="1">
    <w:name w:val="List Table 2 - Accent 5"/>
    <w:basedOn w:val="756"/>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8" w:customStyle="1">
    <w:name w:val="List Table 2 - Accent 6"/>
    <w:basedOn w:val="75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9" w:customStyle="1">
    <w:name w:val="Список-таблица 31"/>
    <w:basedOn w:val="756"/>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3 - Accent 1"/>
    <w:basedOn w:val="756"/>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3 - Accent 2"/>
    <w:basedOn w:val="756"/>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52" w:customStyle="1">
    <w:name w:val="List Table 3 - Accent 3"/>
    <w:basedOn w:val="756"/>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53" w:customStyle="1">
    <w:name w:val="List Table 3 - Accent 4"/>
    <w:basedOn w:val="756"/>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4" w:customStyle="1">
    <w:name w:val="List Table 3 - Accent 5"/>
    <w:basedOn w:val="756"/>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5" w:customStyle="1">
    <w:name w:val="List Table 3 - Accent 6"/>
    <w:basedOn w:val="75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6" w:customStyle="1">
    <w:name w:val="Список-таблица 41"/>
    <w:basedOn w:val="756"/>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 Accent 1"/>
    <w:basedOn w:val="756"/>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4 - Accent 2"/>
    <w:basedOn w:val="756"/>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9" w:customStyle="1">
    <w:name w:val="List Table 4 - Accent 3"/>
    <w:basedOn w:val="756"/>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0" w:customStyle="1">
    <w:name w:val="List Table 4 - Accent 4"/>
    <w:basedOn w:val="756"/>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1" w:customStyle="1">
    <w:name w:val="List Table 4 - Accent 5"/>
    <w:basedOn w:val="756"/>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2" w:customStyle="1">
    <w:name w:val="List Table 4 - Accent 6"/>
    <w:basedOn w:val="75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3" w:customStyle="1">
    <w:name w:val="Список-таблица 5 темная1"/>
    <w:basedOn w:val="756"/>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4" w:customStyle="1">
    <w:name w:val="List Table 5 Dark - Accent 1"/>
    <w:basedOn w:val="756"/>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5" w:customStyle="1">
    <w:name w:val="List Table 5 Dark - Accent 2"/>
    <w:basedOn w:val="756"/>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66" w:customStyle="1">
    <w:name w:val="List Table 5 Dark - Accent 3"/>
    <w:basedOn w:val="756"/>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67" w:customStyle="1">
    <w:name w:val="List Table 5 Dark - Accent 4"/>
    <w:basedOn w:val="756"/>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8" w:customStyle="1">
    <w:name w:val="List Table 5 Dark - Accent 5"/>
    <w:basedOn w:val="756"/>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9" w:customStyle="1">
    <w:name w:val="List Table 5 Dark - Accent 6"/>
    <w:basedOn w:val="75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0" w:customStyle="1">
    <w:name w:val="Список-таблица 6 цветная1"/>
    <w:basedOn w:val="756"/>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1" w:customStyle="1">
    <w:name w:val="List Table 6 Colorful - Accent 1"/>
    <w:basedOn w:val="756"/>
    <w:uiPriority w:val="99"/>
    <w:tblPr>
      <w:tblStyleRowBandSize w:val="1"/>
      <w:tblStyleColBandSize w:val="1"/>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72" w:customStyle="1">
    <w:name w:val="List Table 6 Colorful - Accent 2"/>
    <w:basedOn w:val="756"/>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73" w:customStyle="1">
    <w:name w:val="List Table 6 Colorful - Accent 3"/>
    <w:basedOn w:val="756"/>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74" w:customStyle="1">
    <w:name w:val="List Table 6 Colorful - Accent 4"/>
    <w:basedOn w:val="756"/>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5" w:customStyle="1">
    <w:name w:val="List Table 6 Colorful - Accent 5"/>
    <w:basedOn w:val="756"/>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76" w:customStyle="1">
    <w:name w:val="List Table 6 Colorful - Accent 6"/>
    <w:basedOn w:val="75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77" w:customStyle="1">
    <w:name w:val="Список-таблица 7 цветная1"/>
    <w:basedOn w:val="756"/>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78" w:customStyle="1">
    <w:name w:val="List Table 7 Colorful - Accent 1"/>
    <w:basedOn w:val="756"/>
    <w:uiPriority w:val="99"/>
    <w:tblPr>
      <w:tblStyleRowBandSize w:val="1"/>
      <w:tblStyleColBandSize w:val="1"/>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style>
  <w:style w:type="table" w:styleId="879" w:customStyle="1">
    <w:name w:val="List Table 7 Colorful - Accent 2"/>
    <w:basedOn w:val="756"/>
    <w:uiPriority w:val="99"/>
    <w:tblPr>
      <w:tblStyleRowBandSize w:val="1"/>
      <w:tblStyleColBandSize w:val="1"/>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80" w:customStyle="1">
    <w:name w:val="List Table 7 Colorful - Accent 3"/>
    <w:basedOn w:val="756"/>
    <w:uiPriority w:val="99"/>
    <w:tblPr>
      <w:tblStyleRowBandSize w:val="1"/>
      <w:tblStyleColBandSize w:val="1"/>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style>
  <w:style w:type="table" w:styleId="881" w:customStyle="1">
    <w:name w:val="List Table 7 Colorful - Accent 4"/>
    <w:basedOn w:val="756"/>
    <w:uiPriority w:val="99"/>
    <w:tblPr>
      <w:tblStyleRowBandSize w:val="1"/>
      <w:tblStyleColBandSize w:val="1"/>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82" w:customStyle="1">
    <w:name w:val="List Table 7 Colorful - Accent 5"/>
    <w:basedOn w:val="756"/>
    <w:uiPriority w:val="99"/>
    <w:tblPr>
      <w:tblStyleRowBandSize w:val="1"/>
      <w:tblStyleColBandSize w:val="1"/>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style>
  <w:style w:type="table" w:styleId="883" w:customStyle="1">
    <w:name w:val="List Table 7 Colorful - Accent 6"/>
    <w:basedOn w:val="756"/>
    <w:uiPriority w:val="99"/>
    <w:tblPr>
      <w:tblStyleRowBandSize w:val="1"/>
      <w:tblStyleColBandSize w:val="1"/>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style>
  <w:style w:type="table" w:styleId="884" w:customStyle="1">
    <w:name w:val="Lined - Accent"/>
    <w:basedOn w:val="756"/>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5" w:customStyle="1">
    <w:name w:val="Lined - Accent 1"/>
    <w:basedOn w:val="756"/>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6" w:customStyle="1">
    <w:name w:val="Lined - Accent 2"/>
    <w:basedOn w:val="756"/>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7" w:customStyle="1">
    <w:name w:val="Lined - Accent 3"/>
    <w:basedOn w:val="756"/>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8" w:customStyle="1">
    <w:name w:val="Lined - Accent 4"/>
    <w:basedOn w:val="756"/>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Lined - Accent 5"/>
    <w:basedOn w:val="756"/>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Lined - Accent 6"/>
    <w:basedOn w:val="756"/>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amp; Lined - Accent"/>
    <w:basedOn w:val="756"/>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2" w:customStyle="1">
    <w:name w:val="Bordered &amp; Lined - Accent 1"/>
    <w:basedOn w:val="756"/>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3" w:customStyle="1">
    <w:name w:val="Bordered &amp; Lined - Accent 2"/>
    <w:basedOn w:val="756"/>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4" w:customStyle="1">
    <w:name w:val="Bordered &amp; Lined - Accent 3"/>
    <w:basedOn w:val="756"/>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5" w:customStyle="1">
    <w:name w:val="Bordered &amp; Lined - Accent 4"/>
    <w:basedOn w:val="756"/>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Bordered &amp; Lined - Accent 5"/>
    <w:basedOn w:val="756"/>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Bordered &amp; Lined - Accent 6"/>
    <w:basedOn w:val="75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w:basedOn w:val="756"/>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99" w:customStyle="1">
    <w:name w:val="Bordered - Accent 1"/>
    <w:basedOn w:val="756"/>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0" w:customStyle="1">
    <w:name w:val="Bordered - Accent 2"/>
    <w:basedOn w:val="756"/>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01" w:customStyle="1">
    <w:name w:val="Bordered - Accent 3"/>
    <w:basedOn w:val="756"/>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02" w:customStyle="1">
    <w:name w:val="Bordered - Accent 4"/>
    <w:basedOn w:val="756"/>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3" w:customStyle="1">
    <w:name w:val="Bordered - Accent 5"/>
    <w:basedOn w:val="756"/>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4" w:customStyle="1">
    <w:name w:val="Bordered - Accent 6"/>
    <w:basedOn w:val="75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05">
    <w:name w:val="footnote text"/>
    <w:basedOn w:val="745"/>
    <w:link w:val="906"/>
    <w:uiPriority w:val="99"/>
    <w:semiHidden/>
    <w:unhideWhenUsed/>
    <w:pPr>
      <w:spacing w:after="40"/>
    </w:pPr>
    <w:rPr>
      <w:sz w:val="18"/>
    </w:rPr>
  </w:style>
  <w:style w:type="character" w:styleId="906" w:customStyle="1">
    <w:name w:val="Текст сноски Знак"/>
    <w:link w:val="905"/>
    <w:uiPriority w:val="99"/>
    <w:rPr>
      <w:sz w:val="18"/>
    </w:rPr>
  </w:style>
  <w:style w:type="character" w:styleId="907">
    <w:name w:val="footnote reference"/>
    <w:basedOn w:val="755"/>
    <w:uiPriority w:val="99"/>
    <w:unhideWhenUsed/>
    <w:rPr>
      <w:vertAlign w:val="superscript"/>
    </w:rPr>
  </w:style>
  <w:style w:type="paragraph" w:styleId="908">
    <w:name w:val="endnote text"/>
    <w:basedOn w:val="745"/>
    <w:link w:val="909"/>
    <w:uiPriority w:val="99"/>
    <w:semiHidden/>
    <w:unhideWhenUsed/>
    <w:rPr>
      <w:sz w:val="20"/>
    </w:rPr>
  </w:style>
  <w:style w:type="character" w:styleId="909" w:customStyle="1">
    <w:name w:val="Текст концевой сноски Знак"/>
    <w:link w:val="908"/>
    <w:uiPriority w:val="99"/>
    <w:rPr>
      <w:sz w:val="20"/>
    </w:rPr>
  </w:style>
  <w:style w:type="character" w:styleId="910">
    <w:name w:val="endnote reference"/>
    <w:basedOn w:val="755"/>
    <w:uiPriority w:val="99"/>
    <w:semiHidden/>
    <w:unhideWhenUsed/>
    <w:rPr>
      <w:vertAlign w:val="superscript"/>
    </w:rPr>
  </w:style>
  <w:style w:type="paragraph" w:styleId="911">
    <w:name w:val="toc 1"/>
    <w:basedOn w:val="745"/>
    <w:next w:val="745"/>
    <w:uiPriority w:val="39"/>
    <w:unhideWhenUsed/>
    <w:pPr>
      <w:spacing w:after="57"/>
    </w:pPr>
  </w:style>
  <w:style w:type="paragraph" w:styleId="912">
    <w:name w:val="toc 2"/>
    <w:basedOn w:val="745"/>
    <w:next w:val="745"/>
    <w:uiPriority w:val="39"/>
    <w:unhideWhenUsed/>
    <w:pPr>
      <w:ind w:left="283"/>
      <w:spacing w:after="57"/>
    </w:pPr>
  </w:style>
  <w:style w:type="paragraph" w:styleId="913">
    <w:name w:val="toc 3"/>
    <w:basedOn w:val="745"/>
    <w:next w:val="745"/>
    <w:uiPriority w:val="39"/>
    <w:unhideWhenUsed/>
    <w:pPr>
      <w:ind w:left="567"/>
      <w:spacing w:after="57"/>
    </w:pPr>
  </w:style>
  <w:style w:type="paragraph" w:styleId="914">
    <w:name w:val="toc 4"/>
    <w:basedOn w:val="745"/>
    <w:next w:val="745"/>
    <w:uiPriority w:val="39"/>
    <w:unhideWhenUsed/>
    <w:pPr>
      <w:ind w:left="850"/>
      <w:spacing w:after="57"/>
    </w:pPr>
  </w:style>
  <w:style w:type="paragraph" w:styleId="915">
    <w:name w:val="toc 5"/>
    <w:basedOn w:val="745"/>
    <w:next w:val="745"/>
    <w:uiPriority w:val="39"/>
    <w:unhideWhenUsed/>
    <w:pPr>
      <w:ind w:left="1134"/>
      <w:spacing w:after="57"/>
    </w:pPr>
  </w:style>
  <w:style w:type="paragraph" w:styleId="916">
    <w:name w:val="toc 6"/>
    <w:basedOn w:val="745"/>
    <w:next w:val="745"/>
    <w:uiPriority w:val="39"/>
    <w:unhideWhenUsed/>
    <w:pPr>
      <w:ind w:left="1417"/>
      <w:spacing w:after="57"/>
    </w:pPr>
  </w:style>
  <w:style w:type="paragraph" w:styleId="917">
    <w:name w:val="toc 7"/>
    <w:basedOn w:val="745"/>
    <w:next w:val="745"/>
    <w:uiPriority w:val="39"/>
    <w:unhideWhenUsed/>
    <w:pPr>
      <w:ind w:left="1701"/>
      <w:spacing w:after="57"/>
    </w:pPr>
  </w:style>
  <w:style w:type="paragraph" w:styleId="918">
    <w:name w:val="toc 8"/>
    <w:basedOn w:val="745"/>
    <w:next w:val="745"/>
    <w:uiPriority w:val="39"/>
    <w:unhideWhenUsed/>
    <w:pPr>
      <w:ind w:left="1984"/>
      <w:spacing w:after="57"/>
    </w:pPr>
  </w:style>
  <w:style w:type="paragraph" w:styleId="919">
    <w:name w:val="toc 9"/>
    <w:basedOn w:val="745"/>
    <w:next w:val="745"/>
    <w:uiPriority w:val="39"/>
    <w:unhideWhenUsed/>
    <w:pPr>
      <w:ind w:left="2268"/>
      <w:spacing w:after="57"/>
    </w:pPr>
  </w:style>
  <w:style w:type="paragraph" w:styleId="920">
    <w:name w:val="TOC Heading"/>
    <w:uiPriority w:val="39"/>
    <w:unhideWhenUsed/>
  </w:style>
  <w:style w:type="paragraph" w:styleId="921">
    <w:name w:val="table of figures"/>
    <w:basedOn w:val="745"/>
    <w:next w:val="745"/>
    <w:uiPriority w:val="99"/>
    <w:unhideWhenUsed/>
  </w:style>
  <w:style w:type="paragraph" w:styleId="922" w:customStyle="1">
    <w:name w:val="Style5"/>
    <w:basedOn w:val="745"/>
    <w:uiPriority w:val="99"/>
    <w:pPr>
      <w:spacing w:line="307" w:lineRule="exact"/>
    </w:pPr>
  </w:style>
  <w:style w:type="paragraph" w:styleId="923" w:customStyle="1">
    <w:name w:val="Style6"/>
    <w:basedOn w:val="745"/>
    <w:uiPriority w:val="99"/>
    <w:pPr>
      <w:ind w:firstLine="749"/>
      <w:spacing w:line="302" w:lineRule="exact"/>
    </w:pPr>
  </w:style>
  <w:style w:type="paragraph" w:styleId="924" w:customStyle="1">
    <w:name w:val="Style7"/>
    <w:basedOn w:val="745"/>
    <w:uiPriority w:val="99"/>
    <w:pPr>
      <w:jc w:val="both"/>
      <w:spacing w:line="298" w:lineRule="exact"/>
    </w:pPr>
  </w:style>
  <w:style w:type="paragraph" w:styleId="925" w:customStyle="1">
    <w:name w:val="Style8"/>
    <w:basedOn w:val="745"/>
    <w:uiPriority w:val="99"/>
  </w:style>
  <w:style w:type="paragraph" w:styleId="926" w:customStyle="1">
    <w:name w:val="Style9"/>
    <w:basedOn w:val="745"/>
    <w:uiPriority w:val="99"/>
    <w:pPr>
      <w:ind w:hanging="125"/>
      <w:spacing w:line="298" w:lineRule="exact"/>
    </w:pPr>
  </w:style>
  <w:style w:type="paragraph" w:styleId="927" w:customStyle="1">
    <w:name w:val="Style10"/>
    <w:basedOn w:val="745"/>
    <w:uiPriority w:val="99"/>
    <w:pPr>
      <w:ind w:firstLine="720"/>
      <w:jc w:val="both"/>
      <w:spacing w:line="288" w:lineRule="exact"/>
    </w:pPr>
  </w:style>
  <w:style w:type="paragraph" w:styleId="928" w:customStyle="1">
    <w:name w:val="Style11"/>
    <w:basedOn w:val="745"/>
    <w:uiPriority w:val="99"/>
  </w:style>
  <w:style w:type="paragraph" w:styleId="929" w:customStyle="1">
    <w:name w:val="Style12"/>
    <w:basedOn w:val="745"/>
    <w:uiPriority w:val="99"/>
    <w:pPr>
      <w:jc w:val="both"/>
      <w:spacing w:line="302" w:lineRule="exact"/>
    </w:pPr>
  </w:style>
  <w:style w:type="character" w:styleId="930" w:customStyle="1">
    <w:name w:val="Font Style18"/>
    <w:uiPriority w:val="99"/>
    <w:rPr>
      <w:rFonts w:ascii="Times New Roman" w:hAnsi="Times New Roman" w:cs="Times New Roman"/>
      <w:b/>
      <w:bCs/>
      <w:sz w:val="16"/>
      <w:szCs w:val="16"/>
    </w:rPr>
  </w:style>
  <w:style w:type="character" w:styleId="931" w:customStyle="1">
    <w:name w:val="Font Style19"/>
    <w:uiPriority w:val="99"/>
    <w:rPr>
      <w:rFonts w:ascii="Times New Roman" w:hAnsi="Times New Roman" w:cs="Times New Roman"/>
      <w:sz w:val="24"/>
      <w:szCs w:val="24"/>
    </w:rPr>
  </w:style>
  <w:style w:type="paragraph" w:styleId="932">
    <w:name w:val="List Paragraph"/>
    <w:basedOn w:val="745"/>
    <w:uiPriority w:val="34"/>
    <w:qFormat/>
    <w:pPr>
      <w:contextualSpacing/>
      <w:ind w:left="720"/>
    </w:pPr>
  </w:style>
  <w:style w:type="paragraph" w:styleId="933" w:customStyle="1">
    <w:name w:val="Style2"/>
    <w:basedOn w:val="745"/>
    <w:uiPriority w:val="99"/>
  </w:style>
  <w:style w:type="character" w:styleId="934" w:customStyle="1">
    <w:name w:val="Font Style13"/>
    <w:uiPriority w:val="99"/>
    <w:rPr>
      <w:rFonts w:ascii="Times New Roman" w:hAnsi="Times New Roman" w:cs="Times New Roman"/>
      <w:sz w:val="26"/>
      <w:szCs w:val="26"/>
    </w:rPr>
  </w:style>
  <w:style w:type="table" w:styleId="935">
    <w:name w:val="Table Grid"/>
    <w:basedOn w:val="756"/>
    <w:uiPriority w:val="3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36">
    <w:name w:val="Caption"/>
    <w:basedOn w:val="745"/>
    <w:next w:val="745"/>
    <w:qFormat/>
    <w:pPr>
      <w:jc w:val="center"/>
      <w:widowControl/>
    </w:pPr>
    <w:rPr>
      <w:b/>
      <w:sz w:val="32"/>
      <w:szCs w:val="20"/>
    </w:rPr>
  </w:style>
  <w:style w:type="character" w:styleId="937">
    <w:name w:val="Hyperlink"/>
    <w:rPr>
      <w:color w:val="0000ff"/>
      <w:u w:val="single"/>
    </w:rPr>
  </w:style>
  <w:style w:type="paragraph" w:styleId="938"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45"/>
    <w:pPr>
      <w:jc w:val="right"/>
      <w:spacing w:after="160" w:line="240" w:lineRule="exact"/>
    </w:pPr>
    <w:rPr>
      <w:sz w:val="20"/>
      <w:szCs w:val="20"/>
      <w:lang w:val="en-GB" w:eastAsia="en-US"/>
    </w:rPr>
  </w:style>
  <w:style w:type="paragraph" w:styleId="939">
    <w:name w:val="Header"/>
    <w:basedOn w:val="745"/>
    <w:link w:val="776"/>
    <w:pPr>
      <w:widowControl/>
      <w:tabs>
        <w:tab w:val="center" w:pos="4677" w:leader="none"/>
        <w:tab w:val="right" w:pos="9355" w:leader="none"/>
      </w:tabs>
    </w:pPr>
    <w:rPr>
      <w:sz w:val="28"/>
      <w:szCs w:val="20"/>
    </w:rPr>
  </w:style>
  <w:style w:type="paragraph" w:styleId="940">
    <w:name w:val="Body Text Indent 2"/>
    <w:basedOn w:val="745"/>
    <w:link w:val="943"/>
    <w:pPr>
      <w:ind w:firstLine="851"/>
      <w:jc w:val="both"/>
      <w:widowControl/>
    </w:pPr>
    <w:rPr>
      <w:sz w:val="28"/>
      <w:szCs w:val="20"/>
    </w:rPr>
  </w:style>
  <w:style w:type="paragraph" w:styleId="941">
    <w:name w:val="Body Text"/>
    <w:basedOn w:val="745"/>
    <w:link w:val="942"/>
    <w:pPr>
      <w:spacing w:after="120"/>
      <w:widowControl/>
    </w:pPr>
    <w:rPr>
      <w:sz w:val="20"/>
      <w:szCs w:val="20"/>
    </w:rPr>
  </w:style>
  <w:style w:type="character" w:styleId="942" w:customStyle="1">
    <w:name w:val="Основной текст Знак"/>
    <w:link w:val="941"/>
    <w:rPr>
      <w:lang w:val="ru-RU" w:eastAsia="ru-RU" w:bidi="ar-SA"/>
    </w:rPr>
  </w:style>
  <w:style w:type="character" w:styleId="943" w:customStyle="1">
    <w:name w:val="Основной текст с отступом 2 Знак"/>
    <w:link w:val="940"/>
    <w:rPr>
      <w:sz w:val="28"/>
      <w:lang w:bidi="ar-SA"/>
    </w:rPr>
  </w:style>
  <w:style w:type="paragraph" w:styleId="944">
    <w:name w:val="Normal (Web)"/>
    <w:basedOn w:val="745"/>
    <w:pPr>
      <w:spacing w:before="100" w:beforeAutospacing="1" w:after="100" w:afterAutospacing="1"/>
      <w:widowControl/>
    </w:pPr>
  </w:style>
  <w:style w:type="paragraph" w:styleId="945">
    <w:name w:val="Body Text Indent"/>
    <w:basedOn w:val="745"/>
    <w:pPr>
      <w:ind w:left="283"/>
      <w:spacing w:after="120"/>
    </w:pPr>
  </w:style>
  <w:style w:type="paragraph" w:styleId="946">
    <w:name w:val="Balloon Text"/>
    <w:basedOn w:val="745"/>
    <w:link w:val="947"/>
    <w:uiPriority w:val="99"/>
    <w:semiHidden/>
    <w:unhideWhenUsed/>
    <w:rPr>
      <w:rFonts w:ascii="Tahoma" w:hAnsi="Tahoma" w:cs="Tahoma"/>
      <w:sz w:val="16"/>
      <w:szCs w:val="16"/>
    </w:rPr>
  </w:style>
  <w:style w:type="character" w:styleId="947" w:customStyle="1">
    <w:name w:val="Текст выноски Знак"/>
    <w:link w:val="946"/>
    <w:uiPriority w:val="99"/>
    <w:semiHidden/>
    <w:rPr>
      <w:rFonts w:ascii="Tahoma" w:hAnsi="Tahoma" w:eastAsia="Times New Roman" w:cs="Tahoma"/>
      <w:sz w:val="16"/>
      <w:szCs w:val="16"/>
    </w:rPr>
  </w:style>
  <w:style w:type="paragraph" w:styleId="948" w:customStyle="1">
    <w:name w:val="ConsPlusNormal"/>
    <w:rPr>
      <w:rFonts w:ascii="Times New Roman" w:hAnsi="Times New Roman"/>
      <w:b/>
      <w:bCs/>
    </w:rPr>
  </w:style>
  <w:style w:type="paragraph" w:styleId="949" w:customStyle="1">
    <w:name w:val="Знак Знак1 Знак Знак Знак Знак Знак Знак Знак Знак Знак Знак Знак Знак Знак Знак"/>
    <w:basedOn w:val="745"/>
    <w:pPr>
      <w:spacing w:after="160" w:line="240" w:lineRule="exact"/>
      <w:widowControl/>
    </w:pPr>
    <w:rPr>
      <w:rFonts w:ascii="Verdana" w:hAnsi="Verdana" w:cs="Verdana"/>
      <w:sz w:val="20"/>
      <w:szCs w:val="20"/>
      <w:lang w:val="en-US" w:eastAsia="en-US"/>
    </w:rPr>
  </w:style>
  <w:style w:type="paragraph" w:styleId="950" w:customStyle="1">
    <w:name w:val="ConsPlusTitle"/>
    <w:uiPriority w:val="99"/>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99903B-F25A-4D10-9653-D0FEF7F5B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2025-04-07T14:25:00Z</dcterms:created>
  <dcterms:modified xsi:type="dcterms:W3CDTF">2025-04-11T08:31:07Z</dcterms:modified>
</cp:coreProperties>
</file>