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 w:cs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keepNext/>
        <w:spacing w:after="0" w:line="240" w:lineRule="auto"/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outlineLvl w:val="0"/>
      </w:pP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  <w:t xml:space="preserve">РАСПОРЯЖЕНИЕ</w:t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  <w:r>
        <w:rPr>
          <w:rFonts w:ascii="Times New Roman" w:hAnsi="Times New Roman" w:eastAsia="Times New Roman" w:cs="Times New Roman"/>
          <w:b/>
          <w:bCs/>
          <w:sz w:val="44"/>
          <w:szCs w:val="44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sz w:val="20"/>
          <w:szCs w:val="20"/>
          <w:lang w:eastAsia="ru-RU"/>
        </w:rPr>
      </w:pPr>
      <w:r>
        <w:rPr>
          <w:rFonts w:ascii="Times New Roman" w:hAnsi="Times New Roman" w:eastAsia="Calibri" w:cs="Times New Roman"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  <w:r>
        <w:rPr>
          <w:rFonts w:ascii="Times New Roman" w:hAnsi="Times New Roman" w:eastAsia="Calibri" w:cs="Times New Roman"/>
          <w:sz w:val="20"/>
          <w:szCs w:val="20"/>
          <w:lang w:eastAsia="ru-RU"/>
        </w:rPr>
      </w:r>
    </w:p>
    <w:p>
      <w:pPr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от </w:t>
      </w:r>
      <w:r>
        <w:rPr>
          <w:rFonts w:ascii="Times New Roman" w:hAnsi="Times New Roman" w:eastAsia="Calibri" w:cs="Times New Roman"/>
          <w:b/>
          <w:sz w:val="24"/>
          <w:szCs w:val="20"/>
          <w:lang w:val="en-US"/>
        </w:rPr>
        <w:t xml:space="preserve">25</w:t>
      </w:r>
      <w:r>
        <w:rPr>
          <w:rFonts w:ascii="Times New Roman" w:hAnsi="Times New Roman" w:eastAsia="Calibri" w:cs="Times New Roman"/>
          <w:b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Calibri" w:cs="Times New Roman"/>
          <w:b/>
          <w:sz w:val="24"/>
          <w:szCs w:val="20"/>
          <w:lang w:val="en-US"/>
        </w:rPr>
        <w:t xml:space="preserve">04</w:t>
      </w:r>
      <w:r>
        <w:rPr>
          <w:rFonts w:ascii="Times New Roman" w:hAnsi="Times New Roman" w:eastAsia="Calibri" w:cs="Times New Roman"/>
          <w:b/>
          <w:sz w:val="24"/>
          <w:szCs w:val="20"/>
          <w:lang w:val="ru-RU"/>
        </w:rPr>
        <w:t xml:space="preserve">.</w:t>
      </w:r>
      <w:r>
        <w:rPr>
          <w:rFonts w:ascii="Times New Roman" w:hAnsi="Times New Roman" w:eastAsia="Calibri" w:cs="Times New Roman"/>
          <w:b/>
          <w:sz w:val="24"/>
          <w:szCs w:val="20"/>
          <w:lang w:val="en-US"/>
        </w:rPr>
        <w:t xml:space="preserve">2025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ab/>
        <w:t xml:space="preserve">                   № </w:t>
      </w:r>
      <w:r>
        <w:rPr>
          <w:rFonts w:ascii="Times New Roman" w:hAnsi="Times New Roman" w:eastAsia="Calibri" w:cs="Times New Roman"/>
          <w:b/>
          <w:sz w:val="24"/>
          <w:szCs w:val="20"/>
          <w:lang w:val="en-US"/>
        </w:rPr>
        <w:t xml:space="preserve">56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Calibri" w:cs="Times New Roman"/>
          <w:b/>
          <w:sz w:val="24"/>
          <w:szCs w:val="20"/>
          <w:lang w:eastAsia="ru-RU"/>
        </w:rPr>
      </w:pP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  <w:t xml:space="preserve">п.г.т. Никель </w:t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  <w:r>
        <w:rPr>
          <w:rFonts w:ascii="Times New Roman" w:hAnsi="Times New Roman" w:eastAsia="Calibri" w:cs="Times New Roman"/>
          <w:b/>
          <w:sz w:val="24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Об утверждении сводного отчета о ходе реализации и об оценке эффективности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0"/>
          <w:szCs w:val="24"/>
        </w:rPr>
      </w:pPr>
      <w:r>
        <w:rPr>
          <w:rFonts w:ascii="Times New Roman" w:hAnsi="Times New Roman" w:cs="Times New Roman"/>
          <w:b/>
          <w:bCs/>
          <w:sz w:val="20"/>
          <w:szCs w:val="24"/>
        </w:rPr>
        <w:t xml:space="preserve"> муниципальных программ Печенгского муниципального округа за 2024 год</w:t>
      </w:r>
      <w:r>
        <w:rPr>
          <w:rFonts w:ascii="Times New Roman" w:hAnsi="Times New Roman" w:cs="Times New Roman"/>
          <w:b/>
          <w:bCs/>
          <w:sz w:val="20"/>
          <w:szCs w:val="24"/>
        </w:rPr>
      </w:r>
      <w:r>
        <w:rPr>
          <w:rFonts w:ascii="Times New Roman" w:hAnsi="Times New Roman" w:cs="Times New Roman"/>
          <w:b/>
          <w:bCs/>
          <w:sz w:val="20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863"/>
        <w:ind w:firstLine="0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63"/>
        <w:jc w:val="both"/>
        <w:keepNext w:val="0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порядком разработки, реализации и оценки эффективности муниципальных программ Печенгского муниципального округа, утвержденным постановлением администрации Печенгского муниципального округа от 16.08.2021 </w:t>
      </w:r>
      <w:r>
        <w:rPr>
          <w:sz w:val="24"/>
          <w:szCs w:val="24"/>
        </w:rPr>
        <w:br/>
        <w:t xml:space="preserve">№ 838, на основании протокола заседания Программно-целевого совета Печенгского муниципального округа от 23.04.2025 № 02,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pStyle w:val="863"/>
        <w:numPr>
          <w:ilvl w:val="0"/>
          <w:numId w:val="24"/>
        </w:numPr>
        <w:ind w:left="0" w:right="0" w:firstLine="709"/>
        <w:jc w:val="both"/>
        <w:keepNext w:val="0"/>
        <w:widowControl w:val="off"/>
        <w:tabs>
          <w:tab w:val="left" w:pos="142" w:leader="none"/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Утвердить сводный отчет о ходе реализации и об оценке эффективности муниципальных программ Печенгского муниципального округа за 2024 год согласно приложению.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вступает в силу после его подписания.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24"/>
        </w:numPr>
        <w:ind w:left="0" w:right="0" w:firstLine="709"/>
        <w:jc w:val="both"/>
        <w:spacing w:after="0" w:line="240" w:lineRule="auto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Настоящее распоряжение разместить на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tabs>
          <w:tab w:val="left" w:pos="108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Глава Печенгского муниципального округа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   А.В. Кузнецов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jc w:val="both"/>
        <w:spacing w:after="0" w:line="240" w:lineRule="auto"/>
        <w:rPr>
          <w:rFonts w:ascii="Times New Roman" w:hAnsi="Times New Roman" w:cs="Times New Roman"/>
          <w:sz w:val="20"/>
          <w:szCs w:val="20"/>
          <w:highlight w:val="none"/>
        </w:rPr>
      </w:pPr>
      <w:r>
        <w:rPr>
          <w:rFonts w:ascii="Times New Roman" w:hAnsi="Times New Roman" w:cs="Times New Roman"/>
          <w:sz w:val="20"/>
          <w:szCs w:val="20"/>
        </w:rPr>
        <w:t xml:space="preserve">Чупина Н.В., 6-20-41</w:t>
      </w:r>
      <w:r>
        <w:rPr>
          <w:rFonts w:ascii="Times New Roman" w:hAnsi="Times New Roman" w:cs="Times New Roman"/>
          <w:sz w:val="20"/>
          <w:szCs w:val="20"/>
          <w:highlight w:val="none"/>
        </w:rPr>
      </w:r>
      <w:r>
        <w:rPr>
          <w:rFonts w:ascii="Times New Roman" w:hAnsi="Times New Roman" w:cs="Times New Roman"/>
          <w:sz w:val="20"/>
          <w:szCs w:val="20"/>
          <w:highlight w:val="none"/>
        </w:rPr>
      </w:r>
    </w:p>
    <w:p>
      <w:pPr>
        <w:ind w:left="5529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8" w:hanging="1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5954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к распоряжению администрации Печенгского муниципального округа 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5529"/>
        <w:spacing w:after="0" w:line="240" w:lineRule="auto"/>
        <w:tabs>
          <w:tab w:val="left" w:pos="284" w:leader="none"/>
          <w:tab w:val="left" w:pos="567" w:leader="none"/>
          <w:tab w:val="left" w:pos="5529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от 25.04.2025 № 56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ind w:left="6521"/>
        <w:jc w:val="center"/>
        <w:spacing w:after="0" w:line="240" w:lineRule="auto"/>
        <w:tabs>
          <w:tab w:val="left" w:pos="284" w:leader="none"/>
          <w:tab w:val="left" w:pos="567" w:leader="none"/>
          <w:tab w:val="left" w:pos="6521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СВОДНЫЙ ОТЧЕТ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о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и об оценке эффективности муниципальных программ Печенгского муниципального округа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за 202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  <w:t xml:space="preserve"> год</w:t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numPr>
          <w:ilvl w:val="0"/>
          <w:numId w:val="25"/>
        </w:numPr>
        <w:ind w:left="0" w:firstLine="0"/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Муниципальная программа Печенгского муниципаль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Образование» 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Муниципальная программа Печенгского муниципального округа «Образование» на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годы (далее -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624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от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4.03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377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от 27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.04.202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 № 696, от 22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.05.202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4, от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31.05.2024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28, от 07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252, от 26.08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</w:t>
        <w:br/>
        <w:t xml:space="preserve">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316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391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, от 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7.09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503, от 03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0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534, от 09.12.202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4 № 1973 и от 24.12.2024 № 2119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).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Программа направлена на обеспечение возможности детям получать качественное образование в условиях, отвечающих современным требованиям, независимо от места проживания ребенка.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повышение доступности и качества образования, создание современной образовательной среды для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20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 отражают актуальные и перспективные направления муниципальной политики в сфере образования Печенгского муниципального округа и позволяют решить поставленные Программой задачи: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системы дошкольного образования. Создание комфортных и безопасных условий пребывания ребёнка в дошкольном образовательном учреждении (далее - ДОУ).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Обеспечение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методического обеспечения образовательной деятельности. Совершенствование системы выявления и сопровождения одаренных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основополагающего права каждого ребенка жить и воспитываться в семье.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14"/>
        </w:numPr>
        <w:ind w:left="0"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своевременного и качественного хозяйственно-эксплуатационного обслуживания муниципальных учреждений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</w:t>
      </w:r>
      <w:r>
        <w:rPr>
          <w:rFonts w:ascii="Times New Roman" w:hAnsi="Times New Roman" w:cs="Times New Roman"/>
          <w:sz w:val="24"/>
          <w:szCs w:val="24"/>
        </w:rPr>
        <w:t xml:space="preserve">шесть</w:t>
      </w:r>
      <w:r>
        <w:rPr>
          <w:rFonts w:ascii="Times New Roman" w:hAnsi="Times New Roman" w:cs="Times New Roman"/>
          <w:sz w:val="24"/>
          <w:szCs w:val="24"/>
        </w:rPr>
        <w:t xml:space="preserve"> подпрограмм: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38"/>
        </w:numPr>
        <w:ind w:left="0" w:right="0"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1 «Развитие дошкольного образования»;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40"/>
        <w:numPr>
          <w:ilvl w:val="0"/>
          <w:numId w:val="38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2 «Развитие общего и дополнительного образования детей»;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40"/>
        <w:numPr>
          <w:ilvl w:val="0"/>
          <w:numId w:val="38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3 «</w:t>
      </w:r>
      <w:r>
        <w:rPr>
          <w:rFonts w:ascii="Times New Roman" w:hAnsi="Times New Roman"/>
          <w:bCs/>
          <w:sz w:val="24"/>
          <w:szCs w:val="24"/>
        </w:rPr>
        <w:t xml:space="preserve">Детский отдых</w:t>
      </w:r>
      <w:r>
        <w:rPr>
          <w:rFonts w:ascii="Times New Roman" w:hAnsi="Times New Roman"/>
          <w:sz w:val="24"/>
          <w:szCs w:val="24"/>
        </w:rPr>
        <w:t xml:space="preserve">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89"/>
        <w:numPr>
          <w:ilvl w:val="0"/>
          <w:numId w:val="38"/>
        </w:numPr>
        <w:ind w:left="0" w:right="0"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4 «Развитие потенциала участников образовательного процесса»;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38"/>
        </w:numPr>
        <w:ind w:left="0" w:right="0"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5 «Реализация основополагающего права каждого ребенка жить и воспитываться в семье»;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38"/>
        </w:numPr>
        <w:ind w:left="0" w:right="0" w:firstLine="709"/>
        <w:jc w:val="both"/>
        <w:spacing w:after="0" w:line="240" w:lineRule="auto"/>
        <w:tabs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6 «Хозяйственно-эксплуатационное обслуживание муниципальных учреждений муниципального образования».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1 982 275,8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66 775,5 тыс. рублей, областного бюджета 1 330 867,0 тыс. рублей, </w:t>
      </w:r>
      <w:r>
        <w:rPr>
          <w:rFonts w:ascii="Times New Roman" w:hAnsi="Times New Roman" w:cs="Times New Roman"/>
          <w:sz w:val="24"/>
          <w:szCs w:val="24"/>
        </w:rPr>
        <w:t xml:space="preserve">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463 693,3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120 940</w:t>
      </w:r>
      <w:r>
        <w:rPr>
          <w:rFonts w:ascii="Times New Roman" w:hAnsi="Times New Roman" w:cs="Times New Roman"/>
          <w:sz w:val="24"/>
          <w:szCs w:val="24"/>
        </w:rPr>
        <w:t xml:space="preserve">,0 тыс.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меньшен</w:t>
      </w:r>
      <w:r>
        <w:rPr>
          <w:rFonts w:ascii="Times New Roman" w:hAnsi="Times New Roman" w:cs="Times New Roman"/>
          <w:sz w:val="24"/>
          <w:szCs w:val="24"/>
        </w:rPr>
        <w:t xml:space="preserve"> и составил 1</w:t>
      </w:r>
      <w:r>
        <w:rPr>
          <w:rFonts w:ascii="Times New Roman" w:hAnsi="Times New Roman" w:cs="Times New Roman"/>
          <w:sz w:val="24"/>
          <w:szCs w:val="24"/>
        </w:rPr>
        <w:t xml:space="preserve"> 976 024,1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</w:t>
      </w:r>
      <w:r>
        <w:rPr>
          <w:rFonts w:ascii="Times New Roman" w:hAnsi="Times New Roman" w:cs="Times New Roman"/>
          <w:sz w:val="24"/>
          <w:szCs w:val="24"/>
        </w:rPr>
        <w:t xml:space="preserve">в том числе: средства федерального бюджета составили </w:t>
      </w:r>
      <w:r>
        <w:rPr>
          <w:rFonts w:ascii="Times New Roman" w:hAnsi="Times New Roman" w:cs="Times New Roman"/>
          <w:sz w:val="24"/>
          <w:szCs w:val="24"/>
        </w:rPr>
        <w:t xml:space="preserve">87 685,7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1 296 324,2 тыс. рублей, бюджета округа 471 074,2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120 940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Ассигнования</w:t>
      </w:r>
      <w:r>
        <w:rPr>
          <w:rFonts w:ascii="Times New Roman" w:hAnsi="Times New Roman" w:cs="Times New Roman"/>
          <w:sz w:val="24"/>
          <w:szCs w:val="24"/>
        </w:rPr>
        <w:t xml:space="preserve"> освоены в размере 1</w:t>
      </w:r>
      <w:r>
        <w:rPr>
          <w:rFonts w:ascii="Times New Roman" w:hAnsi="Times New Roman" w:cs="Times New Roman"/>
          <w:sz w:val="24"/>
          <w:szCs w:val="24"/>
        </w:rPr>
        <w:t xml:space="preserve"> 928 913,9</w:t>
      </w:r>
      <w:r>
        <w:rPr>
          <w:rFonts w:ascii="Times New Roman" w:hAnsi="Times New Roman" w:cs="Times New Roman"/>
          <w:sz w:val="24"/>
          <w:szCs w:val="24"/>
        </w:rPr>
        <w:t xml:space="preserve"> тыс. рублей. Размер неосвоенных бюджетных средств составил </w:t>
      </w:r>
      <w:r>
        <w:rPr>
          <w:rFonts w:ascii="Times New Roman" w:hAnsi="Times New Roman" w:cs="Times New Roman"/>
          <w:sz w:val="24"/>
          <w:szCs w:val="24"/>
        </w:rPr>
        <w:t xml:space="preserve">47 110,2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Программы составило 9</w:t>
      </w:r>
      <w:r>
        <w:rPr>
          <w:rFonts w:ascii="Times New Roman" w:hAnsi="Times New Roman" w:cs="Times New Roman"/>
          <w:sz w:val="24"/>
          <w:szCs w:val="24"/>
        </w:rPr>
        <w:t xml:space="preserve">7,6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дошкольного образования».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развитие системы дошкольного образования, создание комфортных и безопасных условий пребывания ребёнка в дошкольном образовательном учреждении.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целей 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предполагается за счет решения задачи по обеспечению государственных гарантий общедоступности и бесплатности дошкольного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задач подпрограммы обеспечена комплексом мероприятий по предоставлению услуг дошкольного образования, повышению качества дошкольного образования с ФГОС.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4</w:t>
      </w:r>
      <w:r>
        <w:t xml:space="preserve"> году израсходованы ассигнования в сумме </w:t>
      </w:r>
      <w:r>
        <w:t xml:space="preserve">794 326,1</w:t>
      </w:r>
      <w:r>
        <w:t xml:space="preserve"> тыс. рублей (99,</w:t>
      </w:r>
      <w:r>
        <w:t xml:space="preserve">5</w:t>
      </w:r>
      <w:r>
        <w:t xml:space="preserve"> %).</w:t>
      </w:r>
      <w:r/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Не освоены ассигнования в сумме </w:t>
      </w:r>
      <w:r>
        <w:t xml:space="preserve">4 158,6 тыс. рублей, из них: 2 921,4</w:t>
      </w:r>
      <w:r>
        <w:t xml:space="preserve"> тыс. рублей средства областного бюджета, в связи с тем, что выплата компенсации части родительской платы носит заявительный характер, оплата производилась по факту представления квитанций</w:t>
      </w:r>
      <w:r>
        <w:t xml:space="preserve">;</w:t>
      </w:r>
      <w:r>
        <w:t xml:space="preserve"> 344,5</w:t>
      </w:r>
      <w:r>
        <w:t xml:space="preserve"> тыс. рублей средства бюджета округа, </w:t>
      </w:r>
      <w:r>
        <w:t xml:space="preserve">компенсация  расходов на оплату стоимости проезда к месту использования отпуска и обратно,</w:t>
      </w:r>
      <w:r>
        <w:t xml:space="preserve"> с неиспользованием права работников по профессиональному развитию; </w:t>
      </w:r>
      <w:r>
        <w:t xml:space="preserve">892,7</w:t>
      </w:r>
      <w:r>
        <w:t xml:space="preserve"> тыс. р</w:t>
      </w:r>
      <w:r>
        <w:t xml:space="preserve">ублей внебюджетные ассигнования.</w:t>
      </w:r>
      <w:r/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Доступность дошкольного образования в Печенгском округе для детей в возрасте от 3 до 7 лет в 2024 году составила 90,1% (</w:t>
      </w:r>
      <w:r>
        <w:t xml:space="preserve">в 2023 году – 92,4%). Снижение количества детей, посещающих ДОУ произошло по причине оттока семей в связи с СВО на места постоянного проживания.</w:t>
      </w:r>
      <w:r/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общего и дополнительного образования детей».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обучающихся, обеспечение предоставления услуг в сфере общего и дополнительного образования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Основными мероприятиями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 являются: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39"/>
        </w:numPr>
        <w:ind w:left="0"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государственных гарантий общедоступности и </w:t>
      </w:r>
      <w:r>
        <w:rPr>
          <w:rFonts w:ascii="Times New Roman" w:hAnsi="Times New Roman" w:cs="Times New Roman"/>
          <w:sz w:val="24"/>
          <w:szCs w:val="24"/>
        </w:rPr>
        <w:t xml:space="preserve">бесплатности общего образования и равного доступа к услугам дополнительного обр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зования детей.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39"/>
        </w:numPr>
        <w:ind w:left="0"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повышения качества и конкурентоспособности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39"/>
        </w:numPr>
        <w:ind w:left="0" w:right="-1" w:firstLine="709"/>
        <w:jc w:val="both"/>
        <w:spacing w:after="0" w:line="240" w:lineRule="auto"/>
        <w:tabs>
          <w:tab w:val="left" w:pos="-142" w:leader="none"/>
          <w:tab w:val="left" w:pos="284" w:leader="none"/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Развитие системы оценки качества образования, обеспечение публичной доступности её результатов.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Реализация </w:t>
      </w:r>
      <w:r>
        <w:rPr>
          <w:rFonts w:ascii="Times New Roman" w:hAnsi="Times New Roman" w:cs="Times New Roman"/>
          <w:sz w:val="24"/>
          <w:szCs w:val="24"/>
        </w:rPr>
        <w:t xml:space="preserve">подпрограммы </w:t>
      </w:r>
      <w:r>
        <w:rPr>
          <w:rFonts w:ascii="Times New Roman" w:hAnsi="Times New Roman" w:cs="Times New Roman"/>
          <w:sz w:val="24"/>
          <w:szCs w:val="24"/>
        </w:rPr>
        <w:t xml:space="preserve">обеспечена комплексом мероприятий по предоставлению услуг общего и дополнительного образования, оснащению образовательной среды в соответствии с требованиями федерального государственного образовательного стандарта общего образования.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освоены ассигнования в сумме </w:t>
      </w:r>
      <w:r>
        <w:rPr>
          <w:rFonts w:ascii="Times New Roman" w:hAnsi="Times New Roman" w:cs="Times New Roman"/>
          <w:sz w:val="24"/>
          <w:szCs w:val="24"/>
        </w:rPr>
        <w:br/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047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565,0</w:t>
      </w:r>
      <w:r>
        <w:rPr>
          <w:rFonts w:ascii="Times New Roman" w:hAnsi="Times New Roman" w:cs="Times New Roman"/>
          <w:sz w:val="24"/>
          <w:szCs w:val="24"/>
        </w:rPr>
        <w:t xml:space="preserve"> тыс. рублей (9</w:t>
      </w:r>
      <w:r>
        <w:rPr>
          <w:rFonts w:ascii="Times New Roman" w:hAnsi="Times New Roman" w:cs="Times New Roman"/>
          <w:sz w:val="24"/>
          <w:szCs w:val="24"/>
        </w:rPr>
        <w:t xml:space="preserve">6,1</w:t>
      </w:r>
      <w:r>
        <w:rPr>
          <w:rFonts w:ascii="Times New Roman" w:hAnsi="Times New Roman" w:cs="Times New Roman"/>
          <w:sz w:val="24"/>
          <w:szCs w:val="24"/>
        </w:rPr>
        <w:t xml:space="preserve"> %).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Неосвоенные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42 941,2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40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2 944,3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</w:t>
      </w:r>
      <w:r>
        <w:rPr>
          <w:rFonts w:ascii="Times New Roman" w:hAnsi="Times New Roman" w:cs="Times New Roman"/>
          <w:sz w:val="24"/>
          <w:szCs w:val="24"/>
        </w:rPr>
        <w:t xml:space="preserve">областного</w:t>
      </w:r>
      <w:r>
        <w:rPr>
          <w:rFonts w:ascii="Times New Roman" w:hAnsi="Times New Roman" w:cs="Times New Roman"/>
          <w:sz w:val="24"/>
          <w:szCs w:val="24"/>
        </w:rPr>
        <w:t xml:space="preserve"> бюджета</w:t>
      </w:r>
      <w:r>
        <w:rPr>
          <w:rFonts w:ascii="Times New Roman" w:hAnsi="Times New Roman" w:cs="Times New Roman"/>
          <w:sz w:val="24"/>
          <w:szCs w:val="24"/>
        </w:rPr>
        <w:t xml:space="preserve">, из них: 2302,8 тыс. рублей обеспечение горячим питанием</w:t>
      </w:r>
      <w:r>
        <w:rPr>
          <w:rFonts w:ascii="Times New Roman" w:hAnsi="Times New Roman" w:cs="Times New Roman"/>
          <w:sz w:val="24"/>
          <w:szCs w:val="24"/>
        </w:rPr>
        <w:t xml:space="preserve"> и молоком</w:t>
      </w:r>
      <w:r>
        <w:rPr>
          <w:rFonts w:ascii="Times New Roman" w:hAnsi="Times New Roman" w:cs="Times New Roman"/>
          <w:sz w:val="24"/>
          <w:szCs w:val="24"/>
        </w:rPr>
        <w:t xml:space="preserve">; 544,7 тыс. рублей выплаты за руководство школьными спортивными клубами;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96,8 тыс. рублей мероприятия по обеспечению комплексной безопасности;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40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946,9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бюджета округа,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612,1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расходы на обеспечение деятельности учреждений</w:t>
      </w:r>
      <w:r>
        <w:rPr>
          <w:rFonts w:ascii="Times New Roman" w:hAnsi="Times New Roman" w:cs="Times New Roman"/>
          <w:sz w:val="24"/>
          <w:szCs w:val="24"/>
        </w:rPr>
        <w:t xml:space="preserve">; </w:t>
      </w:r>
      <w:r>
        <w:rPr>
          <w:rFonts w:ascii="Times New Roman" w:hAnsi="Times New Roman" w:cs="Times New Roman"/>
          <w:sz w:val="24"/>
          <w:szCs w:val="24"/>
        </w:rPr>
        <w:t xml:space="preserve">24,4</w:t>
      </w:r>
      <w:r>
        <w:rPr>
          <w:rFonts w:ascii="Times New Roman" w:hAnsi="Times New Roman" w:cs="Times New Roman"/>
          <w:sz w:val="24"/>
          <w:szCs w:val="24"/>
        </w:rPr>
        <w:t xml:space="preserve"> тыс. рублей по обеспечению персонифицированного финансирования дополнительного образования детей (расходы по фактической потребности); </w:t>
      </w:r>
      <w:r>
        <w:rPr>
          <w:rFonts w:ascii="Times New Roman" w:hAnsi="Times New Roman" w:cs="Times New Roman"/>
          <w:sz w:val="24"/>
          <w:szCs w:val="24"/>
        </w:rPr>
        <w:t xml:space="preserve">296,3 </w:t>
      </w:r>
      <w:r>
        <w:rPr>
          <w:rFonts w:ascii="Times New Roman" w:hAnsi="Times New Roman" w:cs="Times New Roman"/>
          <w:sz w:val="24"/>
          <w:szCs w:val="24"/>
        </w:rPr>
        <w:t xml:space="preserve">тыс. рублей софинансирование расходов на предоставления бесплатного питания</w:t>
      </w:r>
      <w:r>
        <w:rPr>
          <w:rFonts w:ascii="Times New Roman" w:hAnsi="Times New Roman" w:cs="Times New Roman"/>
          <w:sz w:val="24"/>
          <w:szCs w:val="24"/>
        </w:rPr>
        <w:t xml:space="preserve"> и молока;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14,1 </w:t>
      </w:r>
      <w:r>
        <w:rPr>
          <w:rFonts w:ascii="Times New Roman" w:hAnsi="Times New Roman" w:cs="Times New Roman"/>
          <w:sz w:val="24"/>
          <w:szCs w:val="24"/>
        </w:rPr>
        <w:t xml:space="preserve">тыс. рублей э</w:t>
      </w:r>
      <w:r>
        <w:rPr>
          <w:rFonts w:ascii="Times New Roman" w:hAnsi="Times New Roman" w:cs="Times New Roman"/>
          <w:sz w:val="24"/>
          <w:szCs w:val="24"/>
        </w:rPr>
        <w:t xml:space="preserve">кономия по оснащению учреждений;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40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39 050,0 тыс. рублей внебюджетные средства, не выполнены работы по разработке проектно-сметной документации с прохождением государственной экспертизы и строительство канатной дороги в п. Никель (горнолыжный склон).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Основной задачей подпрограммы является обеспечение государственных гарантий общедоступности и бесплатности общего образования, предоставляя возможность получения общего образования всем категориям граждан в соотв</w:t>
      </w:r>
      <w:r>
        <w:rPr>
          <w:rFonts w:ascii="Times New Roman" w:hAnsi="Times New Roman" w:cs="Times New Roman"/>
          <w:sz w:val="24"/>
          <w:szCs w:val="24"/>
        </w:rPr>
        <w:t xml:space="preserve">етствии с их возможностями и потребностями, добиваясь 100% охвата несовершеннолетних обучающихся общим образованием. Десять общеобразовательных организаций Печенгского муниципального округа предоставляют начальное общее, основное общее и среднее общее обра</w:t>
      </w:r>
      <w:r>
        <w:rPr>
          <w:rFonts w:ascii="Times New Roman" w:hAnsi="Times New Roman" w:cs="Times New Roman"/>
          <w:sz w:val="24"/>
          <w:szCs w:val="24"/>
        </w:rPr>
        <w:t xml:space="preserve">з</w:t>
      </w:r>
      <w:r>
        <w:rPr>
          <w:rFonts w:ascii="Times New Roman" w:hAnsi="Times New Roman" w:cs="Times New Roman"/>
          <w:sz w:val="24"/>
          <w:szCs w:val="24"/>
        </w:rPr>
        <w:t xml:space="preserve">ование в очной форме.</w:t>
      </w:r>
      <w:r>
        <w:rPr>
          <w:rFonts w:ascii="Times New Roman" w:hAnsi="Times New Roman" w:cs="Times New Roman"/>
          <w:sz w:val="24"/>
          <w:szCs w:val="24"/>
        </w:rPr>
        <w:t xml:space="preserve"> В 202</w:t>
      </w:r>
      <w:r>
        <w:rPr>
          <w:rFonts w:ascii="Times New Roman" w:hAnsi="Times New Roman" w:cs="Times New Roman"/>
          <w:sz w:val="24"/>
          <w:szCs w:val="24"/>
        </w:rPr>
        <w:t xml:space="preserve">4 году 100% школьников обучались по федеральным государственным образовательным стандартам начального общего, основного общего и среднего общего образования. Осуществлен переход на Федеральные образовательные программы общего образования с 01.09.2023 года.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3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 «Детский отдых».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создание условий для полноценного отдыха, укрепления здоровья, личностного развития и занятости несовершеннолетних.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1033"/>
        <w:numPr>
          <w:ilvl w:val="0"/>
          <w:numId w:val="41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Организация отдыха и оздоровления детей и подростков.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pStyle w:val="1033"/>
        <w:numPr>
          <w:ilvl w:val="0"/>
          <w:numId w:val="41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содействия в трудоустройстве детей и подростков. 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организации муниципальных и выездных лагерей, организации досуга детей и их оздоровление.</w:t>
      </w:r>
      <w:r>
        <w:rPr>
          <w:rFonts w:ascii="Times New Roman" w:hAnsi="Times New Roman" w:eastAsia="Times New Roman" w:cs="Times New Roman"/>
          <w:sz w:val="24"/>
          <w:szCs w:val="24"/>
        </w:rPr>
      </w:r>
      <w:r>
        <w:rPr>
          <w:rFonts w:ascii="Times New Roman" w:hAnsi="Times New Roman" w:eastAsia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израсходованы ассигнования в сумме 1</w:t>
      </w:r>
      <w:r>
        <w:rPr>
          <w:rFonts w:ascii="Times New Roman" w:hAnsi="Times New Roman" w:cs="Times New Roman"/>
          <w:sz w:val="24"/>
          <w:szCs w:val="24"/>
        </w:rPr>
        <w:t xml:space="preserve">2 302,9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</w:t>
      </w:r>
      <w:r>
        <w:rPr>
          <w:rFonts w:ascii="Times New Roman" w:hAnsi="Times New Roman" w:cs="Times New Roman"/>
          <w:sz w:val="24"/>
          <w:szCs w:val="24"/>
        </w:rPr>
        <w:t xml:space="preserve"> 100,0</w:t>
      </w:r>
      <w:r>
        <w:rPr>
          <w:rFonts w:ascii="Times New Roman" w:hAnsi="Times New Roman" w:cs="Times New Roman"/>
          <w:sz w:val="24"/>
          <w:szCs w:val="24"/>
        </w:rPr>
        <w:t xml:space="preserve"> 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В ДОЛ на территории округа 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созданы условия для полноценного, активного отдыха детей, обеспечения их без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опасности, организации питания детей, перевозки к местам отдыха и обратно. Приобретены игры, спортивный инвентарь, оборудование и призы для организации работы ДОЛ. Разработаны комплексные планы профилактических мероприятий на летний период 2024 года, включ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ающие в себя мероприятия по безопасному поведению во время массовых мероприятий, экскурсий, походов, на дороге, на воде, в лесу, в чрезвычайных ситуациях; обеспечение правопорядка и общественной безопасности в период пребывания детей в пришкольных лагерях.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программа 4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  <w:lang w:eastAsia="ru-RU"/>
        </w:rPr>
        <w:t xml:space="preserve"> «Развитие потенциала участников образовательного процесса».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u w:val="single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outlineLvl w:val="0"/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Цель подпрограммы: 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Для достижения цели необходимо выполнение задач:</w:t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</w:rPr>
      </w:r>
    </w:p>
    <w:p>
      <w:pPr>
        <w:numPr>
          <w:ilvl w:val="0"/>
          <w:numId w:val="2"/>
        </w:numPr>
        <w:ind w:left="0" w:right="0" w:firstLine="709"/>
        <w:jc w:val="both"/>
        <w:spacing w:after="0" w:line="240" w:lineRule="auto"/>
        <w:tabs>
          <w:tab w:val="left" w:pos="284" w:leader="none"/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условий для развития творческого потенциала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2"/>
        </w:numPr>
        <w:ind w:left="0" w:righ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Развитие системы непрерывного повышения квалификации педагогических работников.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numPr>
          <w:ilvl w:val="0"/>
          <w:numId w:val="2"/>
        </w:numPr>
        <w:ind w:left="0" w:righ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  <w:suppressLineNumbers w:val="0"/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Создание благоприятных условий для выявления, развития и поддержки одаренных детей в различных областях интеллектуальной деятельности. 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повышению квалификации педагогических работников, конкурсных мероприятий по выявлению и поддержке одаренных детей.</w:t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 w:themeColor="text1"/>
          <w:sz w:val="24"/>
          <w:szCs w:val="24"/>
          <w:lang w:eastAsia="ru-RU"/>
        </w:rPr>
      </w:r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4</w:t>
      </w:r>
      <w:r>
        <w:t xml:space="preserve"> году израсходованы средства бюджета округа в сумме 7</w:t>
      </w:r>
      <w:r>
        <w:t xml:space="preserve"> 506,9</w:t>
      </w:r>
      <w:r>
        <w:t xml:space="preserve"> тыс. рублей, или 100,0 %.</w:t>
      </w:r>
      <w:r/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соответствии с поставленными задачами по созданию условий для развития творческого потенциала педагогических работников в течение 2024 года проведено </w:t>
      </w:r>
      <w:r>
        <w:t xml:space="preserve">девять конкурсных мероприятий муниципального уровня по выявлению и поддержке талантливых педагогов муниципального уровня (134 участника/ 23 победителя/ 34 финалиста (призера)). Педагоги активно участвовали в четырех региональных профессиональных конкурсах.</w:t>
      </w:r>
      <w:r/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Подпрограмма 5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  <w:t xml:space="preserve"> «Реализация основополагающего права каждого ребенка жить и воспитываться в семье».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u w:val="single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реализация основополагающего права каждого ребенка жить и воспитываться в семье.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Основные мероприятия подпрограммы: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профилактики семейного неблагополучия, основанной на его раннем выявлении, индивидуализированной адекватной помощи семье, находящейся в трудной жизненной ситуации.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Обеспечение приоритета семейного устройства детей - сирот и детей, оставшихся без попечения родителей.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Реализация задач подпрограммы обеспечена комплексом мероприятий по профилактике семейного неблагополучия, обеспечению семейного устройства и сопровождения замещающих семей.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</w:t>
      </w:r>
      <w:r>
        <w:t xml:space="preserve">п</w:t>
      </w:r>
      <w:r>
        <w:t xml:space="preserve">одпрограммы в 202</w:t>
      </w:r>
      <w:r>
        <w:t xml:space="preserve">4</w:t>
      </w:r>
      <w:r>
        <w:t xml:space="preserve"> году израсходованы средства бюджета округа в сумме 69,5 тыс. рублей, или 100,0 %.</w:t>
      </w:r>
      <w:r/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u w:val="single"/>
        </w:rPr>
      </w:pPr>
      <w:r>
        <w:rPr>
          <w:u w:val="single"/>
        </w:rPr>
        <w:t xml:space="preserve">Подпрограмма 6</w:t>
      </w:r>
      <w:r>
        <w:rPr>
          <w:u w:val="single"/>
        </w:rPr>
        <w:t xml:space="preserve">.</w:t>
      </w:r>
      <w:r>
        <w:rPr>
          <w:u w:val="single"/>
        </w:rPr>
        <w:t xml:space="preserve"> «Хозяйственно-эксплуатационное обслуживание муниципальных учреждений муниципального образования».</w:t>
      </w:r>
      <w:r>
        <w:rPr>
          <w:u w:val="single"/>
        </w:rPr>
      </w:r>
      <w:r>
        <w:rPr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Цель подпрограммы: о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беспечение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 своевременного и качественного хозяйственно-эксплуатационного обслуживания муниципальных учреждений в Печенгском муниципальном округе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Достижение цели возможно путем решения задачи по организации хозяйственно-эксплуатационного обслуживания муниципальных учреждений Печенгского муниципального округа.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Реализация мероприятий подпрограммы позволит: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повысить качество выполняемых работ по обслуживанию муниципальных учреждений;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готовность учреждений образования и объектов, подведомственных администрации к осенне-зимнему периоду и новому учебному году;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обеспечить своевременную ликвидацию аварийных ситуаций в муниципальных учреждениях;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numPr>
          <w:ilvl w:val="0"/>
          <w:numId w:val="30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снизить количество аварийных ситуаций в обслуживаемых учреждениях и обеспечить их бесперебойную работу.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  <w:rPr>
          <w:color w:val="000000"/>
          <w:spacing w:val="1"/>
        </w:rPr>
      </w:pPr>
      <w:r>
        <w:t xml:space="preserve">В ходе реализации </w:t>
      </w:r>
      <w:r>
        <w:t xml:space="preserve">подпрограммы</w:t>
      </w:r>
      <w:r>
        <w:t xml:space="preserve"> в 202</w:t>
      </w:r>
      <w:r>
        <w:t xml:space="preserve">4</w:t>
      </w:r>
      <w:r>
        <w:t xml:space="preserve"> году израсходованы средства в размере </w:t>
      </w:r>
      <w:r>
        <w:t xml:space="preserve">67 143,5</w:t>
      </w:r>
      <w:r>
        <w:t xml:space="preserve"> тыс. рублей, из них из областного бюджета </w:t>
      </w:r>
      <w:r>
        <w:t xml:space="preserve">21 941,0</w:t>
      </w:r>
      <w:r>
        <w:t xml:space="preserve"> тыс. рублей, 4</w:t>
      </w:r>
      <w:r>
        <w:t xml:space="preserve">5 202,5</w:t>
      </w:r>
      <w:r>
        <w:t xml:space="preserve"> тыс. рублей из бюджета округа, или 100,0 % выполнение.</w:t>
      </w:r>
      <w:r>
        <w:rPr>
          <w:color w:val="000000"/>
          <w:spacing w:val="1"/>
        </w:rPr>
        <w:t xml:space="preserve"> </w:t>
      </w:r>
      <w:r>
        <w:rPr>
          <w:color w:val="000000"/>
          <w:spacing w:val="1"/>
        </w:rPr>
      </w:r>
      <w:r>
        <w:rPr>
          <w:color w:val="000000"/>
          <w:spacing w:val="1"/>
        </w:rPr>
      </w:r>
    </w:p>
    <w:p>
      <w:pPr>
        <w:ind w:firstLine="709"/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  <w:sectPr>
          <w:footnotePr/>
          <w:endnotePr/>
          <w:type w:val="nextPage"/>
          <w:pgSz w:w="11906" w:h="16838" w:orient="portrait"/>
          <w:pgMar w:top="1134" w:right="851" w:bottom="539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«Образование»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524"/>
        <w:gridCol w:w="848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 1. «Развитие дошкольного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системы дошкольного образования. Создание комфортных и безопасных условий пребывания ребенка в дошкольном образовательном учреждении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государственных гарантий общедоступности и бесплатности дошкольного образования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482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предоставления услуг дошкольного образования и воспитания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381864,4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187896,2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609560,6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381864,4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187551,7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38907,3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608323,4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муниципального задания МБДОУ,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73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Среднегодовая численность воспитанников, получающих услугу дошкольного образования, чел.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1788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347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Коэффициент посещаемости МБДОУ,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Компенсация части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21532,8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21532,8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18611,4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18611,4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Доля детей, родители которых воспользовались правом получения компенсации части родительской платы в общей численности детей, родители которых обратились за получением компенсации части родительской платы,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01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выплаты компенсации родительской платы за присмотр и уход за детьми, посещающими образовательные организации, реализующие образовательные программы дошкольного образования, да/нет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93520,0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4922,2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98442,2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93520,0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98442,2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указов Президента Российской Федерации по оплате труда и начислениям по выплатам на оплату труда работникам муниципальных учреждений,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</w:t>
              <w:br/>
              <w:t xml:space="preserve">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22400,0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1179,0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23579,0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22400,0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1179,0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23579,0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6"/>
                <w:szCs w:val="16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</w:t>
              <w:br/>
              <w:t xml:space="preserve">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2052,7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2052,7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69170,0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3640,5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72810,5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69170,0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640,5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72810,5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496917,2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192818,4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729535,6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493995,8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192473,9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38907,3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725377,0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повышения качества и конкурентоспособности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МБДОУ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18179,0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18179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18179,0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18179,0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которые улучшили материально-техническое состояние,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мероприятий по энергосбережению в учреждениях дошкольного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12874,6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12874,6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12874,6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12874,6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в которых произведена замена окон,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№№ 2,4,6,8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2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в которых выполнены работы по ремонту кровель,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1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МБДОУ, в которых выполнены работы по ремонту фасада,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комплексной безопасности муниципальных образовательных организаций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3067,4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3228,8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3067,4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3228,8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мероприятий по обеспечению комплексной безопасности МБДОУ,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МБДОУ №№ 1,2,4,5,6,7,8,9,10, 11,12,13,27,38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Преобразование пространств в образовательных организациях в рамках проекта «Арктическая школа»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МБДОУ №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Проектирова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ние, строительство и ввод в эксплуатацию объекта капитального строительства «Детский сад на 350 мест в пгт. Печенга» в рамках реализации мероприятий планов социального развития центров экономического роста субъектов Российской Федерации Арктической зоны РФ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16387,1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16388,7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16387,1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16388,7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350 мест в </w:t>
              <w:br/>
              <w:t xml:space="preserve">пгт. Печенга»,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58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</w:t>
              <w:br/>
              <w:t xml:space="preserve">(пгт. Печенга),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832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Разработка проектной документации и строительство детского сада на 250 мест в нп. Корзуново в рамках реализации мероприятий планов социального развития центров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экономического роста субъектов Российской Федерации Арктической зоны РФ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15446,5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15448,0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15446,5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15448,0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разработанной проектной документации на строительство объекта капитального строительства «Детский сад на 250 мест в </w:t>
              <w:br/>
              <w:t xml:space="preserve">нп. Корзуново Печенгского муниципального округа»,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50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дошкольного образования, в отношении которых осуществлено строительство и ввод в эксплуатацию (нп. Корзуново),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37601,0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18473,5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12874,6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68949,1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37601,0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18473,5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12874,6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68949,1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534518,2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211291,9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52674,6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798484,7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531596,8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210947,4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51781,9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794326,1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«Реализация общего и дополнительного образования детей»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повышения качества, доступности и конкурентоспособности общего и дополнительного образования детей для всех категорий обучающихся. Обеспечение предоставления услуг в сфере общего и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государственных гарантий общедоступности и бесплатности общего образования и равного доступа к услугам дополнительного образования детей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общего образования с выполнением требований государственного образовательного стандарта в очной форме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574380,2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87424,0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661804,2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574380,2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86864,0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661244,2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муниципального задания муниципальными общеобразовательными учреждениями,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</w:t>
              <w:br/>
              <w:t xml:space="preserve">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Среднегодовая численность обучающихся в муниципальных общеобразовательных учреждениях, получающих услугу, чел.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услуг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дополнительного образования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50237,8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50237,8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50185,7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50185,7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Выполнение муниципального задания муниципальными учреждениями дополнительного образования, %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ДДТ №№ 1,2; </w:t>
              <w:br/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Среднегодовая численность обучающихся в муниципальных учреждениях дополнительного образования, получающих услугу,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1800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оплату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50293,9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2647,1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52941,0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50293,9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2647,1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52941,0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Выполнение указов Президента Российской Федерации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по оплате труда и начислениям по выплатам на оплату труда работникам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</w:t>
              <w:br/>
              <w:t xml:space="preserve">ДДТ №№ 1,2; 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ение сохранения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597, от 01.06.2012 № 761 и </w:t>
              <w:br/>
              <w:t xml:space="preserve">от 28.12.2012 № 1688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32018,1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1685,1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33703,2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32018,1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1685,1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33703,2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циальной поддержки отдельных категорий граждан, работающих в муниципальных учреждениях образования и культуры, расположенных в сельских населенных пунктах или поселках городского типа Мурманской области, Закон Мурманской области </w:t>
              <w:br/>
              <w:t xml:space="preserve">от 27.12.2044 № 561-01-ЗМО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2368,6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2368,6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.3.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16025,8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843,4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16869,2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16025,8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843,4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16869,2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центра тестирования ГТО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Среднегодовая численность обучающихся, получающих услугу,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питанием отдельных категорий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24997,1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24997,1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23759,5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23759,5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Среднегодовая численность обучающихся льготной категории, получающих услугу бесплатного питания,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бесплатным цельным молоком обучающихся 1 - 4 классов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общеобразовательных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1381,4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2698,6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1173,0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2419,8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3592,8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Доля обучающихся 1 - 4 классов, получающих бесплатное цельное молоко от общего числа обучающихся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1-4 классов (с учетом пропусков занятий по объективным причинам),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Оказание муниципальных услуг в социальной сфере по направлению деятельности «реализация дополнительных общеразвивающих программ для детей»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8115,7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8115,7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8091,3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8091,3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Доля детей в возрасте от 5 до 18 лет, получающих дополнительное образование с 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спользованием сертификата дополнительного образования, в общей численности детей, получающих дополнительное образование за счет бюджетных средств (за исключением обучающихся в образовательных организациях дополнительного образования детей со специальными 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аименованиями «детская школа искусств», «детская музыкальная школа», «детская хоровая школа», «детская художественная школа», «детская хореографическая школа», «детская театральная школа», «детская цирковая школа», «детская школа художественных ремесел»,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10671,2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10889,0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9814,4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10014,7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бесплатного горячего питания обучающихся, получающих начальное общее образование в муниципальных общеобразовательных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27652,1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28216,5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27652,1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28216,5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бесплатным горячим питанием учащихся начального общего образования в муниципальных образовательных учреждениях,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Ежемесячное денежное вознаграждение за классное руководство педагогическим работникам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общеобразовательных учреждений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54194,5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2463,3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56657,8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54194,5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2463,3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56657,8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Выплата ежемесячного денежного вознаграждения за классное руководство педагогическим работникам муниципальных общеобразовательных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Обеспечение выплат педагогическим работникам муниципальных общеобразова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тельных организаций Мурманской области, реализующих образовательные программы начального общего, основного общего и среднего общего образования, в том числе адаптированные основные общеобразовательные программы, за руководство школьными спортивными клубами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1621,4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1621,4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1076,7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школьных спортивных клубов,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19,23;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Проведение мероприятий по обеспечению деятельности советников директора по воспитанию и взаимодействию с детскими общественными объединениями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5839,1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5839,1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5865,1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ставок советников директора по воспитанию и взаимодействию с детскими общественными объединениями в общеобразовательных организациях,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87685,7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665834,5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152340,9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905861,1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87685,7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662987,0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151408,1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902080,8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повышения качества и конкурентоспособности общего образования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общеобразовательных учреждений и учреждений дополнительного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43388,7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44238,7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43384,8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44234,8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учреждений, в которых улучшено материально-техническое состояние,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1,3,5,7,9, 11,19,23;     МБОУ ООШ №№ 20,22; МБОУ ДО ДДТ №№ 1,2; МБУ ДО ДЮСШ;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фасадов в общеобразовательных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49254,4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2597,4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51851,8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49254,4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2592,3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учреждений, у которых выполнен ремонт фасада здания,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ООШ № 22;  МБОУ СОШ № 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мероприятий по замене окон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4215,4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4215,4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4215,4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4215,4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учреждений и учреждений дополнительного образования, в которых произведена замена окон,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ДДТ №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Обустройство спортивных площадок на территории общеобразовательных учреждений Печенгского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образовательных организаций на территории которых проведен ремонт спортивных площадок,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 №№ 3,7,19, МБОУ ООШ №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Преобразование пространств в образовательных организациях в рамках проекта «Арктическая школа»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17600,0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18540,0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18540,0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образовательных организаций, в которых преобразовано пространство в рамках проекта «Арктическая школа»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 №№ 9,23, МБОУ ООШ №№ 20, 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84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проектно-сметной документации, с прохождением государственной экспертизы и строительство канатной дороги в п. Никель (горнолыжный склон)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39050,0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39050,0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разработке проектно-сметной документации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 прохожден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ием государственной экспертизы и строительству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канатной дороги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 п. Никель (горнолыжный склон)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ДЮСШ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45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комплексной безопасности муниципальных организаций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1621,2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1749,2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1524,4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1647,3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мероприятий по обеспечению комплексной безопасности МБОУ,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№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69325,6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47054,1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68265,4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184645,1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69228,8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47040,0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29215,4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145484,2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Развитие системы оценки качества образования, обеспечение публичной доступности её результатов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мониторинговых и диагностических мероприятий по комплексной оценке учебных и внеучебных  достижений обучающегося, его готовности на всех ступенях общего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муниципальных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общеобразовательных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учреждений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в которых проводятся мониторинговые и диагностические мероприятия,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1,3,5,7,9, 11,19,23;    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Координация деятельности муниципальных общеобразовательных учреждений по подготовке и проведению государственной итоговой аттестации по образовательным программам основного общего и среднего образования, включая репетиционные экзамены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муниципальных общеобразовательных учреждений, в которых проводится государственная итоговая аттестация,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МБОУ СОШ №№ 3,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11,19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информирования общественности, родителей о результатах оценки качества образования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материалов информирования общественности, родителей о результатах оценки качества образования,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87685,7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735160,1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199395,0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68265,4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1090506,2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87685,7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732215,8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198448,1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29215,4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1047565,0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«Детский отдых»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полноценного отдыха, укрепления здоровья, личностного развития и занятости несовершеннолетних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Организация отдыха и оздоровления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семинаров (совещаний), «круглых столов» по вопросам организации круглогодичного отдыха детей (для организаторов отдыха, руководителей лагерных смен)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участников межведомственных семинаров (совещаний), «круглых столов» по вопросам организации круглогодичного отдыха детей,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Роспотребнадзор, ОГИБДД, Госпожнадзор, МВК, КДН и ЗП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Публикация информационных материалов об организации оздоровительной компании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опубликованных информационных материалов об организации оздоровительной кампании,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газета «Печенга»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рганизация и проведение муниципальных детских оздоровительных лагерей, экспедиций, детских игровых площадок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3652,0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8252,0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3652,0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8252,0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оздоровительных лагерей и экспедиций на территории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заездов обучающихся в Центры гражданско-патриотического воспитания "На Севере-жить!», «Авангард»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организованных  заездов обучающихся в Центры гражданско-патриотического воспитания "На Севере-жить!», «Авангард»,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Оснащение детских оздоровительных лагерей на базе МБУ ДДТ №№ 1,2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оборудования, мебели для детских оздоровительных лагерей,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ДО                 ДДТ №№ 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3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детских выездных оздоровительных и санаторных лагерей, профильных выездных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смен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детей, направленных на отдых в выездные лагеря (путевки предоставляются ГАУ ДО МО «Мурманский областной центр дополнительного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образования «Лапландия»),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ООШ,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Развитие школьного образовательного туризма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общеобразовательных организаций, участвующих в развитии школьного туризма,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МБОУ СОШ, МБОУ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4029,0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7227,0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11256,0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4029,0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7227,0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11256,0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Обеспечение содействия в трудоустройстве детей и подростков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трудовых бригад для несовершеннолетних для проведения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 для несовершеннолетних для проведения временных общественно полезных работ,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 МБОУ СОШ №№ 1,3,9,19; МБОУ ООШ №№ 20,22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675,9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675,9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1046,9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23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4704,9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7598,0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12302,9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4704,9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7598,0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12302,9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4. «Развитие потенциала участников общеобразовательного процесса»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методического обеспечения образовательной деятельности. Совершенствование системы выявления и сопровождения одарённых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Создание условий для развития творческого потенциала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и поддержка талантливых педагогов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педагогического профессионального мастерства,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Развитие системы непрерывного повышения квалификации педагогических работников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квалификации педагогических работников на основе диссеминации лучших педагогических практик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мероприятий на основе диссеминации лучших педагогических практик,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Методическое сопровождение инновационных процессов в образовательных организациях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методических мероприятий по сопровождению инновационных процессов в образовательных организациях,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редоставлени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 муниципальных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по методическому обеспечению образовательной деятельности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МБУ «ММЦ»,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одарённых детей в различных областях интеллектуальной и творческой деятельности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4.3.1.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муниципальных мероприятий, направленных на развитие научно-исследовательской деятельности, технического творчества и творческого потенциала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технического творчества,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44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4.3.2.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участия талантливых детей в мероприятиях регионального и всероссийского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талантливых детей, принимающих участие в мероприятиях регионального и всероссийского уровня,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4.3.3.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Выявление талантливых детей среди дошкольников и обучающихся школ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муниципальных конкурсов и олимпиад по выявлению талантливых детей среди дошкольников и обучающихся школ,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4.3.4.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Методическая поддержка педагогических работников и сопровождение одарённых и перспективных обучающихся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консультаций и совещаний методической поддержки педагогических работников,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образования,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7506,9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7506,9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7506,9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7506,9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5. 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Реализация основополагающего права каждого ребенка жить и воспитываться в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профилактики семейного неблагополучия, основанной на его раннем выявлении, индивидуализированной адекватной помощи замещающей семье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пропаганде и популяризации семейных ценностей и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по пропаганде и популяризации семейных ценностей и здорового образа жизни,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«ММЦ»; МБДОУ;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МБОУ СОШ; МБОУ ООШ; МБУ ДО ДДТ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257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Издание и распространение информационно-аналитических, методических материалов, направленных на укрепление статуса семьи, обеспечение физического, нравственного и социального 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изданных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информационно-аналитических,  методических материалов, направленных на укрепление статуса семьи, обеспечение физического, нравственного и социального 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среди образовательных организаций по профилактике семейного неблагополучия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среди образовательных организаций по профилактике семейного неблагополучия,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Обеспечение приоритета семейного устройства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приемных родителей в мероприятиях регионального уровня, направленных на защиту прав детей, оказания помощи детям, замещающим семьям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приемных родителей, принимающих участие в мероприятиях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регионального уровня, направленных на защиту прав детей, оказания помощи детям, замещающим семьям,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работы клуба замещающих родителей «Умка»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замещающих родителей, принимающих участие в работе клуба «Умка»,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межведомственных, межсетевых встреч, посвященных вопросам защиты прав детей, оказание помощи детям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встреч, семинаров и/или совещаний, посвященных вопросам защиты прав детей, оказание помощи детям,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Отдел образования; МБУ «ММЦ»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6. «Хозяйственно-эксплуатационное обслуживание муниципальных учреждений муниципального образования»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Организация хозяйственно-эксплуатационного обслуживания муниципальных учреждений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МБУ «РЭС»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44058,1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44058,1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44047,7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44047,7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своевременного и качественного хозяйственно-эксплуатационного обслуживания муниципальных учреждений в Печенгском муниципальном округе,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выполнения заявок на обслуживание муниципальных учреждений от общего количества заявок,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Уровень обеспечения готовности учреждений образования и объектов, подведомственных администрации к отопительному периоду и новому учебному году от общего количества объектов,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по выплатам на оплату труда работникам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23095,8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23095,8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Президента Российской Федерации по оплате труда и начислениям по выплатам на оплату труда работникам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6.1.2.1.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от 19.06.2000 № 82-ФЗ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1154,8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23095,8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1154,8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23095,8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45212,9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67153,9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45212,9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67153,9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21941,0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87685,7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1296324,2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471074,2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120940,0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1976024,1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87685,7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1290458,5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469772,4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80997,3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1928913,9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«Образование»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993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уровень эффективности муниципальной программы. Некорректного спланирован объем финансирования.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2.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ind w:firstLine="709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«Обеспечение социальной стабильности» на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–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1033"/>
        <w:ind w:left="0" w:right="0" w:firstLine="709"/>
        <w:spacing w:after="0" w:line="240" w:lineRule="auto"/>
        <w:widowControl w:val="off"/>
        <w:rPr>
          <w:rFonts w:ascii="Times New Roman" w:hAnsi="Times New Roman" w:cs="Times New Roman"/>
          <w:i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  <w:r>
        <w:rPr>
          <w:rFonts w:ascii="Times New Roman" w:hAnsi="Times New Roman" w:cs="Times New Roman"/>
          <w:i/>
          <w:color w:val="ff0000"/>
          <w:sz w:val="24"/>
          <w:szCs w:val="24"/>
        </w:rPr>
      </w:r>
    </w:p>
    <w:p>
      <w:pPr>
        <w:pStyle w:val="104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«Обеспечение социальной стабильности» на 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03.11.2023 № 1</w:t>
      </w:r>
      <w:r>
        <w:rPr>
          <w:rFonts w:ascii="Times New Roman" w:hAnsi="Times New Roman"/>
          <w:sz w:val="24"/>
          <w:szCs w:val="24"/>
        </w:rPr>
        <w:t xml:space="preserve">629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/>
          <w:sz w:val="24"/>
          <w:szCs w:val="24"/>
        </w:rPr>
        <w:t xml:space="preserve">14.03.2024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3</w:t>
      </w:r>
      <w:r>
        <w:rPr>
          <w:rFonts w:ascii="Times New Roman" w:hAnsi="Times New Roman"/>
          <w:sz w:val="24"/>
          <w:szCs w:val="24"/>
        </w:rPr>
        <w:t xml:space="preserve">7</w:t>
      </w:r>
      <w:r>
        <w:rPr>
          <w:rFonts w:ascii="Times New Roman" w:hAnsi="Times New Roman"/>
          <w:sz w:val="24"/>
          <w:szCs w:val="24"/>
        </w:rPr>
        <w:t xml:space="preserve">8, от 2</w:t>
      </w:r>
      <w:r>
        <w:rPr>
          <w:rFonts w:ascii="Times New Roman" w:hAnsi="Times New Roman"/>
          <w:sz w:val="24"/>
          <w:szCs w:val="24"/>
        </w:rPr>
        <w:t xml:space="preserve">7.04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</w:t>
      </w:r>
      <w:r>
        <w:rPr>
          <w:rFonts w:ascii="Times New Roman" w:hAnsi="Times New Roman"/>
          <w:sz w:val="24"/>
          <w:szCs w:val="24"/>
        </w:rPr>
        <w:t xml:space="preserve">695</w:t>
      </w:r>
      <w:r>
        <w:rPr>
          <w:rFonts w:ascii="Times New Roman" w:hAnsi="Times New Roman"/>
          <w:sz w:val="24"/>
          <w:szCs w:val="24"/>
        </w:rPr>
        <w:t xml:space="preserve">, от 1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.09.202</w:t>
      </w:r>
      <w:r>
        <w:rPr>
          <w:rFonts w:ascii="Times New Roman" w:hAnsi="Times New Roman"/>
          <w:sz w:val="24"/>
          <w:szCs w:val="24"/>
        </w:rPr>
        <w:t xml:space="preserve">4 № 1390, от 21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1.2024 № 1837</w:t>
      </w:r>
      <w:r>
        <w:rPr>
          <w:rFonts w:ascii="Times New Roman" w:hAnsi="Times New Roman"/>
          <w:sz w:val="24"/>
          <w:szCs w:val="24"/>
        </w:rPr>
        <w:t xml:space="preserve"> и от </w:t>
      </w:r>
      <w:r>
        <w:rPr>
          <w:rFonts w:ascii="Times New Roman" w:hAnsi="Times New Roman"/>
          <w:sz w:val="24"/>
          <w:szCs w:val="24"/>
        </w:rPr>
        <w:t xml:space="preserve">03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1</w:t>
      </w:r>
      <w:r>
        <w:rPr>
          <w:rFonts w:ascii="Times New Roman" w:hAnsi="Times New Roman"/>
          <w:sz w:val="24"/>
          <w:szCs w:val="24"/>
        </w:rPr>
        <w:t xml:space="preserve">979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4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Целью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рограммы является улучшение качества жизни населения и обеспечение социальной стабильности в Печенгском муниципальном округе.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40"/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выполнение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40"/>
        <w:numPr>
          <w:ilvl w:val="0"/>
          <w:numId w:val="42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Улучшение качества жизни населения и обеспечение социальной стабильности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40"/>
        <w:numPr>
          <w:ilvl w:val="0"/>
          <w:numId w:val="42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Обеспечение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входят две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43"/>
        </w:numPr>
        <w:ind w:left="0" w:right="0" w:firstLine="709"/>
        <w:jc w:val="both"/>
        <w:spacing w:after="0" w:line="240" w:lineRule="auto"/>
        <w:tabs>
          <w:tab w:val="left" w:pos="142" w:leader="none"/>
          <w:tab w:val="left" w:pos="5040" w:leader="none"/>
          <w:tab w:val="left" w:pos="5940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1 «Социальная поддержка граждан»;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40"/>
        <w:numPr>
          <w:ilvl w:val="0"/>
          <w:numId w:val="43"/>
        </w:numPr>
        <w:ind w:left="0" w:righ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подпрограмма 2 «Обеспечение жильем молодых семей».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90 193,3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91 423,9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Освоены средства в размере 8</w:t>
      </w:r>
      <w:r>
        <w:rPr>
          <w:rFonts w:ascii="Times New Roman" w:hAnsi="Times New Roman" w:cs="Times New Roman"/>
          <w:sz w:val="24"/>
          <w:szCs w:val="24"/>
        </w:rPr>
        <w:t xml:space="preserve">8 428,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6,7</w:t>
      </w:r>
      <w:r>
        <w:rPr>
          <w:rFonts w:ascii="Times New Roman" w:hAnsi="Times New Roman" w:cs="Times New Roman"/>
          <w:sz w:val="24"/>
          <w:szCs w:val="24"/>
        </w:rPr>
        <w:t xml:space="preserve">%. Размер неосвоенных средств составляет </w:t>
      </w:r>
      <w:r>
        <w:rPr>
          <w:rFonts w:ascii="Times New Roman" w:hAnsi="Times New Roman" w:cs="Times New Roman"/>
          <w:sz w:val="24"/>
          <w:szCs w:val="24"/>
        </w:rPr>
        <w:t xml:space="preserve">2 995,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2 581,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414,1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«Социальная поддержка граждан».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подпрограммы: у</w:t>
      </w:r>
      <w:r>
        <w:rPr>
          <w:rFonts w:ascii="Times New Roman" w:hAnsi="Times New Roman"/>
          <w:sz w:val="24"/>
          <w:szCs w:val="24"/>
        </w:rPr>
        <w:t xml:space="preserve">лучшение качества жизни населения и обеспечение социальной стабильности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Неосвоенные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2 995,8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4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2 995,8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бюджета: </w:t>
      </w:r>
      <w:r>
        <w:rPr>
          <w:rFonts w:ascii="Times New Roman" w:hAnsi="Times New Roman" w:cs="Times New Roman"/>
          <w:sz w:val="24"/>
          <w:szCs w:val="24"/>
        </w:rPr>
        <w:t xml:space="preserve">285,9</w:t>
      </w:r>
      <w:r>
        <w:rPr>
          <w:rFonts w:ascii="Times New Roman" w:hAnsi="Times New Roman" w:cs="Times New Roman"/>
          <w:sz w:val="24"/>
          <w:szCs w:val="24"/>
        </w:rPr>
        <w:t xml:space="preserve"> тыс. рублей исполнение</w:t>
      </w:r>
      <w:r>
        <w:rPr>
          <w:rFonts w:ascii="Times New Roman" w:hAnsi="Times New Roman" w:cs="Times New Roman"/>
          <w:sz w:val="24"/>
          <w:szCs w:val="24"/>
        </w:rPr>
        <w:t xml:space="preserve"> гос</w:t>
      </w:r>
      <w:r>
        <w:rPr>
          <w:rFonts w:ascii="Times New Roman" w:hAnsi="Times New Roman" w:cs="Times New Roman"/>
          <w:sz w:val="24"/>
          <w:szCs w:val="24"/>
        </w:rPr>
        <w:t xml:space="preserve">ударственных </w:t>
      </w:r>
      <w:r>
        <w:rPr>
          <w:rFonts w:ascii="Times New Roman" w:hAnsi="Times New Roman" w:cs="Times New Roman"/>
          <w:sz w:val="24"/>
          <w:szCs w:val="24"/>
        </w:rPr>
        <w:t xml:space="preserve">полномочий по опеке и попечительству в отношении несовершеннолетних; 1358,0 тыс. рублей содержание ре</w:t>
      </w:r>
      <w:r>
        <w:rPr>
          <w:rFonts w:ascii="Times New Roman" w:hAnsi="Times New Roman" w:cs="Times New Roman"/>
          <w:sz w:val="24"/>
          <w:szCs w:val="24"/>
        </w:rPr>
        <w:t xml:space="preserve">бенка в семье опекуна, а также вознаграждение, причитающееся приемному родителю; 38,3 тыс. рублей по оплате жилого помещения и коммунальных услуг детям-сиротам; 528,3 тыс. рублей по оплате жилого помещения и коммунальных услуг, работающим в сельских населе</w:t>
      </w:r>
      <w:r>
        <w:rPr>
          <w:rFonts w:ascii="Times New Roman" w:hAnsi="Times New Roman" w:cs="Times New Roman"/>
          <w:sz w:val="24"/>
          <w:szCs w:val="24"/>
        </w:rPr>
        <w:t xml:space="preserve">нных пунктах; 7,1 тыс. рублей вознаграждение лицам, осуществляющим постинтернатный патронат; 343,4 тыс. рублей единовременная выплата многодетным семьям на улучшение жилищных условий (в связи с отсутствием обращений); 20,7 тыс. рублей компенсация расходов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на оплату жилых помещений отдельным категориям педагогических работников;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4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414,1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не востребованы из бюджета округа на проведение мероприятий по захоронению погибших в ходе специальной военной операции.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Оказана материальная помощь шести гражданам (43,0 тыс. рубле</w:t>
      </w:r>
      <w:r>
        <w:rPr>
          <w:rFonts w:ascii="Times New Roman" w:hAnsi="Times New Roman" w:cs="Times New Roman"/>
          <w:sz w:val="24"/>
          <w:szCs w:val="24"/>
        </w:rPr>
        <w:t xml:space="preserve">й); выплачена компенсация за проезд в областной центр в лечебное учреждение ребенку-инвалиду и сопровождающему его лицу (4,4 тыс. рублей); денежное поощрение четырем гражданам, имеющим звание «Почетный гражданин города Заполярный» (28,0 тыс. рублей). Всего</w:t>
      </w:r>
      <w:r>
        <w:rPr>
          <w:rFonts w:ascii="Times New Roman" w:hAnsi="Times New Roman" w:cs="Times New Roman"/>
          <w:sz w:val="24"/>
          <w:szCs w:val="24"/>
        </w:rPr>
        <w:t xml:space="preserve"> расходы составили 75,4 тыс. руб</w:t>
      </w:r>
      <w:r>
        <w:rPr>
          <w:rFonts w:ascii="Times New Roman" w:hAnsi="Times New Roman" w:cs="Times New Roman"/>
          <w:sz w:val="24"/>
          <w:szCs w:val="24"/>
        </w:rPr>
        <w:t xml:space="preserve">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обеспечению доступности в МКД</w:t>
      </w:r>
      <w:r>
        <w:rPr>
          <w:rFonts w:ascii="Times New Roman" w:hAnsi="Times New Roman" w:cs="Times New Roman"/>
          <w:sz w:val="24"/>
          <w:szCs w:val="24"/>
        </w:rPr>
        <w:t xml:space="preserve"> предусмотрено 170,0 тыс. рублей, по обращению инвалида, передвигающегося при помощи кресла-коляски, был приобретен универсальный лестничный подъемник с интегрированным креслом «ЛАМА-УЛП».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1033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993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«Обеспечение социальной стабильности»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«Социальная поддержка граждан»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Улучшение качества жизни населения и обеспечение социальной стабильности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условий для роста благосостояния граждан – получателей мер социальной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9113,7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8827,8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8827,8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несовершеннолетних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опеке и попечительству в отношении 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676,0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опеке и попечительству в отношении совершеннолетних граждан,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ребенка в семье опекуна (попечителя) и приемной семье, а также вознаграждение, причитающееся приемному родителю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52974,9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52974,9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51616,9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51616,9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родителей, находящихся под опекой (попечительством), в том числе в приемной семье, на содержание которых выплачиваются денежные средства,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приемных родителей, получающих денежное вознаграждение за воспитание детей-сирот и детей, оставшихся без попечения,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01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жилых помещений детям-сиротам и детям, оставшимся без попечения родителей, лицам из числа по договорам найма специализированных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Численно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сть детей-сирот и детей, оставшихся без попечения родителей, лиц из числа детей-сирот и детей, оставшихся без попечения родителей, лиц, которые относились к категории детей-сирот и детей, оставшихся без попечения родителей, лиц из числа детей-сирот и детей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, оставшихся без попечения родителей и достигли возраста 23 лет, которые подлежат обеспечению жилыми помещениями, согласно списку нуждающихся в обеспечении жилым помещением, утверждаемому постановлением администрации Печенгского муниципального округа, чел.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мер социальной поддержки по оплате жилого помещения и коммунальных услуг детям-сиротам и детям, оставшимся без попечения родителей,  лицам из числа детей-сирот и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1157,7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1119,4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1119,4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Количество финансово-лицевых счетов ежемесячной жилищно-коммунальной выплаты в муницип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альном образовании жилых помещений, принадлежащих на праве собственности детям-сиротам и детям, оставшимся без попечения родителей, лицам из числа детей-сирот и детей, оставшихся без попечения родителей или право пользования которыми за ними сохранено, ед.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8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мер социальной поддержки по оплате жилого помещения и коммунальных услуг детям-сиротам и детям, оставшимся без попечения родителей, лицам из числа детей-сирот и  детей, оставшихся без попечения родителей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телей, лиц из числа детей-сирот и детей, оставшихся без попечения родителей, имеющих право на дополнительные гарантии по оплате жилого помещения и коммунальных услуг в форме ежемесячной денежной выплаты на оплату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Осуществление ремонта  жилых помещений, собственниками которых являются дети-сироты и дети, оставшиеся без попечения родителей, лица из числа детей-сирот и д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етей, оставшихся без попечения родителей, либо текущего ремонта жилых помещений, право пользования которыми сохранено за детьми сиротами и детьми, оставшимися без попечения родителей, лицами из числа детей-сирот и детей, оставшихся без  попечения родителей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1031,3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детей-сирот и детей, оставшихся без попечения родителей, нуждающихся в проведении ремонта либо текущего ремонта жилого помещения,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предоставление мер социальной поддержки по оплате жилого помещения и коммунальных услуг отдельным категориям граждан, работающих в сельских населенных пунктах или поселках городского типа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23544,2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23015,9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23015,9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работающих в сельских населенных пунктах или поселках городского типа, получающих меры социальной поддержки по оплате жилого помещения и коммунальных услуг,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5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Выплата денежного вознаграждения лицам, осуществляющим постинтернатный патронат в отношении несовершеннолетних и социальный патронат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детей, над которыми установлен социальный патронат,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уровня и качества жизни иных категорий граждан, нуждающихся в поддержке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граждан, получивших меры социальной поддержки,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Освобождение от налогообложения в размере 100% от налога на имущество физических лиц членов многодетных семей (с тремя и более несовершеннолетними детьми), приемных родителей, 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опекунов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семьи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мног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одетных семей, приемных родителей, опекунов и попечителей о возможности освобождения от налогооблажения в размере 100% от налога на имущество физических лиц членов многодетных семей (с тремя и более несовершеннолетними детьми), приемных родителей, опекунов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попечителей, усыновивших (опекающих) третьего (или) последующего несовершеннолетнего гражданина в семье, на жилое помещение, расположенное на территории Печенгского муниципального округа, используемое для совместного проживания многодетной семье,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единовременной денежной выплаты многодетным семьям на улучшение жилищных условий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343,4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семей, получивших единовременную денежную выплату,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предоставлению и организации выплаты вознаграждения опекунам совершеннолетних недееспособных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граждан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опекунов совершеннолетних недееспособных граждан, получающих вознаграждение,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Специалист по работе с населением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отдельным категориям педагогических работников компенсации расходов на оплату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 педагогических работников отдельных категорий, которым предоставлена компенсация расходов на оплату жилых помещений,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1.1. 15.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Мероприятия, связанные с захоронением погибших в ходе специальной военной операции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544,7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544,7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мероприятий, связанных с захоронением погибших в ходе проведения специальной военной операции,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Управляющий делами 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90219,7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91253,9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87638,0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88258,1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эффективной интеграции инвалидов в общество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 обеспечения доступности в многоквартирных домах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ОРН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90219,7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1204,2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91423,9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87638,0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88428,1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«Обеспечение жильем молодых семей»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Обеспечение жильем молодых семей, проживающих на территории Печенгского муниципального округа, признанных в установленном порядке, нуждающимися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предоставления социальных выплат для приобретения (строительства) жилья на территории Печенгского муниципального округа молодым семьям – участникам программы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Печенгского муниципального округа в государственной программе Мурманской области «Обеспечение комфортной среды проживания населения региона»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Формирование в установленном порядке заявки на участие Печенгского муниципального округа в государственной программе Мурманской области «Обеспечение комфортной среды проживания населения региона»,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приема документов и заявлений на участие в Программе молодых семей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заявлений и документов на участие в Программе,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информирования и консультирования молодых семей об условиях участия в Программе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консультаций молодым семьям об условиях участия в Программе,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90219,7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1204,2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91423,9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87638,0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790,1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88428,1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6"/>
          <w:szCs w:val="26"/>
        </w:rPr>
      </w:pP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  <w:r>
        <w:rPr>
          <w:rFonts w:ascii="Times New Roman" w:hAnsi="Times New Roman" w:eastAsia="Calibri" w:cs="Times New Roman"/>
          <w:b/>
          <w:bCs/>
          <w:sz w:val="26"/>
          <w:szCs w:val="26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«Обеспечение социальной стабильности»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536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корректно спланирован объем финансирования.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высвобождения ресурсов и перенос их на следующие периоды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3.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«Культура» на 202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4 - 2026</w:t>
      </w:r>
      <w:r>
        <w:rPr>
          <w:rFonts w:ascii="Times New Roman" w:hAnsi="Times New Roman" w:eastAsia="Times New Roman" w:cs="Times New Roman"/>
          <w:b/>
          <w:bCs/>
          <w:color w:val="000000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/>
        <w:jc w:val="both"/>
        <w:spacing w:after="0" w:line="240" w:lineRule="auto"/>
        <w:tabs>
          <w:tab w:val="left" w:pos="42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«Культура» на </w:t>
        <w:br/>
        <w:t xml:space="preserve">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625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от 2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.01.202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87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от 14.03.2024</w:t>
      </w:r>
      <w:r>
        <w:rPr>
          <w:rFonts w:ascii="Times New Roman" w:hAnsi="Times New Roman" w:cs="Times New Roman"/>
          <w:sz w:val="24"/>
          <w:szCs w:val="24"/>
        </w:rPr>
        <w:t xml:space="preserve"> № 3</w:t>
      </w:r>
      <w:r>
        <w:rPr>
          <w:rFonts w:ascii="Times New Roman" w:hAnsi="Times New Roman" w:cs="Times New Roman"/>
          <w:sz w:val="24"/>
          <w:szCs w:val="24"/>
        </w:rPr>
        <w:t xml:space="preserve">79</w:t>
      </w:r>
      <w:r>
        <w:rPr>
          <w:rFonts w:ascii="Times New Roman" w:hAnsi="Times New Roman" w:cs="Times New Roman"/>
          <w:sz w:val="24"/>
          <w:szCs w:val="24"/>
        </w:rPr>
        <w:t xml:space="preserve">, от 0</w:t>
      </w:r>
      <w:r>
        <w:rPr>
          <w:rFonts w:ascii="Times New Roman" w:hAnsi="Times New Roman" w:cs="Times New Roman"/>
          <w:sz w:val="24"/>
          <w:szCs w:val="24"/>
        </w:rPr>
        <w:t xml:space="preserve">6.08.2024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1240, от 15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8.2024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1279</w:t>
      </w:r>
      <w:r>
        <w:rPr>
          <w:rFonts w:ascii="Times New Roman" w:hAnsi="Times New Roman" w:cs="Times New Roman"/>
          <w:sz w:val="24"/>
          <w:szCs w:val="24"/>
        </w:rPr>
        <w:t xml:space="preserve">, от 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3.10.202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335, от 09.12.2024 № 1975</w:t>
      </w:r>
      <w:r>
        <w:rPr>
          <w:rFonts w:ascii="Times New Roman" w:hAnsi="Times New Roman" w:cs="Times New Roman"/>
          <w:sz w:val="24"/>
          <w:szCs w:val="24"/>
        </w:rPr>
        <w:t xml:space="preserve"> и </w:t>
        <w:br/>
        <w:t xml:space="preserve">т 2</w:t>
      </w:r>
      <w:r>
        <w:rPr>
          <w:rFonts w:ascii="Times New Roman" w:hAnsi="Times New Roman" w:cs="Times New Roman"/>
          <w:sz w:val="24"/>
          <w:szCs w:val="24"/>
        </w:rPr>
        <w:t xml:space="preserve">4.12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 № 2118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firstLine="709"/>
        <w:jc w:val="both"/>
        <w:spacing w:after="0" w:line="240" w:lineRule="auto"/>
        <w:tabs>
          <w:tab w:val="left" w:pos="426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Программы является обеспечение творческого и культурного развития личности, участия населения в культурной жизни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40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45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5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5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Сохранение, развитие и формирование культурных традиций Печенгского муниципального округа, создание единого социокультурного пространства.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данной Программы осуществляется путем реализации подпрограммам, сформированных исходя из необходимости достижения целей и задач муниципальной программы.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три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6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1 «Развитие учреждений культуры»;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6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2 «Развитие системы дополнительного образования в сфере культуры и искусства»;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6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3 «Развитие культуры».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490 833,3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 внебюджетные средства 5 </w:t>
      </w:r>
      <w:r>
        <w:rPr>
          <w:rFonts w:ascii="Times New Roman" w:hAnsi="Times New Roman" w:cs="Times New Roman"/>
          <w:sz w:val="24"/>
          <w:szCs w:val="24"/>
        </w:rPr>
        <w:t xml:space="preserve">030</w:t>
      </w:r>
      <w:r>
        <w:rPr>
          <w:rFonts w:ascii="Times New Roman" w:hAnsi="Times New Roman" w:cs="Times New Roman"/>
          <w:sz w:val="24"/>
          <w:szCs w:val="24"/>
        </w:rPr>
        <w:t xml:space="preserve">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567"/>
        <w:jc w:val="both"/>
        <w:spacing w:after="0" w:line="240" w:lineRule="auto"/>
        <w:rPr>
          <w:rStyle w:val="1107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598 233,3</w:t>
      </w:r>
      <w:r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федерального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56204,4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352678,3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1</w:t>
      </w:r>
      <w:r>
        <w:rPr>
          <w:rFonts w:ascii="Times New Roman" w:hAnsi="Times New Roman" w:cs="Times New Roman"/>
          <w:sz w:val="24"/>
          <w:szCs w:val="24"/>
        </w:rPr>
        <w:t xml:space="preserve">79763,8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средства </w:t>
      </w:r>
      <w:r>
        <w:rPr>
          <w:rFonts w:ascii="Times New Roman" w:hAnsi="Times New Roman" w:cs="Times New Roman"/>
          <w:sz w:val="24"/>
          <w:szCs w:val="24"/>
        </w:rPr>
        <w:t xml:space="preserve">9586,8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Освоены средства в размере 4</w:t>
      </w:r>
      <w:r>
        <w:rPr>
          <w:rFonts w:ascii="Times New Roman" w:hAnsi="Times New Roman" w:cs="Times New Roman"/>
          <w:sz w:val="24"/>
          <w:szCs w:val="24"/>
        </w:rPr>
        <w:t xml:space="preserve">35 649,1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72,8</w:t>
      </w:r>
      <w:r>
        <w:rPr>
          <w:rFonts w:ascii="Times New Roman" w:hAnsi="Times New Roman" w:cs="Times New Roman"/>
          <w:sz w:val="24"/>
          <w:szCs w:val="24"/>
        </w:rPr>
        <w:t xml:space="preserve">%. Не освоены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162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584,2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</w:t>
      </w:r>
      <w:r>
        <w:rPr>
          <w:rFonts w:ascii="Times New Roman" w:hAnsi="Times New Roman" w:cs="Times New Roman"/>
          <w:sz w:val="24"/>
          <w:szCs w:val="24"/>
        </w:rPr>
        <w:t xml:space="preserve">: не поступили средства областного бюджета в сумме 161426,4 тыс. рублей на выполнение работ по капитальному ремонту МБУ «ДК «Восход»; экономия средств бюджета округа 565,9 тыс. рублей; не поступили средства от платных услуг в размере 591,8 тыс. рублей.</w:t>
      </w:r>
      <w:r>
        <w:rPr>
          <w:rStyle w:val="1107"/>
          <w:rFonts w:ascii="Times New Roman" w:hAnsi="Times New Roman" w:cs="Times New Roman"/>
          <w:sz w:val="24"/>
          <w:szCs w:val="24"/>
        </w:rPr>
      </w:r>
      <w:r>
        <w:rPr>
          <w:rStyle w:val="1107"/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учреждений культуры».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Целью подпрограммы является создание условий по организации досуга, развития народного творчества и обеспечение жителей округа услугами организаций культуры. Обеспечение развития творческого потенциала и организация досуга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предоставления услуг (работ) учреждениями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учреждений культуры.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Организация и проведение праздничных культурно-массовых мероприятий.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firstLine="567"/>
        <w:jc w:val="both"/>
        <w:spacing w:after="0" w:line="240" w:lineRule="auto"/>
        <w:rPr>
          <w:rStyle w:val="1107"/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1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израсходованы ассигнования в сумме </w:t>
      </w:r>
      <w:r>
        <w:rPr>
          <w:rFonts w:ascii="Times New Roman" w:hAnsi="Times New Roman" w:cs="Times New Roman"/>
          <w:sz w:val="24"/>
          <w:szCs w:val="24"/>
        </w:rPr>
        <w:t xml:space="preserve">299 031,1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(</w:t>
      </w:r>
      <w:r>
        <w:rPr>
          <w:rFonts w:ascii="Times New Roman" w:hAnsi="Times New Roman" w:cs="Times New Roman"/>
          <w:sz w:val="24"/>
          <w:szCs w:val="24"/>
        </w:rPr>
        <w:t xml:space="preserve">64,8 %), не поступили средства областного бюджета в сумме 161426,4 тыс. рублей на выполнение работ по капитальному ремонту МБУ</w:t>
      </w:r>
      <w:r>
        <w:rPr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«ДК «Восход»; экономия бюджета округа 365,3 тыс. рублей; не поступили средства от платных услуг в размере 507,9 тыс. рублей.</w:t>
      </w:r>
      <w:r>
        <w:rPr>
          <w:rStyle w:val="1107"/>
          <w:rFonts w:ascii="Times New Roman" w:hAnsi="Times New Roman" w:cs="Times New Roman"/>
          <w:sz w:val="24"/>
          <w:szCs w:val="24"/>
        </w:rPr>
      </w:r>
      <w:r>
        <w:rPr>
          <w:rStyle w:val="1107"/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системы дополнительного образования в сфере культуры и искусства».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Целью подпрограммы является </w:t>
      </w:r>
      <w:r>
        <w:rPr>
          <w:rFonts w:ascii="Times New Roman" w:hAnsi="Times New Roman" w:cs="Times New Roman"/>
          <w:sz w:val="24"/>
          <w:szCs w:val="24"/>
        </w:rPr>
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одарённых детей, их специальной поддержки.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поставленных целей подпрограммы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48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Обеспечение предоставления услуг в сфере дополнительного образования учреждениями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48"/>
        </w:numPr>
        <w:ind w:left="0" w:right="0" w:firstLine="709"/>
        <w:jc w:val="both"/>
        <w:spacing w:after="0" w:line="240" w:lineRule="auto"/>
        <w:rPr>
          <w:rFonts w:ascii="Times New Roman" w:hAnsi="Times New Roman" w:eastAsia="Calibri" w:cs="Times New Roman"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  <w:lang w:eastAsia="ru-RU"/>
        </w:rPr>
        <w:t xml:space="preserve">Создание условий для развития учреждений дополнительного образования в сфере культуры и искусства.</w:t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  <w:r>
        <w:rPr>
          <w:rFonts w:ascii="Times New Roman" w:hAnsi="Times New Roman" w:eastAsia="Calibri" w:cs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48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Создание благоприятных условий для выявления, развития и поддержки одарённых детей в различных областях творческой деятельности.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Подпрограммы 2 в 202</w:t>
      </w:r>
      <w:r>
        <w:t xml:space="preserve">4</w:t>
      </w:r>
      <w:r>
        <w:t xml:space="preserve"> году израсходованы ассигнования в сумме 1</w:t>
      </w:r>
      <w:r>
        <w:t xml:space="preserve">17 339,8</w:t>
      </w:r>
      <w:r>
        <w:t xml:space="preserve"> тыс. рублей (99,9 %).</w:t>
      </w:r>
      <w:r/>
    </w:p>
    <w:p>
      <w:pPr>
        <w:ind w:firstLine="709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культуры».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firstLine="709"/>
        <w:jc w:val="both"/>
        <w:spacing w:after="0" w:line="240" w:lineRule="auto"/>
        <w:tabs>
          <w:tab w:val="left" w:pos="720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Целью подпрограммы является сохранение, развитие и формирование культурных традиций, создание единого социокультурного пространства.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ru-RU"/>
        </w:rPr>
        <w:outlineLvl w:val="1"/>
      </w:pPr>
      <w:r>
        <w:rPr>
          <w:rFonts w:ascii="Times New Roman" w:hAnsi="Times New Roman" w:cs="Times New Roman"/>
          <w:sz w:val="24"/>
          <w:szCs w:val="24"/>
        </w:rPr>
        <w:t xml:space="preserve">Для достижения поставленной цели подпрограмма предусматривает мероприятие по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сохранению и развитию народных и культурных традиций путем привлечения населения к участию в праздничных мероприятиях.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1034"/>
        <w:ind w:firstLine="709"/>
        <w:jc w:val="both"/>
        <w:spacing w:before="0" w:beforeAutospacing="0" w:after="0" w:afterAutospacing="0"/>
        <w:tabs>
          <w:tab w:val="left" w:pos="993" w:leader="none"/>
        </w:tabs>
      </w:pPr>
      <w:r>
        <w:t xml:space="preserve">В ходе реализации Подпрограммы 3 в 202</w:t>
      </w:r>
      <w:r>
        <w:t xml:space="preserve">4</w:t>
      </w:r>
      <w:r>
        <w:t xml:space="preserve"> году израсходованы ассигнования в сумме </w:t>
      </w:r>
      <w:r>
        <w:t xml:space="preserve">19 278,2 </w:t>
      </w:r>
      <w:r>
        <w:t xml:space="preserve">тыс. рублей (9</w:t>
      </w:r>
      <w:r>
        <w:t xml:space="preserve">9,1</w:t>
      </w:r>
      <w:r>
        <w:t xml:space="preserve"> %). Экономия сложилась по проведению электронных аукционов.</w:t>
      </w:r>
      <w:r/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276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«Культура»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898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818"/>
        <w:gridCol w:w="2551"/>
        <w:gridCol w:w="1134"/>
        <w:gridCol w:w="851"/>
        <w:gridCol w:w="1134"/>
        <w:gridCol w:w="1134"/>
        <w:gridCol w:w="992"/>
        <w:gridCol w:w="2835"/>
        <w:gridCol w:w="992"/>
        <w:gridCol w:w="851"/>
        <w:gridCol w:w="850"/>
        <w:gridCol w:w="57"/>
        <w:gridCol w:w="1699"/>
      </w:tblGrid>
      <w:tr>
        <w:tblPrEx/>
        <w:trPr/>
        <w:tc>
          <w:tcPr>
            <w:shd w:val="clear" w:color="auto" w:fill="auto"/>
            <w:tcW w:w="818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55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«Развитие учреждений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по организации досуга, развития народного творчества и обеспечения жителей округа услугами организаций культуры. Обеспечение развития творческого потенциала и организация досуга населения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предоставления услуг (работ) учреждениями культуры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48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 сфере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55725,8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60505,8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55557,7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4275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59832,7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89,4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МБО; Музей; 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клубных формирований,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1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культурно-массовых мероприятий организованных учреждениями культуры,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450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посетителей (зрителей) культурно–массовых мероприятий,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143421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Уровень удовлетворенности населения округа качеством предоставления услуг учреждениями культуры,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книговыдач в библиотеках,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0000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601918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посетителей музея,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2700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3355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725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предметов основного музейного фонда,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1495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2178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145,7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104539,3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5502,1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110041,4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104539,3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5502,1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110041,4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МБО; Музей; ДК «Октябрь»; 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Обеспечение сохране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 07.05.2012 № 597 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100159,3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5271,6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105430,9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100159,3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5271,6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105430,9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МБО; Музей;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   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«Октябрь»;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  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ДК «Восход»; 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1.1.2.2.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социальной поддержки отдельных категорий граждан, работающих в муниципальных учреждениях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образования и культуры, расположенных в сельских населенных пунктах или поселках городского типа Мурманской области, имеющих в соответствии с Законом Мурманской области от 27.12.2004 № 561-01-ЗМО </w:t>
              <w:br/>
              <w:t xml:space="preserve">«О мерах социальной поддержки отдельных категорий граждан,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работающих в сельских населенных пунктах или поселках городского типа» право на установление повышенных на 25 процентов ра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змеров тарифной 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х условиях, в соответствии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стных окладов) в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МО от 01.03.2011 № 86-ПП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4380,0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230,5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4610,5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4380,0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230,5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4610,5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МБО, Музей,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   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  ДК «Восход»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104539,3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61227,9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170547,2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104539,3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61059,8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4275,0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169874,1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развития учреждений культуры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 технической  базы муниципальных бюджетных учреждений культуры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9751,0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9751,0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9751,0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9751,0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культуры,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МБО; Музей;      ДК «Октябрь»; 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текущих ремонтов в учреждениях культуры,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097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условий, отвечающих современным требованиям, в 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161426,4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18521,0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179947,4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18521,0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18521,0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капитального ремонта здания ДК «Восход», да/нет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библиотек в части комплектования книжных фондов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Компл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ектование книжных фондов,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оснащение региональных и муниципальных музеев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1030,2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Оснащение МБУ «Историко-краеведческий музей Печенгского муниципального округа,%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Музей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проекта «Сопки.Семья»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1471,5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6028,3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1471,5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4553,9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26025,4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пространства «Сопки.Семья»,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МБО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Капитальный ремонт кровли и утепление фасада МБУ «КДЦ «Платформа» в рамках реализации мероприятий планов социального развития центров экономического роста субъектов Российской Федерации Арктической зоны РФ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51361,5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20971,4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1522,6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73855,5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51361,5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20971,4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1325,4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73658,3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капитальному ремонту кровли и утепление фасада МБУ «КДЦ «Платформа»,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202397,8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31326,2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4556,8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290783,5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40971,4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31129,0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4553,9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129157,0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44,4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306937,1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92554,1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9336,8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461330,7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52502,7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145510,7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92188,8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8828,9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299031,1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доступности и качества услуг дополнительного образования в сфере культуры и искусства. Совершенствование системы выявления и сопровождения одаренных детей, их специальной поддержки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Обеспечение предоставления услуг (работ) учреждениями дополнительного образования в сфере культуры и  искусства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50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услуг (работ) учреждениями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55722,6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55972,6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55721,2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55887,2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муниципального задания учреждениями дополнительного образования в сфере культуры,%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общеразвивающие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детей, осваивающих дополнительные предпрофессиональные программы,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2407,4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48148,6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2407,4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48148,6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муниц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Обеспечение сохран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ения заработной платы труда работников муниципальных учреждений образования, культуры, физической культуры и спорта на уровне, установленном указами Президента Российской Федерации от07.05.2012 № 597 «О мероприятиях по реализации государственной социальной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политики», от 01.06.2012 № 761 «О Национальной стратегии действий в интересах детей на 2012-2017 годы» и от 28.12.2012 № 1688 «О некоторых мерах по реализации государственной политики в сфере защиты детей-сирот и детей, оставшихся без попечения родителей»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30077,2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1583,0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31660,2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30077,2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1583,0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31660,2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2.1.2.2.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Реализация мер социальной поддержки отдельных категорий граждан, работающих в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муниципальных учреждениях образования и культуры, расположенных в сельских населенных пунктах или поселках городского типа Мурманской области, имеющих в соответств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ии с Законом Мурманской области от 27.12.2004 № 561-01-ЗМО «О мерах социальной поддержки отдельных категорий граждан, работающих в сельских населенных пунктах или поселках городского типа» право на установление повышенных на 25 процентов размеров тарифной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ставки, оклада (должностного оклада), установленного работнику по сравнению с тарифными ставками, окладами (должностными окладами) специалистов муниципальных учреждений образования и культуры, занимающихся этим видом деятельности в городских условиях, в со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ответствии с Перечнем должностей специалистов, работающих в государственных областных и муниципальных учреждениях, имеющих право на получение мер социальной поддержки и (или) установление повышенных размеров тарифных ставок, окладов (должностных окладов) в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соответствии с Законом Мурманской области «О мерах социальной поддержки отдельных категорий граждан, работающих в сельских населенных пунктах или поселках городского типа», утвержденным постановлением Правительства Мурманской области от 01.03.2011 № 86-ПП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80,5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610,5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3430,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180,5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610,5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9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2.1.2.3.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Повышение оплаты труда работников муниципальных учреждений в связи с доведением опла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ты труда до минимального размера оплаты труда, установленного федеральным законом от 19.06.2000 № 82-ФЗ «О минимальном размере оплаты труда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12234,0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643,9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12877,9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12234,0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643,9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12877,9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58130,0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104121,2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58128,6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104035,8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Создание условий для развития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бюджетных учреждений дополнительного образования в сфере культуры и искусства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11604,8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11604,8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11580,8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11580,8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Обеспечение развития и укрепления материально-технической базы учреждений дополнительного образования в сфере культуры и искусства,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Проведение текущих ремонтов в учреждениях дополнительного образования в сфере культуры и искусства,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виртуальных концертных залов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1116,5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1116,5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созданных виртуальных концертных залов,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11660,7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12721,3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11636,7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12697,3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3. Создание благоприятных условий для выявления, развития и поддержки одаренных детей в различных областях творческой деятельности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участия учащихся детских музыкальных и художественных школ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конкурсах, фестивалях, выставках различного уровня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Число участников творческих конкурсов, фестивалей, выставок,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ДМШ, ДХШ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70397,4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117449,2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45741,2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70372,0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117339,8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«Развитие культуры»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bCs/>
                <w:lang w:eastAsia="ru-RU"/>
              </w:rPr>
              <w:t xml:space="preserve">Сохранение, развитие и формирование культурных традиций, создание единого социокультурного пространства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Сохранение и развитие народных и культурных традиций путем привлечения населения к участию в праздничных мероприятиях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культурно-массовых, праздничных мероприятий и мероприятий, посвященных памятным датам Российской Федерации, Мурманской области,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15945,3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15945,3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15770,1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15770,1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культурно-массовых, праздничных  мероприятий,  и мероприятий, посвященных памятным датам Российской Федерации, Мурманской области, Печенгского муниципального округа, шт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отдел КСиМП,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досуговой деятельности для лиц с ограниченными возможностями здоровья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280,0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мероприятий для лиц с ограниченными возможностями здоровья,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69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«Восход»,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ДК «Октябрь»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6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16225,3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16225,3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16050,1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16050,1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gridSpan w:val="13"/>
            <w:shd w:val="clear" w:color="auto" w:fill="auto"/>
            <w:tcW w:w="1589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2. Сохранение, использование и популяризация объектов культурного наследия (памятников истории культуры), находящихся в собственности округа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vAlign w:val="center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Сохранение, благоустройство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паспортизация памятников культурного наследия регионального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памятников культурного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наследия,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(не требует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48"/>
        </w:trPr>
        <w:tc>
          <w:tcPr>
            <w:shd w:val="clear" w:color="auto" w:fill="auto"/>
            <w:tcW w:w="81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5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мероприятий по обустройству и восстановлению воинских захоронений, направленных на увековечивание памяти погибших при защите Отечества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обустроенных и восстановленных воинских захоронений,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3228,1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16812,3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19453,4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2641,1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16637,1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19278,2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56204,4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352678,3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179763,8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9586,8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598233,3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56204,4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191251,9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179197,9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8994,9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435649,1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728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«Культура»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 Не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обходим более глубокий анализ причин отклонений от плана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 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корректировки показателей (индикаторов) и/или выделении дополнительного финансирования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4. Муниципальная программа Печенгского муниципального округа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tabs>
          <w:tab w:val="left" w:pos="0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«Обеспечение общественного порядка и безопасности населения» 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ind w:left="502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18"/>
          <w:szCs w:val="18"/>
        </w:rPr>
      </w:pPr>
      <w:r>
        <w:rPr>
          <w:sz w:val="18"/>
          <w:szCs w:val="18"/>
        </w:rPr>
      </w:r>
      <w:r>
        <w:rPr>
          <w:sz w:val="18"/>
          <w:szCs w:val="18"/>
        </w:rPr>
      </w:r>
      <w:r>
        <w:rPr>
          <w:sz w:val="18"/>
          <w:szCs w:val="18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«Обеспечение общественного порядка и безопасности населения» на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Печенского муниципального округа от 03.11.202</w:t>
      </w:r>
      <w:r>
        <w:rPr>
          <w:rFonts w:ascii="Times New Roman" w:hAnsi="Times New Roman" w:cs="Times New Roman"/>
          <w:sz w:val="24"/>
          <w:szCs w:val="24"/>
        </w:rPr>
        <w:t xml:space="preserve">3 № 1628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</w:t>
        <w:br/>
        <w:t xml:space="preserve">от 1</w:t>
      </w:r>
      <w:r>
        <w:rPr>
          <w:rFonts w:ascii="Times New Roman" w:hAnsi="Times New Roman" w:cs="Times New Roman"/>
          <w:sz w:val="24"/>
          <w:szCs w:val="24"/>
        </w:rPr>
        <w:t xml:space="preserve">4.</w:t>
      </w:r>
      <w:r>
        <w:rPr>
          <w:rFonts w:ascii="Times New Roman" w:hAnsi="Times New Roman" w:cs="Times New Roman"/>
          <w:sz w:val="24"/>
          <w:szCs w:val="24"/>
        </w:rPr>
        <w:t xml:space="preserve">0</w:t>
      </w:r>
      <w:r>
        <w:rPr>
          <w:rFonts w:ascii="Times New Roman" w:hAnsi="Times New Roman" w:cs="Times New Roman"/>
          <w:sz w:val="24"/>
          <w:szCs w:val="24"/>
        </w:rPr>
        <w:t xml:space="preserve">3.2024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380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22.05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 № 835 и от 09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978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– повышение безопасности жизнедеятельности населения на</w:t>
      </w:r>
      <w:r>
        <w:rPr>
          <w:rFonts w:ascii="Times New Roman" w:hAnsi="Times New Roman" w:cs="Times New Roman"/>
          <w:sz w:val="24"/>
          <w:szCs w:val="24"/>
        </w:rPr>
        <w:t xml:space="preserve">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firstLine="709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99"/>
        <w:numPr>
          <w:ilvl w:val="0"/>
          <w:numId w:val="49"/>
        </w:numPr>
        <w:ind w:left="0" w:right="0" w:firstLine="709"/>
        <w:jc w:val="both"/>
        <w:spacing w:after="0" w:line="240" w:lineRule="auto"/>
        <w:widowControl w:val="off"/>
        <w:tabs>
          <w:tab w:val="left" w:pos="-793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безопасности дорожного движения и снижение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99"/>
        <w:numPr>
          <w:ilvl w:val="0"/>
          <w:numId w:val="49"/>
        </w:numPr>
        <w:ind w:left="0" w:right="0" w:firstLine="709"/>
        <w:jc w:val="both"/>
        <w:spacing w:after="0" w:line="240" w:lineRule="auto"/>
        <w:widowControl w:val="off"/>
        <w:tabs>
          <w:tab w:val="left" w:pos="-793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общественной безопасности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99"/>
        <w:numPr>
          <w:ilvl w:val="0"/>
          <w:numId w:val="49"/>
        </w:numPr>
        <w:ind w:left="0" w:right="0" w:firstLine="709"/>
        <w:jc w:val="both"/>
        <w:spacing w:after="0" w:line="240" w:lineRule="auto"/>
        <w:widowControl w:val="off"/>
        <w:tabs>
          <w:tab w:val="left" w:pos="-793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защиты населения и территорий от чрезвычайных ситуаций.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99"/>
        <w:numPr>
          <w:ilvl w:val="0"/>
          <w:numId w:val="49"/>
        </w:numPr>
        <w:ind w:left="0" w:right="0" w:firstLine="709"/>
        <w:jc w:val="both"/>
        <w:spacing w:after="0" w:line="240" w:lineRule="auto"/>
        <w:widowControl w:val="off"/>
        <w:tabs>
          <w:tab w:val="left" w:pos="-7938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Исполнение Программы осуществляется путем реализации подпрограмм, сформированных исходя из необходимости достижения целей и задач муниципальной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четыре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50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1 «Повышение безопасности дорожного движения и снижение дорожно-транспортного травматизма»;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50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2 «Профилактика правонарушений»;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50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3 «Обеспечение защиты населения и территорий от чрезвычайных ситуаций»;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50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4 «Противодействие терроризму и профилактика экстремизма».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32284,2</w:t>
      </w:r>
      <w:r>
        <w:rPr>
          <w:rFonts w:ascii="Times New Roman" w:hAnsi="Times New Roman" w:cs="Times New Roman"/>
          <w:b/>
          <w:sz w:val="24"/>
          <w:szCs w:val="24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тыс. рублей, средства бюджета округа. В течение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30506,2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областного бюджета 3</w:t>
      </w:r>
      <w:r>
        <w:rPr>
          <w:rFonts w:ascii="Times New Roman" w:hAnsi="Times New Roman" w:cs="Times New Roman"/>
          <w:sz w:val="24"/>
          <w:szCs w:val="24"/>
        </w:rPr>
        <w:t xml:space="preserve">189,8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2</w:t>
      </w:r>
      <w:r>
        <w:rPr>
          <w:rFonts w:ascii="Times New Roman" w:hAnsi="Times New Roman" w:cs="Times New Roman"/>
          <w:sz w:val="24"/>
          <w:szCs w:val="24"/>
        </w:rPr>
        <w:t xml:space="preserve">7316,4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ходе реализации Программы освоены средства в размере 2</w:t>
      </w:r>
      <w:r>
        <w:rPr>
          <w:rFonts w:ascii="Times New Roman" w:hAnsi="Times New Roman" w:cs="Times New Roman"/>
          <w:sz w:val="24"/>
          <w:szCs w:val="24"/>
        </w:rPr>
        <w:t xml:space="preserve">8769,1 тыс. рублей, что составляет 94,3</w:t>
      </w:r>
      <w:r>
        <w:rPr>
          <w:rFonts w:ascii="Times New Roman" w:hAnsi="Times New Roman" w:cs="Times New Roman"/>
          <w:sz w:val="24"/>
          <w:szCs w:val="24"/>
        </w:rPr>
        <w:t xml:space="preserve">%. Не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1737,1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«Повышение безопасности дорожного движения и снижение дорожно-транспортного травматизма».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повышение безопасности дорожного движения и снижение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1"/>
        </w:numPr>
        <w:ind w:left="0" w:right="-5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1"/>
        </w:numPr>
        <w:ind w:left="0" w:right="-5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Формирование безопасного поведения участников дорожного движения и предупреждение детского дорожно-транспортного травматизма.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мероприятий подпрограммы в течение 2024 года: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2"/>
        </w:numPr>
        <w:ind w:left="0"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проведено 5 заседаний МВК БДД Печенгского муниципального округа (08 февраля, 16 мая, 18 июля, 05 сентября и 14 ноября), на которых было рассмотрено в общей сложности 26 вопросов.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2"/>
        </w:numPr>
        <w:ind w:left="0"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осуществлено </w:t>
      </w:r>
      <w:r>
        <w:rPr>
          <w:rFonts w:ascii="Times New Roman" w:hAnsi="Times New Roman" w:cs="Times New Roman"/>
          <w:sz w:val="24"/>
          <w:szCs w:val="24"/>
        </w:rPr>
        <w:t xml:space="preserve">информирование населения о состоянии аварийности на дорогах Печенгского муниципального округа, о мерах, принимаемых по ее снижению, в том числе о состоянии детского дорожно-транспортного травматизма – 32;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2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освещение в СМИ проводимых мероприятий по совершенствованию системы обеспечения безопасности дорожного движения – 41;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2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проводится ежеквартальный мониторинг состояния аварийности на территории Печенгского муниципального округа и принимаемых мерах по ее снижению (заседания </w:t>
        <w:br/>
        <w:t xml:space="preserve">МВК БДД Печенгского муниципального округа);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2024 году, в рамках подпрограммы реализовывались мероприятия, направленные на формирование безопасного поведения участников дорожног</w:t>
      </w:r>
      <w:r>
        <w:rPr>
          <w:rFonts w:ascii="Times New Roman" w:hAnsi="Times New Roman" w:cs="Times New Roman"/>
          <w:sz w:val="24"/>
          <w:szCs w:val="24"/>
        </w:rPr>
        <w:t xml:space="preserve">о движения и предупреждение детского дорожно-транспортного травматизма. Координацию работы осуществляет отдел образования и муниципальный центр профилактики детского дорожно-транспортного травматизма в Печенгском муниципальном округе на базе МБУ ДО ДДТ №1.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9 школах округа, за исключением МБОУ СОШ №11 </w:t>
      </w:r>
      <w:r>
        <w:rPr>
          <w:rFonts w:ascii="Times New Roman" w:hAnsi="Times New Roman" w:cs="Times New Roman"/>
          <w:sz w:val="24"/>
          <w:szCs w:val="24"/>
        </w:rPr>
        <w:t xml:space="preserve">нп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Раякоски, в 2024/25 учебном году организованы 9 отрядов ЮИД (117 чел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) и 3 отряда помощников ЮИД в МБДОУ № 1,7,12 (24 ч</w:t>
      </w:r>
      <w:r>
        <w:rPr>
          <w:rFonts w:ascii="Times New Roman" w:hAnsi="Times New Roman" w:cs="Times New Roman"/>
          <w:sz w:val="24"/>
          <w:szCs w:val="24"/>
        </w:rPr>
        <w:t xml:space="preserve">ел</w:t>
      </w:r>
      <w:r>
        <w:rPr>
          <w:rFonts w:ascii="Times New Roman" w:hAnsi="Times New Roman" w:cs="Times New Roman"/>
          <w:sz w:val="24"/>
          <w:szCs w:val="24"/>
        </w:rPr>
        <w:t xml:space="preserve">.). В подведомственных образовательных организациях проведены акции «Засветись», «Заполярный светлячок», «Полицейский Дед Мороз». В ходе проведения акций обучающимся и воспитанникам были выданы светоотражатели в кол-ве 1270 шт.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Проведены ко</w:t>
      </w:r>
      <w:r>
        <w:rPr>
          <w:rFonts w:ascii="Times New Roman" w:hAnsi="Times New Roman" w:cs="Times New Roman"/>
          <w:sz w:val="24"/>
          <w:szCs w:val="24"/>
        </w:rPr>
        <w:t xml:space="preserve">нкурсы плакатов, рисунков «Наша улица», «Внимание-дорога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, сочинений, викторин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«Знаешь ли ты ПДД?», «Жёлтый, красный, зелёный»; дидактическая игра: «Жизнь прекрасна, когда безопасна»;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точечны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профилактически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рейд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вблизи образовательных организаций, в том числе с привлечением Родительского патруля;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Проведены о</w:t>
      </w:r>
      <w:r>
        <w:rPr>
          <w:rFonts w:ascii="Times New Roman" w:hAnsi="Times New Roman" w:cs="Times New Roman"/>
          <w:sz w:val="24"/>
          <w:szCs w:val="24"/>
        </w:rPr>
        <w:t xml:space="preserve">ткрытые занятия «Юный пешеход», КВН «Знатоки дорожных правил», познавательные занятия для воспитанников ДОУ «Зачем нужны дорожные знаки»;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Уроки по основам безопасности жизнедеятельности «Безопасность на дорогах ради безопасности жизни» с просмотром видеороликов, предоставленных ОГИБДД, размещение памяток и информации по БДД на официальных сайтах школ;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Художественно-продуктивная деятельность с воспитанниками (рисование, аппликация, создание макетов).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Музыкально спортивный праздник «Путешествие в страну Светофорию», спортивное соревнование «Дорога и дети», квест – игра по ПДД;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Экскурсия по улицам «Дорожные знаки поселка», для обучающихся 1-х классов прогулка по пешеходным маршрутам «Дорога в школу»;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Просмотры мультфильмов по безопасности дорожного движения «Уроки тетушки совы», «Смешарики».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Проведение «Минуток безопасности» по соблюдению Правил дорожного движения.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Выездная сессия «Лаборатории безопасности» прошла в июне 2024 года на базе МБУ ДО ДДТ №1 для 30 детей. Обучение проходило по программе «Эрудиты ПДД».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1204 обучающихся Печенгского округа приняли участие в онлайн-олимпиаде «Безопасные дороги» для учащихся 1–9 классов.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 муниципальный этап фестиваля детского художественного творчества «Дорога и дети», в котором приняло участие 89 обучающихся.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Для обучающихся начальных классов отрядами ЮИД были проведены экскурсии по улицам п. Никель и г. Заполярный «Дорожные знаки поселка/города».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Информация</w:t>
      </w:r>
      <w:r>
        <w:rPr>
          <w:rFonts w:ascii="Times New Roman" w:hAnsi="Times New Roman" w:cs="Times New Roman"/>
          <w:sz w:val="24"/>
          <w:szCs w:val="24"/>
        </w:rPr>
        <w:t xml:space="preserve"> о проводимых акциях по данному направлению размещалась на сайтах отдела образования, образовательных учреждений, в социальных сетях «В контакте», в группах «Nikel», «ЗВ». Мероприятия были организованы и проведены совместно с ОГАИ ОМВД России «Печенгский».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Заключено согла</w:t>
      </w:r>
      <w:r>
        <w:rPr>
          <w:rFonts w:ascii="Times New Roman" w:hAnsi="Times New Roman" w:cs="Times New Roman"/>
          <w:sz w:val="24"/>
          <w:szCs w:val="24"/>
        </w:rPr>
        <w:t xml:space="preserve">шение о сотрудничестве между Муниципальным центром профилактики детского дорожно-транспортного травматизма в Печенгском муниципальном округе на базе МБУ ДО ДДТ №1 (далее - МБУ ДО ДДТ № 1) и ОГИБДД ОМВД России «Печенгский» с учетом совместного плана работы.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  <w:suppressLineNumbers w:val="0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«Профилактика правонарушений»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общественной безопасности населения.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4"/>
        </w:num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обеспечения правопорядка в общественных местах;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4"/>
        </w:num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Развитие системы профилактики правонарушений.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Объем финансирования по подпрограмме 2 в течение 2024 года составил 3199,8 тыс. руб. В ходе реализации подпрограммы освоение средств составило 99,7%.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реализации мероприятий подпрограммы в течение 2024 года: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организована </w:t>
      </w:r>
      <w:r>
        <w:rPr>
          <w:rFonts w:ascii="Times New Roman" w:hAnsi="Times New Roman" w:cs="Times New Roman"/>
          <w:sz w:val="24"/>
          <w:szCs w:val="24"/>
        </w:rPr>
        <w:t xml:space="preserve">деятельность МВК по профилактике правонарушений в Печенгском муниципальном округе, в 2024 году проведено 4 заседаний комиссии;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периодическое освещение в СМИ результатов деятельности МВК, работы участковых уполномоченных полиции по обеспечению общественного порядка на обслуживаемой территории – 4;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настройка и аренда каналов связи систем уличного видеонаблюдения в пгт. Никель, </w:t>
        <w:br/>
        <w:t xml:space="preserve">г. Заполярный – 200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работа районного оперативного штаба профилактике безнадзорности, безпризорности и правонарушений несовершеннолетних организована – 2 заседания;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проводится постоянный мониторинг мероприятий, направленных на повышение эффективности работы по профилактике правонарушений в Печенгском муниципальном округе (заседания МВК);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предупреждение безнадзорности, правонарушений и антиобщественных действий несовершеннолетних, проведение региональных профилактических операций с несовершеннолетними – проведено 26 заседаний КДН и ЗП;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обеспечение функционирования комиссии по делам несовершеннолетних и защите их прав – финансирование в объеме 3189,8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проводится социально-педагогическая реабилитация несовершеннолетних, находящихся в социально опасном положении;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организована досуговая деятельность несовершеннолетних;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организована работа городских и выездных лагерей, создание временных рабочих мест для обучающихся в целях занятости несовершеннолетних в каникулярное время.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  <w:suppressLineNumbers w:val="0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«Обеспечение защиты населения и территорий от чрезвычайных ситуаций»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обеспечение защиты населения и территорий от чрезвычайных ситуаций.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6"/>
        </w:numPr>
        <w:ind w:left="0" w:righ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подготовки населения по вопросам гражданской обороны, способам защиты и действиям в чрезвычайных ситуациях; обеспечение пожарной безопасности на территории муниципального образования;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6"/>
        </w:numPr>
        <w:ind w:left="0" w:right="0" w:firstLine="709"/>
        <w:jc w:val="both"/>
        <w:spacing w:after="0" w:line="240" w:lineRule="auto"/>
        <w:tabs>
          <w:tab w:val="left" w:pos="993" w:leader="none"/>
          <w:tab w:val="left" w:pos="1276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Повышение готовности сил и средств гражданской обороны, муниципального звена РСЧС.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 ф</w:t>
      </w:r>
      <w:r>
        <w:rPr>
          <w:rFonts w:ascii="Times New Roman" w:hAnsi="Times New Roman" w:cs="Times New Roman"/>
          <w:sz w:val="24"/>
          <w:szCs w:val="24"/>
        </w:rPr>
        <w:t xml:space="preserve">инансирование </w:t>
      </w:r>
      <w:r>
        <w:rPr>
          <w:rFonts w:ascii="Times New Roman" w:hAnsi="Times New Roman" w:cs="Times New Roman"/>
          <w:sz w:val="24"/>
          <w:szCs w:val="24"/>
        </w:rPr>
        <w:t xml:space="preserve">реализации мероприятий </w:t>
      </w:r>
      <w:r>
        <w:rPr>
          <w:rFonts w:ascii="Times New Roman" w:hAnsi="Times New Roman" w:cs="Times New Roman"/>
          <w:sz w:val="24"/>
          <w:szCs w:val="24"/>
        </w:rPr>
        <w:t xml:space="preserve">по подпрограмме 3 первоначально были предусмотрены денежные средства в размере 26224,4 тыс. руб. В течение 2024 года объем финансирования изменялся и составил 2447</w:t>
      </w:r>
      <w:r>
        <w:rPr>
          <w:rFonts w:ascii="Times New Roman" w:hAnsi="Times New Roman" w:cs="Times New Roman"/>
          <w:sz w:val="24"/>
          <w:szCs w:val="24"/>
        </w:rPr>
        <w:t xml:space="preserve">0,8 тыс. руб. В ходе реализации</w:t>
      </w:r>
      <w:r>
        <w:rPr>
          <w:rFonts w:ascii="Times New Roman" w:hAnsi="Times New Roman" w:cs="Times New Roman"/>
          <w:sz w:val="24"/>
          <w:szCs w:val="24"/>
        </w:rPr>
        <w:t xml:space="preserve"> в 2024 году освоение бюджетных средств подпрограммы составляет 92,9 %.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2024 году выполнены следующие мероприятия: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 конкурс детского рисунка в общеобразовательных учреждениях по правилам безопасного поведения на водных объектах;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проведены работы по обеспечению пожарной безопасности в период летнего пожароопасного периода;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обеспечено функционирование МКУ «ЕДДС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Средства, предусмотренные на реализацию п.3.2.4 (</w:t>
      </w:r>
      <w:r>
        <w:rPr>
          <w:rFonts w:ascii="Times New Roman" w:hAnsi="Times New Roman" w:cs="Times New Roman"/>
          <w:sz w:val="24"/>
          <w:szCs w:val="24"/>
        </w:rPr>
        <w:t xml:space="preserve">«О</w:t>
      </w:r>
      <w:r>
        <w:rPr>
          <w:rFonts w:ascii="Times New Roman" w:hAnsi="Times New Roman" w:cs="Times New Roman"/>
          <w:sz w:val="24"/>
          <w:szCs w:val="24"/>
        </w:rPr>
        <w:t xml:space="preserve">беспечение функционирования МКУ «ЕДДС Печенгского муниципального округа»)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 были направлены на повышение КПД, эффективности работы учреждения, на сокращение сроков реагирования, приема и передачи </w:t>
      </w:r>
      <w:r>
        <w:rPr>
          <w:rFonts w:ascii="Times New Roman" w:hAnsi="Times New Roman" w:cs="Times New Roman"/>
          <w:sz w:val="24"/>
          <w:szCs w:val="24"/>
        </w:rPr>
        <w:t xml:space="preserve">информации между звеньями РСЧС, совершенствование на территории Печенгского муниципального округа системы-112.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«Противодействие терроризму и профилактика экстремизма»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</w:t>
      </w:r>
      <w:r>
        <w:rPr>
          <w:rFonts w:ascii="Times New Roman" w:hAnsi="Times New Roman" w:cs="Times New Roman"/>
          <w:sz w:val="24"/>
          <w:szCs w:val="24"/>
        </w:rPr>
        <w:t xml:space="preserve">дпрограммы – 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Задачи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8"/>
        </w:numPr>
        <w:ind w:left="0" w:right="-5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Совершенствование системы профилактики терроризма и экстремизма;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8"/>
        </w:numPr>
        <w:ind w:left="0" w:right="-5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Повышение антитеррористической защищенности объектов, находящихся в собственности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ф</w:t>
      </w:r>
      <w:r>
        <w:rPr>
          <w:rFonts w:ascii="Times New Roman" w:hAnsi="Times New Roman" w:cs="Times New Roman"/>
          <w:sz w:val="24"/>
          <w:szCs w:val="24"/>
        </w:rPr>
        <w:t xml:space="preserve">инансирование </w:t>
      </w:r>
      <w:r>
        <w:rPr>
          <w:rFonts w:ascii="Times New Roman" w:hAnsi="Times New Roman" w:cs="Times New Roman"/>
          <w:sz w:val="24"/>
          <w:szCs w:val="24"/>
        </w:rPr>
        <w:t xml:space="preserve">реализации мероприятий</w:t>
      </w:r>
      <w:r>
        <w:rPr>
          <w:rFonts w:ascii="Times New Roman" w:hAnsi="Times New Roman" w:cs="Times New Roman"/>
          <w:sz w:val="24"/>
          <w:szCs w:val="24"/>
        </w:rPr>
        <w:t xml:space="preserve"> по подпрограмме 4 </w:t>
      </w:r>
      <w:r>
        <w:rPr>
          <w:rFonts w:ascii="Times New Roman" w:hAnsi="Times New Roman" w:cs="Times New Roman"/>
          <w:sz w:val="24"/>
          <w:szCs w:val="24"/>
        </w:rPr>
        <w:t xml:space="preserve">первоначально были предусмотрены денежные средства в размере 2860,0 тыс. руб. В течение 2024 года объем финансирования изменялся и составил 2835,6 тыс. руб. В ходе реализации программы в 2024 году освоение бюджетных средств подпрограммы составляет 100,0 %.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</w:t>
      </w:r>
      <w:r>
        <w:rPr>
          <w:rFonts w:ascii="Times New Roman" w:hAnsi="Times New Roman" w:cs="Times New Roman"/>
          <w:sz w:val="24"/>
          <w:szCs w:val="24"/>
        </w:rPr>
        <w:t xml:space="preserve">ах п.4.1.2 подпрограммы 4 «Противодействие терроризму и профилактика экстремизма» было приобретено 900 плакатов (А3) и 1650 плакатов (А4), которые были переданы в отдел образования, отдел культуры, спорта и молодежной политики и в ОМВД России «Печенгский».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п.4.2.1 подпрограммы 4 «Противодействие терроризму и профилактика экстремизма» муниципальной программы «Обеспечение общественного п</w:t>
      </w:r>
      <w:r>
        <w:rPr>
          <w:rFonts w:ascii="Times New Roman" w:hAnsi="Times New Roman" w:cs="Times New Roman"/>
          <w:sz w:val="24"/>
          <w:szCs w:val="24"/>
        </w:rPr>
        <w:t xml:space="preserve">ор</w:t>
      </w:r>
      <w:r>
        <w:rPr>
          <w:rFonts w:ascii="Times New Roman" w:hAnsi="Times New Roman" w:cs="Times New Roman"/>
          <w:sz w:val="24"/>
          <w:szCs w:val="24"/>
        </w:rPr>
        <w:t xml:space="preserve">ядка и безопасности населения» на 2024 - 2026 годы первоначально были предусмотрены денежные средства в размере 2830,0 тыс. руб. на мероприятия по усилению антитеррористической защищенности объектов, находящихся в ведении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2024 года объем финансирования был уточнен и составил 2805,6 тыс. руб.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Денежные средства были направлены: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МБДОУ № 2 на установку ограждения. По результатам электронного аукциона, заключен договор от 12.03.24 № 0149600001524000013 на установку ограждения в МБДОУ № 2 на сумму 2476,0 тыс. руб. Экономия по результатам торгов составила 23,77 тыс. руб.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5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МБОУ СОШ № 3 на ремонт и замену системы видеонаблюдения. МБОУ СОШ № 3 заключен договор от 18</w:t>
      </w:r>
      <w:r>
        <w:rPr>
          <w:rFonts w:ascii="Times New Roman" w:hAnsi="Times New Roman" w:cs="Times New Roman"/>
          <w:sz w:val="24"/>
          <w:szCs w:val="24"/>
        </w:rPr>
        <w:t xml:space="preserve">.01.2024 № 130/ВК/2024 на поставку оборудования системы видеонаблюдения на сумму 199,6 тыс. руб. и договор от 18.01.2024 № 131/ВК/2024 на замену и установку видеокамер на сумму 129,825 тыс. руб. После заключения договоров экономия составила 0,575 тыс. руб.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исполнения программы: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60"/>
        </w:numPr>
        <w:ind w:left="0"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установлено новое ограждение по периметру МБДОУ №2 на сумму 2476,0 тыс. руб.;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60"/>
        </w:numPr>
        <w:ind w:left="0"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МБОУ СОШ №3 заменена система видеонаблюдения на общую сумму 329,425 тыс. руб.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Успешная реализация мероприятий подпрограммы способствовала устранению предпосылок возникновения чрезвычайных ситуаций техногенного характера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2024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«Обеспечение общественно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го порядка и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безопасности населения»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на 2024 - 2026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524"/>
        <w:gridCol w:w="848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 1. 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безопасности дорожного движения и снижение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Совершенствование системы обеспечения безопасности дорожного движения, дорожных условий и внедрение технических средств регулирования дорожного движения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обеспечению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обеспечению безопасности дорожного движения,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аварийности на территории Печенгского муниципального округа с целью выявления аварийно-опасных участков улично-дорожной сети. Разработка планов мероприятий по ликвидации очагов аварийности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аварийности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МВК, отделение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ГИБДД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комиссионных проверок улично-дорожной сети Печенгского муниципального округа, автобусных маршрутов и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остановок общественного транспорта, дорожной разметки, дорожных знаков на соответствие требованиям безопасности дорожного движения и нормативным документам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комиссионных проверок улично-дорожной сети Печенгского муниципального округа, автобусных маршрутов и остановок общественного транспорта, дорожной разметки,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дорожных знаков на соответствие требованиям безопасности дорожного движения и нормативным документам,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отделение ГИБДД ОМВД России «Печенгский», отдел ГО, ЧС и ПБ, КУИ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 ОСиЖКХ, МБУ «НДС», МКУ «УБиР», МБУ «ДЭСП», МБУ «РЭС»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Устранение нарушений требований законодательства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решений суда по организации работ по устранению нарушений требований законодательства по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МБУ «НДС», МКУ «УБиР», МБУ «ДЭСП», МБУ «РЭС»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Формирование безопасного поведения участников дорожного движения и предупреждение детского дорожно-транспортного травматизма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в образовательных учреждениях мероприятий, направленных на профилактику детского дорожно-транспортного травматизма, формирование у детей навыков безопасного поведения на дорогах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детского дорожно-транспортного травматизма,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образования, отделение ГИБДД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проводимых мероприятиях по совершенствованию системы обеспечения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Освещение в СМИ проводимых мероприятий по совершенствованию системы обеспечения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отделение ГИБДД ОМВД Росии «Печенгский», отдел ГО, ЧС и ПБ, МАУ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«Информцентр»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светоотражающих фликеров для обучающихся начальных классов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светоотражающими фликерами обучающихся начальных классов,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работы Юных инспекторов дорожного движения при образовательных учреждениях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безопасности дорожного движения среди учащихся образовательных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компетентности преподавательского состава образовательных организаций по формированию у детей навыков безопасного участия в дорожном движении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у детей навыков безопасного участия в дорожном движении,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Оформление стендов, наглядных пособий по безопасности дорожного движения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стендов, наглядных пособий по безопасности дорожного движения,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ПОДПРОГРАММА 2. «Профилактика правонарушений»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  <w:t xml:space="preserve">Повышение общественной безопасности населения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1. Создание условий для обеспечения правопорядка в общественных местах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МВК по профилактике правонарушений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заседаний МВК по профилактике правонарушений в Печенгском муниципальном округе,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Периодическое освещение в СМИ результатов деятельности МВК,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работы участковых уполномоченных полиции по обеспечению общественного порядка на обслуживаемой территории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Информирование населения о состоянии преступности на территории Печенгского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ПБ; МАУ 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«Информцентр»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Развитие системы профилактики правонарушений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мероприятий, направленных на повышение эффективности работы по профилактике правонарушений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Анализ эффективности работы по профилактике правонарушений в Печенгском муниципальном округе,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ГОБУ «ЦЗН Печенгского района», ОМВД России «Печенгский», отдел ГО, ЧС и ПБ, 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профилактике правонарушений среди несовершеннолетних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несовершеннолетних, привлеченных к административной ответственности за совершение правонарушений, чел.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46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30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КДН и ЗП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межведомственных операций в сфере профилактики безнадзорности и правонарушений, совершенных несовершеннолетними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преступлений и правонарушений, совершенных несовершеннолетними,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Комиссия ПДН и ЗП, ОМВД России «Печенгский»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лиц, осужденных без изоляции от общества, о возможности и условиях прохождения социальной реабилитации и социализации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повторно совершенных преступлений,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ФКУ УИИ УФСИН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22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миграционной составляющей на рынке труда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Организация и проведение мониторинга миграционной составляющей на рынке труда,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ОМВД России «Печенгский», ОРН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Закона Мурманской области «О комиссиях по делам несовершеннолетних и защите их прав в Мурманской области»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3181,1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1,1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деятельности комиссии по делам несовершеннолетних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Комиссия ПДН и ЗП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Информационно-пропагандистское сопровождение профилактики преступлений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Приобретение печатной продукции профилактической направленности,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80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290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Создание комплексной системы оказания содействия в получении юридической, социальной и психологической помощи лицам, в отношении которых применяется пробация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Оказание содействия в получении юридической, социальной и психологической помощи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Организация деятельности по оказанию содействия лицам, в отношении которых применяется пробация, в восстановлении и формировании социально-полезных связей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Оказание содействия в  восстановлении и формировании социально-полезных связей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2.2.10.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условий для привлечения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предоставлению социальных услуг лицам, в отношении которых применяется пробация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Прив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лечение организаций различных организационно-правовых форм, волонтерских и зарегистрированных религиозных организаций, индивидуальных предпринимателей к деятельности по предоставлению социальных услуг лицам, в отношении которых применяется пробация,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4"/>
                <w:szCs w:val="24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ФКУ УИИ УФСИН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3191,1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3199,8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3191,1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  <w:t xml:space="preserve">ПОДПРОГРАММА 3. «Обеспечение защиты населения и территорий от чрезвычайных ситуаций»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spacing w:val="1"/>
                <w:lang w:eastAsia="ru-RU"/>
              </w:rPr>
              <w:t xml:space="preserve">Обеспечение защиты населения и территорий от чрезвычайных ситуаций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1. Совершенствование системы подготовки населения по вопросам гражданской обороны, способам защиты и действиям в чрезвычайных ситуациях. Обеспечение пожарной безопасности на территории муниципального образования.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и оснащение учебно-консультационного пункта по ГО и ЧС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Доля обученного населения действиям при ГО и ЧС, %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90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Установка в местах массового отдыха людей на водных объектах наглядной агитации по профилактике несчастных случаев на воде, пропаганде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установленной наглядной агитации с разъяснением правил на водных объектах,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конкурсов детского рисунка в общеобразовательных учреждениях по правилам безопасности поведения на водных объектах (в т.ч. приобретение расходных материалов, информационных стендов,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подарочных наборов и прочих материалов, необходимых для проведения конкурса)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конкурсов детского рисунка в общеобразовательных учреждениях по правилам безопасности поведения на водных объектах,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работ по обеспечению пожарной безопасности в период летнего пожароопасного периода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Предупреждение гибели людей и повреждения имущества,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7"/>
        </w:trPr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Укрепление противопожарного состояния учреждений, жилого фонда, территории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5525,7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5525,7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3822,7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3822,7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69,2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69,2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Недопущение распространения огня (при лесном пожаре) на жилые постройки,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1"/>
        </w:trPr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Наличие исправной пожарной сигнализации,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ДМШ № 1; ДМШ №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5525,7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5525,7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3822,7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3822,7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69,2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69,2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мероприятие 2. Повышение готовности сил и средств гражданской обороны, муниципального звена РСЧС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противопожарного, спасательного оборудования, СИЗ и другого имущества для создания резерва администрации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84,8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Наличие противопожарного спасательного оборудования, резервного запаса питьевой воды, СИЗ для оснащения волонтеров при тушении лесных пожаров,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и установка сетевых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-камер АПК «Безопасный город»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600,0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приобретенных и установленных сетевых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val="en-US" w:eastAsia="ru-RU"/>
              </w:rPr>
              <w:t xml:space="preserve">IP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-камер,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10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системы информирования и оповещения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55,2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55,2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55,2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55,2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Поддержание в рабочем состоянии системы МАСО,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МКУ «ЕДДС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18205,1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18205,1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18179,7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18179,7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Повышение готовности органов местного самоуправления и служб муниципального округа к реагированию на угрозы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возникновения ЧС (происшествий), эффективности взаимодействия привлекаемых сил и средств РСЧС,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МКУ «ЕДДС»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18945,1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18945,1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18919,6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18919,6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4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24470,8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22742,4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22742,4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4. «Противодействие терроризму и профилактика экстремизма»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Совершенствование системы профилактических мер антитеррористической, противоэкстремистской направленности, формирование толерантной среды на основе ценностей многонационального российского общества, принципов соблюдения прав и свобод человека.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Совершенствование системы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деятельности антитеррористической комиссии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заседаний антитеррористической комиссии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Информационно-пропагандистское сопровождение профилактики терроризма и экстремизма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размещенной информации по профилактике терроризма и экстремизма в СМИ, на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мониторинга политических, социально-экономических и иных процессов, оказывающих влияние на ситуацию в области противодействия терроризму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публикаций о порядке действий при угрозе возникновения террористических актов посредством размещения информации в СМИ, на сайте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проверок объектов массового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пребывания граждан на соответствие установленным нормам антитеррористической защищенности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проверок объектов массового пребывания граждан на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соответствие установленным нормам антитеррористической защищенности,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Информирование жителей Печенгского муниципального округа о порядке действий при угрозе возникновения террористических актов, посредством размещения информации в СМИ, на сайте муниципального округа,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ПБ;                    МАУ </w:t>
            </w:r>
            <w:r>
              <w:rPr>
                <w:rFonts w:ascii="Times New Roman" w:hAnsi="Times New Roman" w:eastAsia="Times New Roman" w:cs="Times New Roman"/>
                <w:spacing w:val="1"/>
                <w:sz w:val="19"/>
                <w:szCs w:val="19"/>
                <w:lang w:eastAsia="ru-RU"/>
              </w:rPr>
              <w:t xml:space="preserve">«Информцентр»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учебных тренировок с персоналом подведомственных учреждений по вопросам предупреждения террористических актов и правилам поведения при их возникновении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учебных тренировок с персоналом муниципальных учреждений по вопросам предупреждения террористических актов и правилам поведения при их возникновении,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ПБ; отдел образования; отдел КСиМП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Профилактика терроризма, экстремизма, межнациональных и межконфессиональных конфликтов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Повышение уровня компетентности обучающихся образовательных учреждений в вопросах профилактики терроризма, экстремизма, межнациональных и межконфессиональных конфликтов,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обучения муниципальных служащих, должностные обязанности которых связаны с противодействием терроризму и экстремизму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Количество проведенных занятий с муниципальными служащими, должностные обязанности которых связаны с противодействием терроризму и экстремизму, шт.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2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адресной и индивидуальной работы с лицами, прибывающими в Печенгский муниципальный округ из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Донецкой, Луганской народных республик, Запорожской, Херсонской областей и Украины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Обеспечение проведения адресной и индивидуальной работы с лицами, прибывающими в Печенгский муниципальный округ из Донецкой, Луганской народных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республик, Запорожской, Херсонской областей и Украины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ГО, ЧС и ПБ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30,0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  <w:t xml:space="preserve">ероприятие 2. Повышение антитеррористической защищенности объектов, находящихся в собственности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5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усилению антитеррористической защищенности объектов, находящихся в ведении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Усиление антитеррористической защищенности объектов, находящихся в ведении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2805,6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2835,6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2835,6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2835,6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2835,6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5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3189,8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27316,4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30506,2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25588,0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28769,1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val="en-US"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«Обеспечение общественного порядка и безопасности населения» за 20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24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964" w:bottom="851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5. Муниципальная программа Печенгского муниципального округа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</w:r>
    </w:p>
    <w:p>
      <w:pPr>
        <w:pStyle w:val="1033"/>
        <w:ind w:left="0"/>
        <w:jc w:val="center"/>
        <w:spacing w:after="0" w:line="240" w:lineRule="auto"/>
        <w:rPr>
          <w:sz w:val="24"/>
          <w:szCs w:val="24"/>
        </w:rPr>
      </w:pP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«Э</w:t>
      </w:r>
      <w:r>
        <w:rPr>
          <w:rFonts w:ascii="Times New Roman" w:hAnsi="Times New Roman" w:eastAsia="Times New Roman" w:cs="Times New Roman"/>
          <w:b/>
          <w:bCs/>
          <w:sz w:val="24"/>
          <w:szCs w:val="24"/>
        </w:rPr>
        <w:t xml:space="preserve">кономический потенциал» 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на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/>
          <w:bCs/>
          <w:color w:val="000000" w:themeColor="text1"/>
          <w:sz w:val="24"/>
          <w:szCs w:val="24"/>
          <w:lang w:eastAsia="ru-RU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ind w:left="502"/>
        <w:jc w:val="both"/>
        <w:spacing w:after="0" w:line="240" w:lineRule="auto"/>
        <w:tabs>
          <w:tab w:val="left" w:pos="709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ind w:left="0" w:right="0" w:firstLine="709"/>
        <w:jc w:val="both"/>
        <w:spacing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«Экономический потенциал» на 202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632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от 1</w:t>
      </w:r>
      <w:r>
        <w:rPr>
          <w:rFonts w:ascii="Times New Roman" w:hAnsi="Times New Roman" w:cs="Times New Roman"/>
          <w:sz w:val="24"/>
          <w:szCs w:val="24"/>
        </w:rPr>
        <w:t xml:space="preserve">4.03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381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right="0" w:firstLine="709"/>
        <w:jc w:val="both"/>
        <w:spacing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- создание условий для формирования имиджа Печенгского муниципального округа как территории открытой для бизнеса и привлекательной для инвестиций.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right="0" w:firstLine="709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предусмотрено решение следующих задач: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61"/>
        </w:numPr>
        <w:ind w:left="0" w:right="0" w:firstLine="709"/>
        <w:jc w:val="both"/>
        <w:spacing w:after="0" w:line="240" w:lineRule="auto"/>
        <w:widowControl w:val="off"/>
        <w:tabs>
          <w:tab w:val="left" w:pos="993" w:leader="none"/>
        </w:tabs>
        <w:rPr>
          <w:rFonts w:ascii="Times New Roman" w:hAnsi="Times New Roman" w:cs="Times New Roman"/>
          <w:bCs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Печенгского муниципального округа.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</w:r>
    </w:p>
    <w:p>
      <w:pPr>
        <w:pStyle w:val="1033"/>
        <w:numPr>
          <w:ilvl w:val="0"/>
          <w:numId w:val="61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на территории Печенгского муниципальн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ого округа благоприятных условий, способствующих развитию потенциала социально ориентированных некоммерческих организаций (далее – СО НКО) и его эффективному использованию в решении задач социально-экономического развития Печенгского муниципального округа.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две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2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1 «Повышение инвестиционной привлекательности Печенгского муниципального округа»;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2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2 «Взаимодействие с СО НКО».</w:t>
      </w:r>
      <w:r>
        <w:rPr>
          <w:rFonts w:ascii="Times New Roman" w:hAnsi="Times New Roman" w:cs="Times New Roman"/>
          <w:sz w:val="24"/>
          <w:szCs w:val="24"/>
          <w:lang w:eastAsia="ru-RU"/>
        </w:rPr>
      </w:r>
      <w:r>
        <w:rPr>
          <w:rFonts w:ascii="Times New Roman" w:hAnsi="Times New Roman" w:cs="Times New Roman"/>
          <w:sz w:val="24"/>
          <w:szCs w:val="24"/>
          <w:lang w:eastAsia="ru-RU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1408,6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рублей. </w:t>
      </w:r>
      <w:r>
        <w:rPr>
          <w:rFonts w:ascii="Times New Roman" w:hAnsi="Times New Roman" w:cs="Times New Roman"/>
          <w:sz w:val="24"/>
          <w:szCs w:val="24"/>
        </w:rPr>
        <w:t xml:space="preserve">В течение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1071,6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21,6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</w:t>
      </w:r>
      <w:r>
        <w:rPr>
          <w:rFonts w:ascii="Times New Roman" w:hAnsi="Times New Roman" w:cs="Times New Roman"/>
          <w:sz w:val="24"/>
          <w:szCs w:val="24"/>
        </w:rPr>
        <w:t xml:space="preserve">юджета округа 100,0 тыс. рублей</w:t>
      </w:r>
      <w:r>
        <w:rPr>
          <w:rFonts w:ascii="Times New Roman" w:hAnsi="Times New Roman" w:cs="Times New Roman"/>
          <w:sz w:val="24"/>
          <w:szCs w:val="24"/>
        </w:rPr>
        <w:t xml:space="preserve">, внебюджетные средства 950,0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«Повышение инвестиционной привлекательности Печенгского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муниципального округа».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1033"/>
        <w:ind w:left="0" w:right="0" w:firstLine="709"/>
        <w:jc w:val="both"/>
        <w:spacing w:line="240" w:lineRule="auto"/>
        <w:tabs>
          <w:tab w:val="left" w:pos="284" w:leader="none"/>
          <w:tab w:val="left" w:pos="567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с</w:t>
      </w:r>
      <w:r>
        <w:rPr>
          <w:rFonts w:ascii="Times New Roman" w:hAnsi="Times New Roman" w:cs="Times New Roman"/>
          <w:bCs/>
          <w:iCs/>
          <w:sz w:val="24"/>
          <w:szCs w:val="24"/>
          <w:lang w:eastAsia="ru-RU"/>
        </w:rPr>
        <w:t xml:space="preserve">оздание условий для повышения инвестиционной привлекательности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right="0" w:firstLine="709"/>
        <w:jc w:val="both"/>
        <w:spacing w:after="0" w:line="240" w:lineRule="auto"/>
        <w:tabs>
          <w:tab w:val="left" w:pos="284" w:leader="none"/>
          <w:tab w:val="left" w:pos="567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 1: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numPr>
          <w:ilvl w:val="0"/>
          <w:numId w:val="6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малого и среднего предпринимательства.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3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благоприятных условий для привлечения инвестиций в экономику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5"/>
        </w:num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Создание условий для развития туризма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</w:t>
      </w:r>
      <w:r>
        <w:rPr>
          <w:rFonts w:ascii="Times New Roman" w:hAnsi="Times New Roman" w:cs="Times New Roman"/>
          <w:sz w:val="24"/>
          <w:szCs w:val="24"/>
        </w:rPr>
        <w:t xml:space="preserve">а 2024 запланировано 1</w:t>
      </w:r>
      <w:r>
        <w:rPr>
          <w:rFonts w:ascii="Times New Roman" w:hAnsi="Times New Roman" w:cs="Times New Roman"/>
          <w:sz w:val="24"/>
          <w:szCs w:val="24"/>
        </w:rPr>
        <w:t xml:space="preserve">071,6 тыс. руб. В ходе реализации Подпрограммы 1 в 2</w:t>
      </w:r>
      <w:r>
        <w:rPr>
          <w:rFonts w:ascii="Times New Roman" w:hAnsi="Times New Roman" w:cs="Times New Roman"/>
          <w:sz w:val="24"/>
          <w:szCs w:val="24"/>
        </w:rPr>
        <w:t xml:space="preserve">024 году исполнение составило 1</w:t>
      </w:r>
      <w:r>
        <w:rPr>
          <w:rFonts w:ascii="Times New Roman" w:hAnsi="Times New Roman" w:cs="Times New Roman"/>
          <w:sz w:val="24"/>
          <w:szCs w:val="24"/>
        </w:rPr>
        <w:t xml:space="preserve">063,4 тыс. рублей, в том числе: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4"/>
        </w:num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областного бюджета на исполнение государственных полномочий 21,6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4"/>
        </w:num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бюджета округа на организацию и проведения мероприятий по вопросам СМСП 91,8 тыс. рублей: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торжественный прием предпринимателей Главой Печенгского муниципального округа и инвестиционным уполномоченным в Печенгском муниципальном округе;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и </w:t>
      </w:r>
      <w:r>
        <w:rPr>
          <w:rFonts w:ascii="Times New Roman" w:hAnsi="Times New Roman" w:cs="Times New Roman"/>
          <w:sz w:val="24"/>
          <w:szCs w:val="24"/>
        </w:rPr>
        <w:t xml:space="preserve">проведение встречи Уполномоченного по защите прав предпринимателей, инвестиционного уполномоченного в Печенгском округе и представителей инфраструктуры поддержки предпринимательства Мурманской области с бизнес сообществом Печенгского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организация и проведение муниципального конкурса «Новогодняя мозаика на лучшее новогоднее оформление объектов потребительского рынка, расположенных на территории Печенгского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6"/>
        </w:numPr>
        <w:ind w:left="0" w:right="0" w:firstLine="709"/>
        <w:jc w:val="both"/>
        <w:spacing w:after="0" w:line="240" w:lineRule="auto"/>
        <w:tabs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из внебюджетных источников на разработку инвестиционного профиля Печенгского муниципального округа 950,0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Степень освоения средств составила 99,2 %. </w:t>
      </w:r>
      <w:r>
        <w:rPr>
          <w:rFonts w:ascii="Times New Roman" w:hAnsi="Times New Roman" w:cs="Times New Roman"/>
          <w:sz w:val="24"/>
          <w:szCs w:val="24"/>
        </w:rPr>
        <w:t xml:space="preserve">Экономия денежных средств составила 8,2 тыс. руб. по мероприятию подпрограммы 1 п. 1.1.7 «Организация и проведение мероприятий по </w:t>
      </w:r>
      <w:r>
        <w:rPr>
          <w:rFonts w:ascii="Times New Roman" w:hAnsi="Times New Roman" w:cs="Times New Roman"/>
          <w:sz w:val="24"/>
          <w:szCs w:val="24"/>
        </w:rPr>
        <w:t xml:space="preserve">вопросам СМСП», при запланированных не менее 2-х мероприятий в отчетном периоде было проведено 3 мероприятия.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мущественной поддержк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СМСП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п.1.1.2.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увеличение показателя количества объектов недвижимости нежилого фонда, находящегося в собственности муниципального округа, подлежащих к сдаче в аренду, по отношению к планируемому </w:t>
      </w:r>
      <w:r>
        <w:rPr>
          <w:rFonts w:ascii="Times New Roman" w:hAnsi="Times New Roman" w:cs="Times New Roman"/>
          <w:sz w:val="24"/>
          <w:szCs w:val="24"/>
        </w:rPr>
        <w:t xml:space="preserve">составило </w:t>
      </w:r>
      <w:r>
        <w:rPr>
          <w:rFonts w:ascii="Times New Roman" w:hAnsi="Times New Roman" w:cs="Times New Roman"/>
          <w:sz w:val="24"/>
          <w:szCs w:val="24"/>
        </w:rPr>
        <w:t xml:space="preserve">6 единиц.</w:t>
      </w:r>
      <w:r>
        <w:rPr>
          <w:rFonts w:ascii="Times New Roman" w:hAnsi="Times New Roman" w:cs="Times New Roman"/>
          <w:sz w:val="24"/>
          <w:szCs w:val="24"/>
        </w:rPr>
        <w:t xml:space="preserve"> Достигнуто в результате внесения изменений в перечень муниципального имущества Печенгского муниципального округа, свободного от прав третьих лиц (за и</w:t>
      </w:r>
      <w:r>
        <w:rPr>
          <w:rFonts w:ascii="Times New Roman" w:hAnsi="Times New Roman" w:cs="Times New Roman"/>
          <w:sz w:val="24"/>
          <w:szCs w:val="24"/>
        </w:rPr>
        <w:t xml:space="preserve">сключением права хозяйственного ведения, права оперативного управления, а также имущественных прав СМСП), предусмотренного частью 4 статьи 18 ФЗ «О развитии малого и среднего предпринимательства в Российской Федерации» (постановления администрации Печенгск</w:t>
      </w:r>
      <w:r>
        <w:rPr>
          <w:rFonts w:ascii="Times New Roman" w:hAnsi="Times New Roman" w:cs="Times New Roman"/>
          <w:sz w:val="24"/>
          <w:szCs w:val="24"/>
        </w:rPr>
        <w:t xml:space="preserve">ого муниципального округа от 30.10.2024 № 1690 и от 03.12.2024 № 1914). Увеличилась доля объектов, включенных в перечень муниципального имущества и предоставляемого СМСП и самозанятым гражданам в рамках оказания имущественной поддержки до 5% при плане 1%. </w:t>
      </w:r>
      <w:r>
        <w:rPr>
          <w:rFonts w:ascii="Times New Roman" w:hAnsi="Times New Roman" w:cs="Times New Roman"/>
          <w:sz w:val="24"/>
          <w:szCs w:val="24"/>
        </w:rPr>
        <w:t xml:space="preserve">По мере заключения и расторжения договоров аренды КУИ ведется работа по а</w:t>
      </w:r>
      <w:r>
        <w:rPr>
          <w:rFonts w:ascii="Times New Roman" w:hAnsi="Times New Roman" w:cs="Times New Roman"/>
          <w:sz w:val="24"/>
          <w:szCs w:val="24"/>
        </w:rPr>
        <w:t xml:space="preserve">ктуали</w:t>
      </w:r>
      <w:r>
        <w:rPr>
          <w:rFonts w:ascii="Times New Roman" w:hAnsi="Times New Roman" w:cs="Times New Roman"/>
          <w:sz w:val="24"/>
          <w:szCs w:val="24"/>
        </w:rPr>
        <w:t xml:space="preserve">зации</w:t>
      </w:r>
      <w:r>
        <w:rPr>
          <w:rFonts w:ascii="Times New Roman" w:hAnsi="Times New Roman" w:cs="Times New Roman"/>
          <w:sz w:val="24"/>
          <w:szCs w:val="24"/>
        </w:rPr>
        <w:t xml:space="preserve"> перечн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договоров аренды объектов недвижимости нежилого фонда.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2024 года на регулярной основе проводилась актуализация банка данных С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СП, действующих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Общедоступная информация, необходимая для развития субъектов малого и среднего предпринимательства (далее – СМСП), регулярно размещалась на официальном сайте Печенгского муниципального округа https://pechengamr.gov-murman.ru/.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СМСП регулярно оказывалась методологическая помощь по актуальным вопросам развития бизнеса.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исполнения государственных полномочий по сбору сведений для формирования и ведения торгового реестра на регулярной основе в течение отчетного периода осуществлялся сбор и актуализация сведений для формирования и ведения торгового реестра.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Организованы и проведены 3 мероприятия по вопросам СМСП.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Проводился анализ эффективности реализации мер, направленных на развитие субъектов малого и среднего предпринимательства, прогнозирование развития СМСП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afterAutospacing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Проведено 4 заседания Совета по улучшению инвестиционного климата и развитию предпринимательства.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стимулирования и активизации инвестиционной и предпринимательской деятельности на территории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решением Совета депутатов Печенгского муниципального округа от 23.10.2020 № 39 «</w:t>
      </w:r>
      <w:r>
        <w:rPr>
          <w:rFonts w:ascii="Times New Roman" w:hAnsi="Times New Roman" w:cs="Times New Roman"/>
          <w:sz w:val="24"/>
          <w:szCs w:val="24"/>
        </w:rPr>
        <w:t xml:space="preserve">Об у</w:t>
      </w:r>
      <w:r>
        <w:rPr>
          <w:rFonts w:ascii="Times New Roman" w:hAnsi="Times New Roman" w:cs="Times New Roman"/>
          <w:sz w:val="24"/>
          <w:szCs w:val="24"/>
        </w:rPr>
        <w:t xml:space="preserve">становлении земельного налога на территории муниципального образования Печенгский муниципальный округ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освобожден</w:t>
      </w:r>
      <w:r>
        <w:rPr>
          <w:rFonts w:ascii="Times New Roman" w:hAnsi="Times New Roman" w:cs="Times New Roman"/>
          <w:sz w:val="24"/>
          <w:szCs w:val="24"/>
        </w:rPr>
        <w:t xml:space="preserve">ы</w:t>
      </w:r>
      <w:r>
        <w:rPr>
          <w:rFonts w:ascii="Times New Roman" w:hAnsi="Times New Roman" w:cs="Times New Roman"/>
          <w:sz w:val="24"/>
          <w:szCs w:val="24"/>
        </w:rPr>
        <w:t xml:space="preserve"> от налогообложения земельным налогом: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7"/>
        </w:numPr>
        <w:contextualSpacing/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субъекты инвестиционной деятельности - юридические лица и индивидуальные предприниматели, реализующие приоритетн</w:t>
      </w:r>
      <w:r>
        <w:rPr>
          <w:rFonts w:ascii="Times New Roman" w:hAnsi="Times New Roman" w:cs="Times New Roman"/>
          <w:sz w:val="24"/>
          <w:szCs w:val="24"/>
        </w:rPr>
        <w:t xml:space="preserve">ые инвестиционные проекты на территории муниципального образования Печенгский муниципальный округ Мурманской области (на срок действия инвестиционного соглашения, заключаемого в целях реализации приоритетного инвестиционного проекта, но не более трех лет);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7"/>
        </w:numPr>
        <w:contextualSpacing/>
        <w:ind w:left="0" w:right="0" w:firstLine="709"/>
        <w:jc w:val="both"/>
        <w:spacing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индивидуальные предприниматели или являющиеся коммерческой организацией юридические лица, получившие ст</w:t>
      </w:r>
      <w:r>
        <w:rPr>
          <w:rFonts w:ascii="Times New Roman" w:hAnsi="Times New Roman" w:cs="Times New Roman"/>
          <w:sz w:val="24"/>
          <w:szCs w:val="24"/>
        </w:rPr>
        <w:t xml:space="preserve">атус резидента Арктической зоны Российской Федерации в соответствии с Федеральным законом от 13.07.2020 № 193-ФЗ «О государственной поддержке предпринимательской деятельности в Арктической зоне Российской Федерации»,  в отношении земельных участков, распол</w:t>
      </w:r>
      <w:r>
        <w:rPr>
          <w:rFonts w:ascii="Times New Roman" w:hAnsi="Times New Roman" w:cs="Times New Roman"/>
          <w:sz w:val="24"/>
          <w:szCs w:val="24"/>
        </w:rPr>
        <w:t xml:space="preserve">оженных на территории Арктической зоны в границах муниципального образования Печенгский  муниципальный округ, на три налоговых периода, начиная с первого числа месяца, следующего за месяцем включения налогоплательщиков в реестр резидентов Арктической зоны.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соответствии с </w:t>
      </w:r>
      <w:r>
        <w:rPr>
          <w:rFonts w:ascii="Times New Roman" w:hAnsi="Times New Roman" w:cs="Times New Roman"/>
          <w:sz w:val="24"/>
          <w:szCs w:val="24"/>
        </w:rPr>
        <w:t xml:space="preserve">решением Совета депутатов Печенгского муниципального округа от 23.10.2020 № 40 «</w:t>
      </w:r>
      <w:r>
        <w:rPr>
          <w:rFonts w:ascii="Times New Roman" w:hAnsi="Times New Roman" w:cs="Times New Roman"/>
          <w:sz w:val="24"/>
          <w:szCs w:val="24"/>
        </w:rPr>
        <w:t xml:space="preserve">Об у</w:t>
      </w:r>
      <w:r>
        <w:rPr>
          <w:rFonts w:ascii="Times New Roman" w:hAnsi="Times New Roman" w:cs="Times New Roman"/>
          <w:sz w:val="24"/>
          <w:szCs w:val="24"/>
        </w:rPr>
        <w:t xml:space="preserve">становлении налога на имущество физических лиц на территории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образования Печенгский муниципальный округ Мурманской области» </w:t>
      </w:r>
      <w:r>
        <w:rPr>
          <w:rFonts w:ascii="Times New Roman" w:hAnsi="Times New Roman" w:cs="Times New Roman"/>
          <w:sz w:val="24"/>
          <w:szCs w:val="24"/>
        </w:rPr>
        <w:t xml:space="preserve">предоставл</w:t>
      </w:r>
      <w:r>
        <w:rPr>
          <w:rFonts w:ascii="Times New Roman" w:hAnsi="Times New Roman" w:cs="Times New Roman"/>
          <w:sz w:val="24"/>
          <w:szCs w:val="24"/>
        </w:rPr>
        <w:t xml:space="preserve">ено</w:t>
      </w:r>
      <w:r>
        <w:rPr>
          <w:rFonts w:ascii="Times New Roman" w:hAnsi="Times New Roman" w:cs="Times New Roman"/>
          <w:sz w:val="24"/>
          <w:szCs w:val="24"/>
        </w:rPr>
        <w:t xml:space="preserve"> прав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 на налоговые льготы по налогу на имущество физических</w:t>
      </w:r>
      <w:r>
        <w:rPr>
          <w:rFonts w:ascii="Times New Roman" w:hAnsi="Times New Roman" w:cs="Times New Roman"/>
          <w:sz w:val="24"/>
          <w:szCs w:val="24"/>
        </w:rPr>
        <w:t xml:space="preserve"> лиц начиная с 2021 года индивидуальным предпринимателям, получившим статус резидента Арктической зоны в соответствии с Федеральным законом от 13.07.2020 № 193-ФЗ "О государственной поддержке предпринимательской деятельности в Арктической зоне Российской Ф</w:t>
      </w:r>
      <w:r>
        <w:rPr>
          <w:rFonts w:ascii="Times New Roman" w:hAnsi="Times New Roman" w:cs="Times New Roman"/>
          <w:sz w:val="24"/>
          <w:szCs w:val="24"/>
        </w:rPr>
        <w:t xml:space="preserve">едерации" (далее - резиденты Арктической зоны Российской Федерации), в отношении имущества, созданного, приобретенного в собственность в течение срока действия соглашений об осуществлении инвестиционной деятельности в Арктической зоне Российской Федерации: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8"/>
        </w:numPr>
        <w:contextualSpacing/>
        <w:ind w:left="0" w:right="0"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размере подлежащей уплате налогоплательщиком сум</w:t>
      </w:r>
      <w:r>
        <w:rPr>
          <w:rFonts w:ascii="Times New Roman" w:hAnsi="Times New Roman" w:cs="Times New Roman"/>
          <w:sz w:val="24"/>
          <w:szCs w:val="24"/>
        </w:rPr>
        <w:t xml:space="preserve">мы налога в отношении объекта налогообложения, находящегося в собственности налогоплательщика, на срок, составляющий пять лет, с 1-го числа месяца, в котором произошло возникновение права собственности на созданное, приобретенное в собственность имущество;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8"/>
        </w:numPr>
        <w:contextualSpacing/>
        <w:ind w:left="0" w:right="0" w:firstLine="709"/>
        <w:jc w:val="both"/>
        <w:spacing w:before="0" w:beforeAutospacing="0" w:after="0" w:afterAutospacing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размере 50 процентов от суммы налога, подлежащей уплате, в течение последующих пяти лет.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реализац</w:t>
      </w:r>
      <w:r>
        <w:rPr>
          <w:rFonts w:ascii="Times New Roman" w:hAnsi="Times New Roman" w:cs="Times New Roman"/>
          <w:sz w:val="24"/>
          <w:szCs w:val="24"/>
        </w:rPr>
        <w:t xml:space="preserve">ии приказа Минэкономразвития России от 26.09.2023 N 672 «Об утверждении Методических рекомендаций по организации системной работы по сопровождению инвестиционных проектов муниципальными образованиями с учетом внедрения в субъектах Российской Федерации сист</w:t>
      </w:r>
      <w:r>
        <w:rPr>
          <w:rFonts w:ascii="Times New Roman" w:hAnsi="Times New Roman" w:cs="Times New Roman"/>
          <w:sz w:val="24"/>
          <w:szCs w:val="24"/>
        </w:rPr>
        <w:t xml:space="preserve">емы поддержки новых инвестиционных проектов («Региональный инвестиционный стандарт»)» проведена работа по разработке инвестиционного профиля Печенгского муниципального округа. Инвестиционный профиль размещен на официальном сайте Печенгского муниципального </w:t>
      </w:r>
      <w:r>
        <w:rPr>
          <w:rFonts w:ascii="Times New Roman" w:hAnsi="Times New Roman" w:cs="Times New Roman"/>
          <w:sz w:val="24"/>
          <w:szCs w:val="24"/>
        </w:rPr>
        <w:t xml:space="preserve">округа </w:t>
      </w:r>
      <w:hyperlink r:id="rId11" w:tooltip="https://pechengamr.gov-murman.ru/" w:history="1">
        <w:r>
          <w:rPr>
            <w:rStyle w:val="1060"/>
            <w:rFonts w:ascii="Times New Roman" w:hAnsi="Times New Roman" w:cs="Times New Roman"/>
            <w:color w:val="auto"/>
            <w:sz w:val="24"/>
            <w:szCs w:val="24"/>
          </w:rPr>
          <w:t xml:space="preserve">https://pechengamr.gov-murman.ru/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План развития туристической отрасли в Печенгском муниципальном округе был разработан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 инициативе Комитета по туризму Мурманской области в конце 2023 года. </w:t>
      </w:r>
      <w:r>
        <w:rPr>
          <w:rFonts w:ascii="Times New Roman" w:hAnsi="Times New Roman" w:cs="Times New Roman"/>
          <w:sz w:val="24"/>
          <w:szCs w:val="24"/>
        </w:rPr>
        <w:t xml:space="preserve">Печенгский округ выбран в качестве базы для п</w:t>
      </w:r>
      <w:r>
        <w:rPr>
          <w:rFonts w:ascii="Times New Roman" w:hAnsi="Times New Roman" w:cs="Times New Roman"/>
          <w:sz w:val="24"/>
          <w:szCs w:val="24"/>
        </w:rPr>
        <w:t xml:space="preserve">риродно-индустриального и военно-исторического туризма. Планом намечено 35 мероприятий, сгруппированных в пять блоков: «Развитие инфраструктуры», «Привлечение кадров», «Развитие маршрутов и туристических продуктов», «Маркетинг и продвижение», «51 событие».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Сформирован и ведется на постоянной основе единый реестр туристической инфраструктуры Печенгского муниципального округа. В реестре отражены коллективные средства размещения и основные туристические объекты.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территории округа обустроено 4 туристических маршрута, которые включены Комитетом по туризму Мурманской области в реестр рекомендуемых маршрутов: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69"/>
        </w:num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экотропа «Глухая плотина»;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0"/>
        </w:num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«Остров Варлама – жемчужина «Пасквика»;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1"/>
        </w:num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«Раякоски – жизнь у трёх границ»;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2"/>
        </w:numPr>
        <w:contextualSpacing/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«Шпиль 555».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851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2024 г</w:t>
      </w:r>
      <w:r>
        <w:rPr>
          <w:rFonts w:ascii="Times New Roman" w:hAnsi="Times New Roman" w:cs="Times New Roman"/>
          <w:sz w:val="24"/>
          <w:szCs w:val="24"/>
        </w:rPr>
        <w:t xml:space="preserve">оду на территории заповедника «Пасквик» обустроен новый туристический маршрут «Следы Второй мировой войны в районе реки Паз». В настоящее время ведется работа по включению маршрута в единый реестр рекомендованных туристических маршрутов Мурманской области.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contextualSpacing/>
        <w:ind w:firstLine="851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Администрацией Печенгского муниципального округа и филиалом «Северным» АНО «ТИЦ Мурманской области» разработан и размещен на туристическом портале Мурманской области маршрут двухдневного путешествия в пгт. Никель для самостоятельного путешественника.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проекта «Кластер возможностей» п</w:t>
      </w:r>
      <w:r>
        <w:rPr>
          <w:rFonts w:ascii="Times New Roman" w:hAnsi="Times New Roman" w:cs="Times New Roman"/>
          <w:sz w:val="24"/>
          <w:szCs w:val="24"/>
        </w:rPr>
        <w:t xml:space="preserve">роведены туристические форумы: на турбазе «Гольфстрим», на ООПТ полуострова Средний и Рыбачий, итоговый в пгт. Никель. Создан тур-конструктор по Печенгскому округу.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проекта «Туризм – в школу» проведены мероприятия: экскурсионный блок; экспедиционный блок; инфраструктурный блок.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результате реализации мероприятий, предусмотренных </w:t>
      </w:r>
      <w:r>
        <w:rPr>
          <w:rFonts w:ascii="Times New Roman" w:hAnsi="Times New Roman" w:cs="Times New Roman"/>
          <w:sz w:val="24"/>
          <w:szCs w:val="24"/>
        </w:rPr>
        <w:t xml:space="preserve">подп</w:t>
      </w:r>
      <w:r>
        <w:rPr>
          <w:rFonts w:ascii="Times New Roman" w:hAnsi="Times New Roman" w:cs="Times New Roman"/>
          <w:sz w:val="24"/>
          <w:szCs w:val="24"/>
        </w:rPr>
        <w:t xml:space="preserve">р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граммой, в 2024 году достигнуты следующие показатели: количество малых, в том числе микропредприятий, по </w:t>
      </w:r>
      <w:r>
        <w:rPr>
          <w:rFonts w:ascii="Times New Roman" w:hAnsi="Times New Roman" w:cs="Times New Roman"/>
          <w:sz w:val="24"/>
          <w:szCs w:val="24"/>
        </w:rPr>
        <w:t xml:space="preserve">состоянию на 10.01.2025 года составило 788 единиц</w:t>
      </w:r>
      <w:r>
        <w:rPr>
          <w:rFonts w:ascii="Times New Roman" w:hAnsi="Times New Roman" w:cs="Times New Roman"/>
          <w:sz w:val="24"/>
          <w:szCs w:val="24"/>
        </w:rPr>
        <w:t xml:space="preserve">; объем инвестиций в основной капитал организаций (без субъектов малого предпринимательства) (за исключением бюджетных средств) в расчете на 1 жителя составил в 2024 году 249,</w:t>
      </w:r>
      <w:r>
        <w:rPr>
          <w:rFonts w:ascii="Times New Roman" w:hAnsi="Times New Roman" w:cs="Times New Roman"/>
          <w:sz w:val="24"/>
          <w:szCs w:val="24"/>
        </w:rPr>
        <w:t xml:space="preserve">5</w:t>
      </w:r>
      <w:r>
        <w:rPr>
          <w:rFonts w:ascii="Times New Roman" w:hAnsi="Times New Roman" w:cs="Times New Roman"/>
          <w:sz w:val="24"/>
          <w:szCs w:val="24"/>
        </w:rPr>
        <w:t xml:space="preserve"> тыс.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2. «Взаимодействие с СО НКО».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2024 году п</w:t>
      </w:r>
      <w:r>
        <w:rPr>
          <w:rFonts w:ascii="Times New Roman" w:hAnsi="Times New Roman" w:cs="Times New Roman"/>
          <w:sz w:val="24"/>
          <w:szCs w:val="24"/>
        </w:rPr>
        <w:t xml:space="preserve">о мере необходимости </w:t>
      </w:r>
      <w:r>
        <w:rPr>
          <w:rFonts w:ascii="Times New Roman" w:hAnsi="Times New Roman" w:cs="Times New Roman"/>
          <w:sz w:val="24"/>
          <w:szCs w:val="24"/>
        </w:rPr>
        <w:t xml:space="preserve">осуществлялось </w:t>
      </w:r>
      <w:r>
        <w:rPr>
          <w:rFonts w:ascii="Times New Roman" w:hAnsi="Times New Roman" w:cs="Times New Roman"/>
          <w:sz w:val="24"/>
          <w:szCs w:val="24"/>
        </w:rPr>
        <w:t xml:space="preserve">предоставл</w:t>
      </w:r>
      <w:r>
        <w:rPr>
          <w:rFonts w:ascii="Times New Roman" w:hAnsi="Times New Roman" w:cs="Times New Roman"/>
          <w:sz w:val="24"/>
          <w:szCs w:val="24"/>
        </w:rPr>
        <w:t xml:space="preserve">ение</w:t>
      </w:r>
      <w:r>
        <w:rPr>
          <w:rFonts w:ascii="Times New Roman" w:hAnsi="Times New Roman" w:cs="Times New Roman"/>
          <w:sz w:val="24"/>
          <w:szCs w:val="24"/>
        </w:rPr>
        <w:t xml:space="preserve"> имущественн</w:t>
      </w:r>
      <w:r>
        <w:rPr>
          <w:rFonts w:ascii="Times New Roman" w:hAnsi="Times New Roman" w:cs="Times New Roman"/>
          <w:sz w:val="24"/>
          <w:szCs w:val="24"/>
        </w:rPr>
        <w:t xml:space="preserve">ой</w:t>
      </w:r>
      <w:r>
        <w:rPr>
          <w:rFonts w:ascii="Times New Roman" w:hAnsi="Times New Roman" w:cs="Times New Roman"/>
          <w:sz w:val="24"/>
          <w:szCs w:val="24"/>
        </w:rPr>
        <w:t xml:space="preserve"> поддержк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СО НКО, а так</w:t>
      </w:r>
      <w:r>
        <w:rPr>
          <w:rFonts w:ascii="Times New Roman" w:hAnsi="Times New Roman" w:cs="Times New Roman"/>
          <w:sz w:val="24"/>
          <w:szCs w:val="24"/>
        </w:rPr>
        <w:t xml:space="preserve">же консультативная, организационная поддержка деятельности </w:t>
        <w:br/>
        <w:t xml:space="preserve">СО НКО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Во исполнени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Федерального закона от 12.01.1996 № 7-ФЗ «О некоммерческих организациях» а</w:t>
      </w:r>
      <w:r>
        <w:rPr>
          <w:rFonts w:ascii="Times New Roman" w:hAnsi="Times New Roman" w:cs="Times New Roman"/>
          <w:sz w:val="24"/>
          <w:szCs w:val="24"/>
        </w:rPr>
        <w:t xml:space="preserve">дминистрацией Печенгского муниципального округа ведется реестр социально-ориентированных некоммерческих организаций – получателей муниципальной поддержки. Информация, содержащаяся в реестр</w:t>
      </w:r>
      <w:r>
        <w:rPr>
          <w:rFonts w:ascii="Times New Roman" w:hAnsi="Times New Roman" w:cs="Times New Roman"/>
          <w:sz w:val="24"/>
          <w:szCs w:val="24"/>
        </w:rPr>
        <w:t xml:space="preserve">е,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размещается</w:t>
      </w:r>
      <w:r>
        <w:rPr>
          <w:rFonts w:ascii="Times New Roman" w:hAnsi="Times New Roman" w:cs="Times New Roman"/>
          <w:sz w:val="24"/>
          <w:szCs w:val="24"/>
        </w:rPr>
        <w:t xml:space="preserve"> на официальном сайте Печенгского муниципального округа в сети Интернет.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постоянной основе осуществля</w:t>
      </w:r>
      <w:r>
        <w:rPr>
          <w:rFonts w:ascii="Times New Roman" w:hAnsi="Times New Roman" w:cs="Times New Roman"/>
          <w:sz w:val="24"/>
          <w:szCs w:val="24"/>
        </w:rPr>
        <w:t xml:space="preserve">ю</w:t>
      </w:r>
      <w:r>
        <w:rPr>
          <w:rFonts w:ascii="Times New Roman" w:hAnsi="Times New Roman" w:cs="Times New Roman"/>
          <w:sz w:val="24"/>
          <w:szCs w:val="24"/>
        </w:rPr>
        <w:t xml:space="preserve">тся мониторинг и оценка эффективности мер муниципальной поддержки СО НКО.</w:t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  <w:r>
        <w:rPr>
          <w:rFonts w:ascii="Times New Roman" w:hAnsi="Times New Roman" w:cs="Times New Roman"/>
          <w:color w:val="ff0000"/>
          <w:sz w:val="24"/>
          <w:szCs w:val="24"/>
        </w:rPr>
      </w:r>
    </w:p>
    <w:p>
      <w:pPr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«Экономический потенциал»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267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«Повышение инвестиционной привлекательности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Цель: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повышения инвестиционной привлекательности Пе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условий для развития малого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и среднего предпринимательства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Имущественная поддержка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 недвижимости нежилого фонда, находящегося в собственности муниципального округа, подлежащих к сдаче в аренду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891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актуализированного перечня договоров аренды объектов недвижимости нежилого фонда,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объектов, включенных в перечни муниципального имущества и предоставляемого СМСП и самозанятым гражданам в рамках оказания имущественной поддержки,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банка данных СМСП, действующих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банка данных СМСП, действующих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актуализация общедоступной информации, необходимой для развития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общедоступной информации, необходимой для развития СМСП на официальном сайте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Методологическая помощь СМСП по актуальным вопросам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Оказание методологической помощи СМСП по актуальным вопросам,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Сбор сведений для формирования и ведения торгового реестра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сбору сведений для формирования и ведения торгового реестра,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 по вопросам СМСП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мероприятий по вопросам СМСП,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Анализ эффективности реализации мер, направленных на развитие СМСП, прогнозирование развития СМСП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анализа эффективности реализации мер, направленных на развитие СМСП,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благоприятных условий для привлечения инвестиций в экономику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заседаний Совета по улучшению инвестиционного климата и развитию предпринимательства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заседаний Совета по улучшению инвестиционного климата и развитию предпринимательства,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Стимулирование и активизация инвестиционной и предпринимательской деятельности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налоговых льгот юридичес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ким лицам и индивидуальным предпринимателям, получившим статус резидента Арктической зоны, а так же юридическим лицам и индивидуальным предпринимателям, реализующим приоритетные инвестиционные проекты на территории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ОЭР, 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инвестиционного профиля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разработанного инвестиционного профиля Печенгского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деятельности; АНО «Центр социальных проектов Печенгского района «Вторая школа»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Размещение инвестиционного профиля Печенгского муниципального округа, согласованного Главой Печенгского муниципального округа, на официальном сайте Печенгского муниципального округа в сети Интернет,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Сектор инвестиционной деятельности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Создание условий для развития туризма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плана развития туристической отрасли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Реализация мероприятий плана развития туристической отрасли в Печенгском муниципальном округе,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единого реестра туристской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инфраструктуры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единого реестра туристской инфраструктуры Печенгского муниципального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Открытие новых туристических маршрутов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Число туристических маршрутов, включенных в реестр туристических маршрутов Мурманской области для прохождения группами туристов,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мероприятий по вопросам развития туристической отрасли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мероприятий по вопросам развития туристической отрасти,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представителей муниципального округа в региональных, всероссийских и международных семинарах, конференциях, выставках по туризму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Участие представителей муниципального округа в региональных, всероссийских и международных семинарах, конференциях, выставках по туризму,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Консультант по приграничному сотрудничеству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2. «Взаимодействие с СО НКО»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на территории Печенгского муниципального округа благоприятных условий, способствующих развитию потенциала СО НКО и его эффективному использованию в решении задач социально-экономического развития Пе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благоп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риятных условий развития СО НКО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имущественной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имущественной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Взаимодействие с СО НКО, осуществляющим свою деятельность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Оказание информационной, консультативной и организационной поддержки деятельности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ОЭР, 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и ведение реестра СО НКО – получателей поддержки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реестра СО НКО – получателей поддержки,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и оценка эффективности мер муниципальной поддержки СО НКО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мониторинга и оценки эффективности мер муниципальной поддержки СО НКО,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«Экономический потенциал»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эффективност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6.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left="709"/>
        <w:jc w:val="center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«Комфортная среда проживания»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1069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Муниципальная программа Печенгского муниципального округа «Комфортная среда проживания» на 202</w:t>
      </w:r>
      <w:r>
        <w:rPr>
          <w:rFonts w:ascii="Times New Roman" w:hAnsi="Times New Roman" w:cs="Times New Roman"/>
          <w:sz w:val="24"/>
        </w:rPr>
        <w:t xml:space="preserve">4 </w:t>
      </w:r>
      <w:r>
        <w:rPr>
          <w:rFonts w:ascii="Times New Roman" w:hAnsi="Times New Roman" w:cs="Times New Roman"/>
          <w:sz w:val="24"/>
        </w:rPr>
        <w:t xml:space="preserve">- 202</w:t>
      </w:r>
      <w:r>
        <w:rPr>
          <w:rFonts w:ascii="Times New Roman" w:hAnsi="Times New Roman" w:cs="Times New Roman"/>
          <w:sz w:val="24"/>
        </w:rPr>
        <w:t xml:space="preserve">6</w:t>
      </w:r>
      <w:r>
        <w:rPr>
          <w:rFonts w:ascii="Times New Roman" w:hAnsi="Times New Roman" w:cs="Times New Roman"/>
          <w:sz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63</w:t>
      </w:r>
      <w:r>
        <w:rPr>
          <w:rFonts w:ascii="Times New Roman" w:hAnsi="Times New Roman" w:cs="Times New Roman"/>
          <w:sz w:val="24"/>
        </w:rPr>
        <w:t xml:space="preserve">3 (в редакции постановлений администрации Печенгского муниципального округа от 20.01.2023 № 65, </w:t>
        <w:br/>
        <w:t xml:space="preserve">от 20.02.202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270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14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3</w:t>
      </w:r>
      <w:r>
        <w:rPr>
          <w:rFonts w:ascii="Times New Roman" w:hAnsi="Times New Roman" w:cs="Times New Roman"/>
          <w:sz w:val="24"/>
        </w:rPr>
        <w:t xml:space="preserve">82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16.05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806</w:t>
      </w:r>
      <w:r>
        <w:rPr>
          <w:rFonts w:ascii="Times New Roman" w:hAnsi="Times New Roman" w:cs="Times New Roman"/>
          <w:sz w:val="24"/>
        </w:rPr>
        <w:t xml:space="preserve">, от </w:t>
      </w:r>
      <w:r>
        <w:rPr>
          <w:rFonts w:ascii="Times New Roman" w:hAnsi="Times New Roman" w:cs="Times New Roman"/>
          <w:sz w:val="24"/>
        </w:rPr>
        <w:t xml:space="preserve">3</w:t>
      </w:r>
      <w:r>
        <w:rPr>
          <w:rFonts w:ascii="Times New Roman" w:hAnsi="Times New Roman" w:cs="Times New Roman"/>
          <w:sz w:val="24"/>
        </w:rPr>
        <w:t xml:space="preserve">1.0</w:t>
      </w:r>
      <w:r>
        <w:rPr>
          <w:rFonts w:ascii="Times New Roman" w:hAnsi="Times New Roman" w:cs="Times New Roman"/>
          <w:sz w:val="24"/>
        </w:rPr>
        <w:t xml:space="preserve">5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930,</w:t>
        <w:br/>
        <w:t xml:space="preserve"> от 06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8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</w:t>
      </w:r>
      <w:r>
        <w:rPr>
          <w:rFonts w:ascii="Times New Roman" w:hAnsi="Times New Roman" w:cs="Times New Roman"/>
          <w:sz w:val="24"/>
        </w:rPr>
        <w:t xml:space="preserve">1239</w:t>
      </w:r>
      <w:r>
        <w:rPr>
          <w:rFonts w:ascii="Times New Roman" w:hAnsi="Times New Roman" w:cs="Times New Roman"/>
          <w:sz w:val="24"/>
        </w:rPr>
        <w:t xml:space="preserve">, </w:t>
      </w:r>
      <w:r>
        <w:rPr>
          <w:rFonts w:ascii="Times New Roman" w:hAnsi="Times New Roman" w:cs="Times New Roman"/>
          <w:sz w:val="24"/>
        </w:rPr>
        <w:t xml:space="preserve">от 28</w:t>
      </w:r>
      <w:r>
        <w:rPr>
          <w:rFonts w:ascii="Times New Roman" w:hAnsi="Times New Roman" w:cs="Times New Roman"/>
          <w:sz w:val="24"/>
        </w:rPr>
        <w:t xml:space="preserve">.0</w:t>
      </w:r>
      <w:r>
        <w:rPr>
          <w:rFonts w:ascii="Times New Roman" w:hAnsi="Times New Roman" w:cs="Times New Roman"/>
          <w:sz w:val="24"/>
        </w:rPr>
        <w:t xml:space="preserve">8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326, от 24.09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460, от 07</w:t>
      </w:r>
      <w:r>
        <w:rPr>
          <w:rFonts w:ascii="Times New Roman" w:hAnsi="Times New Roman" w:cs="Times New Roman"/>
          <w:sz w:val="24"/>
        </w:rPr>
        <w:t xml:space="preserve">.10.202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15</w:t>
      </w:r>
      <w:r>
        <w:rPr>
          <w:rFonts w:ascii="Times New Roman" w:hAnsi="Times New Roman" w:cs="Times New Roman"/>
          <w:sz w:val="24"/>
        </w:rPr>
        <w:t xml:space="preserve">45, </w:t>
        <w:br/>
        <w:t xml:space="preserve">от 31</w:t>
      </w:r>
      <w:r>
        <w:rPr>
          <w:rFonts w:ascii="Times New Roman" w:hAnsi="Times New Roman" w:cs="Times New Roman"/>
          <w:sz w:val="24"/>
        </w:rPr>
        <w:t xml:space="preserve">.1</w:t>
      </w:r>
      <w:r>
        <w:rPr>
          <w:rFonts w:ascii="Times New Roman" w:hAnsi="Times New Roman" w:cs="Times New Roman"/>
          <w:sz w:val="24"/>
        </w:rPr>
        <w:t xml:space="preserve">0</w:t>
      </w:r>
      <w:r>
        <w:rPr>
          <w:rFonts w:ascii="Times New Roman" w:hAnsi="Times New Roman" w:cs="Times New Roman"/>
          <w:sz w:val="24"/>
        </w:rPr>
        <w:t xml:space="preserve">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1</w:t>
      </w:r>
      <w:r>
        <w:rPr>
          <w:rFonts w:ascii="Times New Roman" w:hAnsi="Times New Roman" w:cs="Times New Roman"/>
          <w:sz w:val="24"/>
        </w:rPr>
        <w:t xml:space="preserve">698 и от 09</w:t>
      </w:r>
      <w:r>
        <w:rPr>
          <w:rFonts w:ascii="Times New Roman" w:hAnsi="Times New Roman" w:cs="Times New Roman"/>
          <w:sz w:val="24"/>
        </w:rPr>
        <w:t xml:space="preserve">.12.202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№ 19</w:t>
      </w:r>
      <w:r>
        <w:rPr>
          <w:rFonts w:ascii="Times New Roman" w:hAnsi="Times New Roman" w:cs="Times New Roman"/>
          <w:sz w:val="24"/>
        </w:rPr>
        <w:t xml:space="preserve">82</w:t>
      </w:r>
      <w:r>
        <w:rPr>
          <w:rFonts w:ascii="Times New Roman" w:hAnsi="Times New Roman" w:cs="Times New Roman"/>
          <w:sz w:val="24"/>
        </w:rPr>
        <w:t xml:space="preserve">).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Целью </w:t>
      </w:r>
      <w:r>
        <w:rPr>
          <w:rFonts w:ascii="Times New Roman" w:hAnsi="Times New Roman" w:cs="Times New Roman"/>
          <w:sz w:val="24"/>
          <w:szCs w:val="24"/>
        </w:rPr>
        <w:t xml:space="preserve">Программы </w:t>
      </w:r>
      <w:r>
        <w:rPr>
          <w:rFonts w:ascii="Times New Roman" w:hAnsi="Times New Roman" w:cs="Times New Roman"/>
          <w:sz w:val="24"/>
        </w:rPr>
        <w:t xml:space="preserve">является обеспечение комфортной среды проживания населения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Программа ориентирована на решение 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33"/>
        <w:numPr>
          <w:ilvl w:val="0"/>
          <w:numId w:val="73"/>
        </w:num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Повышение уровня экологической безопасности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33"/>
        <w:numPr>
          <w:ilvl w:val="0"/>
          <w:numId w:val="73"/>
        </w:num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33"/>
        <w:numPr>
          <w:ilvl w:val="0"/>
          <w:numId w:val="73"/>
        </w:num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Организация ритуальных услуг и содержание мест захоронения.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33"/>
        <w:numPr>
          <w:ilvl w:val="0"/>
          <w:numId w:val="73"/>
        </w:num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Повышение комфортности условий проживания населения и уровня благоустройства территории.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33"/>
        <w:numPr>
          <w:ilvl w:val="0"/>
          <w:numId w:val="73"/>
        </w:num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Повышение санитарно-эпидемиологического уровня содержания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33"/>
        <w:numPr>
          <w:ilvl w:val="0"/>
          <w:numId w:val="73"/>
        </w:numPr>
        <w:ind w:left="0" w:right="0" w:firstLine="709"/>
        <w:jc w:val="both"/>
        <w:spacing w:after="0" w:line="240" w:lineRule="auto"/>
        <w:tabs>
          <w:tab w:val="left" w:pos="851" w:leader="none"/>
        </w:tabs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Повышение уровня благоустройства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осуществляется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64"/>
        <w:numPr>
          <w:ilvl w:val="0"/>
          <w:numId w:val="74"/>
        </w:numPr>
        <w:ind w:left="0" w:right="0" w:firstLine="709"/>
        <w:jc w:val="both"/>
        <w:tabs>
          <w:tab w:val="left" w:pos="142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одпрограмма 1 «Охрана окружающей среды»;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64"/>
        <w:numPr>
          <w:ilvl w:val="0"/>
          <w:numId w:val="74"/>
        </w:numPr>
        <w:ind w:left="0" w:right="0" w:firstLine="709"/>
        <w:jc w:val="both"/>
        <w:tabs>
          <w:tab w:val="left" w:pos="142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2 «</w:t>
      </w:r>
      <w:r>
        <w:rPr>
          <w:rFonts w:ascii="Times New Roman" w:hAnsi="Times New Roman" w:cs="Times New Roman"/>
          <w:sz w:val="24"/>
          <w:szCs w:val="24"/>
        </w:rPr>
        <w:t xml:space="preserve">Ж</w:t>
      </w:r>
      <w:r>
        <w:rPr>
          <w:rFonts w:ascii="Times New Roman" w:hAnsi="Times New Roman" w:cs="Times New Roman"/>
          <w:sz w:val="24"/>
          <w:szCs w:val="24"/>
        </w:rPr>
        <w:t xml:space="preserve">илищно-коммунально</w:t>
      </w:r>
      <w:r>
        <w:rPr>
          <w:rFonts w:ascii="Times New Roman" w:hAnsi="Times New Roman" w:cs="Times New Roman"/>
          <w:sz w:val="24"/>
          <w:szCs w:val="24"/>
        </w:rPr>
        <w:t xml:space="preserve">е</w:t>
      </w:r>
      <w:r>
        <w:rPr>
          <w:rFonts w:ascii="Times New Roman" w:hAnsi="Times New Roman" w:cs="Times New Roman"/>
          <w:sz w:val="24"/>
          <w:szCs w:val="24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</w:rPr>
        <w:t xml:space="preserve">о</w:t>
      </w:r>
      <w:r>
        <w:rPr>
          <w:rFonts w:ascii="Times New Roman" w:hAnsi="Times New Roman" w:cs="Times New Roman"/>
          <w:sz w:val="24"/>
          <w:szCs w:val="24"/>
        </w:rPr>
        <w:t xml:space="preserve">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4"/>
        </w:numPr>
        <w:ind w:left="0" w:right="0" w:firstLine="709"/>
        <w:jc w:val="both"/>
        <w:spacing w:after="0" w:line="240" w:lineRule="auto"/>
        <w:tabs>
          <w:tab w:val="left" w:pos="142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3</w:t>
      </w:r>
      <w:r>
        <w:rPr>
          <w:rFonts w:ascii="Times New Roman" w:hAnsi="Times New Roman" w:cs="Times New Roman"/>
          <w:sz w:val="24"/>
          <w:szCs w:val="24"/>
        </w:rPr>
        <w:t xml:space="preserve"> «Развитие сферы ритуальных услуг и мест захоронения»;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4"/>
        </w:numPr>
        <w:ind w:left="0" w:right="0" w:firstLine="709"/>
        <w:jc w:val="both"/>
        <w:spacing w:after="0" w:line="240" w:lineRule="auto"/>
        <w:tabs>
          <w:tab w:val="left" w:pos="142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4</w:t>
      </w:r>
      <w:r>
        <w:rPr>
          <w:rFonts w:ascii="Times New Roman" w:hAnsi="Times New Roman" w:cs="Times New Roman"/>
          <w:sz w:val="24"/>
          <w:szCs w:val="24"/>
        </w:rPr>
        <w:t xml:space="preserve"> «Комплексное благоустройство городской среды»;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4"/>
        </w:numPr>
        <w:ind w:left="0" w:right="0" w:firstLine="709"/>
        <w:jc w:val="both"/>
        <w:spacing w:after="0" w:line="240" w:lineRule="auto"/>
        <w:tabs>
          <w:tab w:val="left" w:pos="142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5</w:t>
      </w:r>
      <w:r>
        <w:rPr>
          <w:rFonts w:ascii="Times New Roman" w:hAnsi="Times New Roman" w:cs="Times New Roman"/>
          <w:sz w:val="24"/>
          <w:szCs w:val="24"/>
        </w:rPr>
        <w:t xml:space="preserve"> «Организация отлова животных</w:t>
      </w:r>
      <w:r>
        <w:rPr>
          <w:rFonts w:ascii="Times New Roman" w:hAnsi="Times New Roman" w:cs="Times New Roman"/>
          <w:sz w:val="24"/>
          <w:szCs w:val="24"/>
        </w:rPr>
        <w:t xml:space="preserve"> без владельцев»;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4"/>
        </w:numPr>
        <w:ind w:left="0" w:right="0" w:firstLine="709"/>
        <w:jc w:val="both"/>
        <w:spacing w:after="0" w:line="240" w:lineRule="auto"/>
        <w:tabs>
          <w:tab w:val="left" w:pos="142" w:leader="none"/>
          <w:tab w:val="left" w:pos="751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6 «Формирование современной городской среды».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142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t xml:space="preserve">740 392,0 </w:t>
      </w:r>
      <w:r>
        <w:rPr>
          <w:rFonts w:ascii="Times New Roman" w:hAnsi="Times New Roman" w:eastAsia="Calibri" w:cs="Times New Roman"/>
          <w:spacing w:val="3"/>
          <w:sz w:val="24"/>
          <w:szCs w:val="24"/>
          <w:shd w:val="clear" w:color="auto" w:fill="ffffff"/>
        </w:rPr>
        <w:t xml:space="preserve">тыс.</w:t>
      </w:r>
      <w:r>
        <w:rPr>
          <w:rFonts w:eastAsia="Calibri"/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рублей. В течение года объем финансирования был у</w:t>
      </w:r>
      <w:r>
        <w:rPr>
          <w:rFonts w:ascii="Times New Roman" w:hAnsi="Times New Roman" w:cs="Times New Roman"/>
          <w:sz w:val="24"/>
          <w:szCs w:val="24"/>
        </w:rPr>
        <w:t xml:space="preserve">меньшен (в части областных средств)</w:t>
      </w:r>
      <w:r>
        <w:rPr>
          <w:rFonts w:ascii="Times New Roman" w:hAnsi="Times New Roman" w:cs="Times New Roman"/>
          <w:sz w:val="24"/>
          <w:szCs w:val="24"/>
        </w:rPr>
        <w:t xml:space="preserve"> и составил </w:t>
      </w:r>
      <w:r>
        <w:rPr>
          <w:rFonts w:ascii="Times New Roman" w:hAnsi="Times New Roman" w:cs="Times New Roman"/>
          <w:sz w:val="24"/>
          <w:szCs w:val="24"/>
        </w:rPr>
        <w:t xml:space="preserve">476 342,7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9 436,9 тыс. рублей, </w:t>
      </w:r>
      <w:r>
        <w:rPr>
          <w:rFonts w:ascii="Times New Roman" w:hAnsi="Times New Roman" w:cs="Times New Roman"/>
          <w:sz w:val="24"/>
          <w:szCs w:val="24"/>
        </w:rPr>
        <w:t xml:space="preserve">средства областного бюджета 1</w:t>
      </w:r>
      <w:r>
        <w:rPr>
          <w:rFonts w:ascii="Times New Roman" w:hAnsi="Times New Roman" w:cs="Times New Roman"/>
          <w:sz w:val="24"/>
          <w:szCs w:val="24"/>
        </w:rPr>
        <w:t xml:space="preserve">86 438,0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278 671,8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внебюджетные ассигнования </w:t>
      </w:r>
      <w:r>
        <w:rPr>
          <w:rFonts w:ascii="Times New Roman" w:hAnsi="Times New Roman" w:cs="Times New Roman"/>
          <w:sz w:val="24"/>
          <w:szCs w:val="24"/>
        </w:rPr>
        <w:t xml:space="preserve">1 796,0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410 674,7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8</w:t>
      </w:r>
      <w:r>
        <w:rPr>
          <w:rFonts w:ascii="Times New Roman" w:hAnsi="Times New Roman" w:cs="Times New Roman"/>
          <w:sz w:val="24"/>
          <w:szCs w:val="24"/>
        </w:rPr>
        <w:t xml:space="preserve">6,2</w:t>
      </w:r>
      <w:r>
        <w:rPr>
          <w:rFonts w:ascii="Times New Roman" w:hAnsi="Times New Roman" w:cs="Times New Roman"/>
          <w:sz w:val="24"/>
          <w:szCs w:val="24"/>
        </w:rPr>
        <w:t xml:space="preserve">%. Не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65 668,0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областной бюджет </w:t>
      </w:r>
      <w:r>
        <w:rPr>
          <w:rFonts w:ascii="Times New Roman" w:hAnsi="Times New Roman" w:cs="Times New Roman"/>
          <w:sz w:val="24"/>
          <w:szCs w:val="24"/>
        </w:rPr>
        <w:t xml:space="preserve">11 602,8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</w:t>
      </w:r>
      <w:r>
        <w:rPr>
          <w:rFonts w:ascii="Times New Roman" w:hAnsi="Times New Roman" w:cs="Times New Roman"/>
          <w:sz w:val="24"/>
          <w:szCs w:val="24"/>
        </w:rPr>
        <w:t xml:space="preserve">53 613,7 тыс. рублей, внебюджетные средства 451,5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64"/>
        <w:ind w:firstLine="709"/>
        <w:jc w:val="both"/>
        <w:tabs>
          <w:tab w:val="left" w:pos="214" w:leader="none"/>
        </w:tabs>
        <w:rPr>
          <w:rFonts w:ascii="Times New Roman" w:hAnsi="Times New Roman" w:cs="Times New Roman" w:eastAsiaTheme="minorHAnsi"/>
          <w:sz w:val="24"/>
          <w:szCs w:val="24"/>
          <w:u w:val="single"/>
          <w:lang w:eastAsia="en-US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«Охрана окружающей среды»</w:t>
      </w:r>
      <w:r>
        <w:rPr>
          <w:rFonts w:ascii="Times New Roman" w:hAnsi="Times New Roman" w:cs="Times New Roman" w:eastAsiaTheme="minorHAnsi"/>
          <w:sz w:val="24"/>
          <w:szCs w:val="24"/>
          <w:u w:val="single"/>
          <w:lang w:eastAsia="en-US"/>
        </w:rPr>
        <w:t xml:space="preserve">. </w:t>
      </w:r>
      <w:r>
        <w:rPr>
          <w:rFonts w:ascii="Times New Roman" w:hAnsi="Times New Roman" w:cs="Times New Roman" w:eastAsiaTheme="minorHAnsi"/>
          <w:sz w:val="24"/>
          <w:szCs w:val="24"/>
          <w:u w:val="single"/>
          <w:lang w:eastAsia="en-US"/>
        </w:rPr>
      </w:r>
      <w:r>
        <w:rPr>
          <w:rFonts w:ascii="Times New Roman" w:hAnsi="Times New Roman" w:cs="Times New Roman" w:eastAsiaTheme="minorHAnsi"/>
          <w:sz w:val="24"/>
          <w:szCs w:val="24"/>
          <w:u w:val="single"/>
          <w:lang w:eastAsia="en-US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уровня экологической безопасности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Подпрограммы 1 в 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</w:rPr>
        <w:t xml:space="preserve">41</w:t>
      </w:r>
      <w:r>
        <w:rPr>
          <w:rFonts w:ascii="Times New Roman" w:hAnsi="Times New Roman" w:cs="Times New Roman"/>
          <w:sz w:val="24"/>
        </w:rPr>
        <w:t xml:space="preserve"> </w:t>
      </w:r>
      <w:r>
        <w:rPr>
          <w:rFonts w:ascii="Times New Roman" w:hAnsi="Times New Roman" w:cs="Times New Roman"/>
          <w:sz w:val="24"/>
        </w:rPr>
        <w:t xml:space="preserve">414,2</w:t>
      </w:r>
      <w:r>
        <w:rPr>
          <w:rFonts w:ascii="Times New Roman" w:hAnsi="Times New Roman" w:cs="Times New Roman"/>
          <w:sz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>
        <w:rPr>
          <w:rFonts w:ascii="Times New Roman" w:hAnsi="Times New Roman" w:cs="Times New Roman"/>
          <w:sz w:val="24"/>
          <w:szCs w:val="24"/>
        </w:rPr>
        <w:t xml:space="preserve">зрасходовано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285,8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рублей,</w:t>
      </w:r>
      <w:r>
        <w:rPr>
          <w:rFonts w:ascii="Times New Roman" w:hAnsi="Times New Roman" w:cs="Times New Roman"/>
          <w:sz w:val="24"/>
          <w:szCs w:val="24"/>
        </w:rPr>
        <w:t xml:space="preserve"> на ремонт и устройство контейнерных площадок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Не использовано </w:t>
      </w:r>
      <w:r>
        <w:rPr>
          <w:rFonts w:ascii="Times New Roman" w:hAnsi="Times New Roman" w:cs="Times New Roman"/>
          <w:sz w:val="24"/>
          <w:szCs w:val="24"/>
        </w:rPr>
        <w:t xml:space="preserve">40 124,9 тыс. рублей</w:t>
      </w:r>
      <w:r>
        <w:rPr>
          <w:rFonts w:ascii="Times New Roman" w:hAnsi="Times New Roman" w:cs="Times New Roman"/>
          <w:sz w:val="24"/>
          <w:szCs w:val="24"/>
        </w:rPr>
        <w:t xml:space="preserve">. Освоение средств, поступивших в бюджет округа от платы за</w:t>
      </w:r>
      <w:r>
        <w:rPr>
          <w:rFonts w:ascii="Times New Roman" w:hAnsi="Times New Roman" w:cs="Times New Roman"/>
          <w:sz w:val="24"/>
          <w:szCs w:val="24"/>
        </w:rPr>
        <w:t xml:space="preserve"> негативное воздействие на окружающую среду, возможно только при включении мест несанкционированного размещения отходов в «План мероприятий, указанных в пункте 1 статьи 16.6, пункте 1 статьи 75.1 и пункте 1 статьи 78.2 Федерального закона «Об охране окружа</w:t>
      </w:r>
      <w:r>
        <w:rPr>
          <w:rFonts w:ascii="Times New Roman" w:hAnsi="Times New Roman" w:cs="Times New Roman"/>
          <w:sz w:val="24"/>
          <w:szCs w:val="24"/>
        </w:rPr>
        <w:t xml:space="preserve">ющей среды» Мурманской области»</w:t>
      </w:r>
      <w:r>
        <w:rPr>
          <w:rFonts w:ascii="Times New Roman" w:hAnsi="Times New Roman" w:cs="Times New Roman"/>
          <w:sz w:val="24"/>
          <w:szCs w:val="24"/>
        </w:rPr>
        <w:t xml:space="preserve"> (далее – План). В настоящее время План на </w:t>
      </w:r>
      <w:r>
        <w:rPr>
          <w:rFonts w:ascii="Times New Roman" w:hAnsi="Times New Roman" w:cs="Times New Roman"/>
          <w:sz w:val="24"/>
          <w:szCs w:val="24"/>
        </w:rPr>
        <w:t xml:space="preserve">утверждении</w:t>
      </w:r>
      <w:r>
        <w:rPr>
          <w:rFonts w:ascii="Times New Roman" w:hAnsi="Times New Roman" w:cs="Times New Roman"/>
          <w:sz w:val="24"/>
          <w:szCs w:val="24"/>
        </w:rPr>
        <w:t xml:space="preserve"> в Министерстве природных ресурсов Российской Федерации.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Ж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илищно-коммунально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хозяйств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- устойчивое и надежное функционирование жилищно-коммунального хозяйства.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2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1</w:t>
      </w:r>
      <w:r>
        <w:rPr>
          <w:rFonts w:ascii="Times New Roman" w:hAnsi="Times New Roman" w:cs="Times New Roman"/>
          <w:sz w:val="24"/>
          <w:szCs w:val="24"/>
        </w:rPr>
        <w:t xml:space="preserve">65 867,3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165 030,8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99,5</w:t>
      </w:r>
      <w:r>
        <w:rPr>
          <w:rFonts w:ascii="Times New Roman" w:hAnsi="Times New Roman" w:cs="Times New Roman"/>
          <w:sz w:val="24"/>
          <w:szCs w:val="24"/>
        </w:rPr>
        <w:t xml:space="preserve">%. </w:t>
      </w:r>
      <w:r>
        <w:rPr>
          <w:rFonts w:ascii="Times New Roman" w:hAnsi="Times New Roman" w:cs="Times New Roman"/>
          <w:sz w:val="24"/>
          <w:szCs w:val="24"/>
        </w:rPr>
        <w:t xml:space="preserve">Не освоено 836,5 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382,2 тыс. рублей не использовано на мероприятие по приведению в санитарно-техническое состояние незаселенных муниципальных жилых помещений; 454,3 тыс. рублей экономия при проведение ремонтных работ четырех подъездов дома 7 по ул. Ленина, г. Заполярный.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u w:val="single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3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«Развитие сферы ритуальных услуг и мест захоронения».</w:t>
      </w:r>
      <w:r>
        <w:rPr>
          <w:rFonts w:ascii="Times New Roman" w:hAnsi="Times New Roman" w:cs="Times New Roman"/>
          <w:sz w:val="24"/>
          <w:u w:val="single"/>
        </w:rPr>
      </w:r>
      <w:r>
        <w:rPr>
          <w:rFonts w:ascii="Times New Roman" w:hAnsi="Times New Roman" w:cs="Times New Roman"/>
          <w:sz w:val="24"/>
          <w:u w:val="single"/>
        </w:rPr>
      </w:r>
    </w:p>
    <w:p>
      <w:pPr>
        <w:pStyle w:val="1116"/>
        <w:ind w:firstLine="709"/>
        <w:jc w:val="both"/>
        <w:tabs>
          <w:tab w:val="clear" w:pos="916" w:leader="none"/>
          <w:tab w:val="clear" w:pos="1832" w:leader="none"/>
          <w:tab w:val="clear" w:pos="2748" w:leader="none"/>
          <w:tab w:val="clear" w:pos="3664" w:leader="none"/>
          <w:tab w:val="clear" w:pos="4580" w:leader="none"/>
          <w:tab w:val="clear" w:pos="5496" w:leader="none"/>
          <w:tab w:val="clear" w:pos="6412" w:leader="none"/>
          <w:tab w:val="clear" w:pos="7328" w:leader="none"/>
          <w:tab w:val="clear" w:pos="8244" w:leader="none"/>
          <w:tab w:val="clear" w:pos="9160" w:leader="none"/>
          <w:tab w:val="clear" w:pos="10076" w:leader="none"/>
          <w:tab w:val="clear" w:pos="10992" w:leader="none"/>
          <w:tab w:val="clear" w:pos="11908" w:leader="none"/>
          <w:tab w:val="clear" w:pos="12824" w:leader="none"/>
          <w:tab w:val="clear" w:pos="13740" w:leader="none"/>
          <w:tab w:val="clear" w:pos="14656" w:leader="none"/>
        </w:tabs>
        <w:rPr>
          <w:rFonts w:ascii="Times New Roman" w:hAnsi="Times New Roman" w:cs="Times New Roman"/>
          <w:lang w:eastAsia="ru-RU"/>
        </w:rPr>
      </w:pPr>
      <w:r>
        <w:rPr>
          <w:rFonts w:ascii="Times New Roman" w:hAnsi="Times New Roman" w:cs="Times New Roman"/>
          <w:lang w:eastAsia="ru-RU"/>
        </w:rPr>
        <w:t xml:space="preserve">Цель подпрограммы – организация ритуальных услуг и содержание мест захоронения.</w:t>
      </w:r>
      <w:r>
        <w:rPr>
          <w:rFonts w:ascii="Times New Roman" w:hAnsi="Times New Roman" w:cs="Times New Roman"/>
          <w:lang w:eastAsia="ru-RU"/>
        </w:rPr>
      </w:r>
      <w:r>
        <w:rPr>
          <w:rFonts w:ascii="Times New Roman" w:hAnsi="Times New Roman" w:cs="Times New Roman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 3: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5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Расширение мест захоронения.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5"/>
        </w:numPr>
        <w:ind w:left="0"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Обеспечение реализации полномочий органов местного самоуправления в сфере организации ритуальных услуг и содержания мест захоронения.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3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2 331,1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120,2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2210,9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2 129,9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9</w:t>
      </w:r>
      <w:r>
        <w:rPr>
          <w:rFonts w:ascii="Times New Roman" w:hAnsi="Times New Roman" w:cs="Times New Roman"/>
          <w:sz w:val="24"/>
          <w:szCs w:val="24"/>
        </w:rPr>
        <w:t xml:space="preserve">1,4</w:t>
      </w:r>
      <w:r>
        <w:rPr>
          <w:rFonts w:ascii="Times New Roman" w:hAnsi="Times New Roman" w:cs="Times New Roman"/>
          <w:sz w:val="24"/>
          <w:szCs w:val="24"/>
        </w:rPr>
        <w:t xml:space="preserve">%. Экономия по содержанию кладбищ</w:t>
      </w:r>
      <w:r>
        <w:rPr>
          <w:rFonts w:ascii="Times New Roman" w:hAnsi="Times New Roman" w:cs="Times New Roman"/>
          <w:sz w:val="24"/>
          <w:szCs w:val="24"/>
        </w:rPr>
        <w:t xml:space="preserve"> 201,2 тыс. рублей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428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4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«Комплексное благоустройство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и содержание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городской среды».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комфортности условий проживания населения и уровня благоустройства территории.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Основные мероприятия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Повышение уровня благоустройства территорий общего пользования.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Решение вопросов местного значения в сфере благоустройства и озеленения.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4 </w:t>
      </w:r>
      <w:r>
        <w:rPr>
          <w:rFonts w:ascii="Times New Roman" w:hAnsi="Times New Roman" w:cs="Times New Roman"/>
          <w:sz w:val="24"/>
          <w:szCs w:val="24"/>
        </w:rPr>
        <w:t xml:space="preserve">в 2024 году </w:t>
      </w:r>
      <w:r>
        <w:rPr>
          <w:rFonts w:ascii="Times New Roman" w:hAnsi="Times New Roman" w:cs="Times New Roman"/>
          <w:sz w:val="24"/>
          <w:szCs w:val="24"/>
        </w:rPr>
        <w:t xml:space="preserve">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199 387,6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27099,1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 округа 171</w:t>
      </w:r>
      <w:r>
        <w:rPr>
          <w:rFonts w:ascii="Times New Roman" w:hAnsi="Times New Roman" w:cs="Times New Roman"/>
          <w:sz w:val="24"/>
          <w:szCs w:val="24"/>
        </w:rPr>
        <w:t xml:space="preserve"> 018,5 тыс. рублей, внебюджетные ассигнования 1 270,0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186 459,1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9</w:t>
      </w:r>
      <w:r>
        <w:rPr>
          <w:rFonts w:ascii="Times New Roman" w:hAnsi="Times New Roman" w:cs="Times New Roman"/>
          <w:sz w:val="24"/>
          <w:szCs w:val="24"/>
        </w:rPr>
        <w:t xml:space="preserve">3,5</w:t>
      </w:r>
      <w:r>
        <w:rPr>
          <w:rFonts w:ascii="Times New Roman" w:hAnsi="Times New Roman" w:cs="Times New Roman"/>
          <w:sz w:val="24"/>
          <w:szCs w:val="24"/>
        </w:rPr>
        <w:t xml:space="preserve">%. Не освоены средства в размере 1</w:t>
      </w:r>
      <w:r>
        <w:rPr>
          <w:rFonts w:ascii="Times New Roman" w:hAnsi="Times New Roman" w:cs="Times New Roman"/>
          <w:sz w:val="24"/>
          <w:szCs w:val="24"/>
        </w:rPr>
        <w:t xml:space="preserve">2 928,5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средства областного бюджета – </w:t>
      </w:r>
      <w:r>
        <w:rPr>
          <w:rFonts w:ascii="Times New Roman" w:hAnsi="Times New Roman" w:cs="Times New Roman"/>
          <w:sz w:val="24"/>
          <w:szCs w:val="24"/>
        </w:rPr>
        <w:t xml:space="preserve">1 808,7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време</w:t>
      </w:r>
      <w:r>
        <w:rPr>
          <w:rFonts w:ascii="Times New Roman" w:hAnsi="Times New Roman" w:cs="Times New Roman"/>
          <w:sz w:val="24"/>
          <w:szCs w:val="24"/>
        </w:rPr>
        <w:t xml:space="preserve">нных общественно полезных работ</w:t>
      </w:r>
      <w:r>
        <w:rPr>
          <w:rFonts w:ascii="Times New Roman" w:hAnsi="Times New Roman" w:cs="Times New Roman"/>
          <w:sz w:val="24"/>
          <w:szCs w:val="24"/>
        </w:rPr>
        <w:t xml:space="preserve">; средства бюджета округа – </w:t>
      </w:r>
      <w:r>
        <w:rPr>
          <w:rFonts w:ascii="Times New Roman" w:hAnsi="Times New Roman" w:cs="Times New Roman"/>
          <w:sz w:val="24"/>
          <w:szCs w:val="24"/>
        </w:rPr>
        <w:t xml:space="preserve">10 867,7 тыс. рублей: 2217,6</w:t>
      </w:r>
      <w:r>
        <w:rPr>
          <w:rFonts w:ascii="Times New Roman" w:hAnsi="Times New Roman" w:cs="Times New Roman"/>
          <w:sz w:val="24"/>
          <w:szCs w:val="24"/>
        </w:rPr>
        <w:t xml:space="preserve"> тыс. рублей</w:t>
      </w:r>
      <w:r>
        <w:rPr>
          <w:rFonts w:ascii="Times New Roman" w:hAnsi="Times New Roman" w:cs="Times New Roman"/>
          <w:sz w:val="24"/>
          <w:szCs w:val="24"/>
        </w:rPr>
        <w:t xml:space="preserve"> ремонт пешеходных тротуаров, экономия при заключении контракта; 5 082,2 тыс. рублей на мероприятие по привлекательности объектов благоустройства</w:t>
      </w:r>
      <w:r>
        <w:rPr>
          <w:rFonts w:ascii="Times New Roman" w:hAnsi="Times New Roman" w:cs="Times New Roman"/>
          <w:sz w:val="24"/>
          <w:szCs w:val="24"/>
        </w:rPr>
        <w:t xml:space="preserve"> (экономия на приобретение саженцев и малых архитектурных форм); 1 504,7 тыс. рублей</w:t>
      </w: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благоустройство </w:t>
      </w:r>
      <w:r>
        <w:rPr>
          <w:rFonts w:ascii="Times New Roman" w:hAnsi="Times New Roman" w:cs="Times New Roman"/>
          <w:sz w:val="24"/>
          <w:szCs w:val="24"/>
        </w:rPr>
        <w:t xml:space="preserve">детских игровых и спортивных площадок</w:t>
      </w:r>
      <w:r>
        <w:rPr>
          <w:rFonts w:ascii="Times New Roman" w:hAnsi="Times New Roman" w:cs="Times New Roman"/>
          <w:sz w:val="24"/>
          <w:szCs w:val="24"/>
        </w:rPr>
        <w:t xml:space="preserve">; 563,3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экономия потребления</w:t>
      </w:r>
      <w:r>
        <w:rPr>
          <w:rFonts w:ascii="Times New Roman" w:hAnsi="Times New Roman" w:cs="Times New Roman"/>
          <w:sz w:val="24"/>
          <w:szCs w:val="24"/>
        </w:rPr>
        <w:t xml:space="preserve"> электроэнергии для уличного освещения; </w:t>
      </w:r>
      <w:r>
        <w:rPr>
          <w:rFonts w:ascii="Times New Roman" w:hAnsi="Times New Roman" w:cs="Times New Roman"/>
          <w:sz w:val="24"/>
          <w:szCs w:val="24"/>
        </w:rPr>
        <w:t xml:space="preserve">200,1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экономия при установке опор наружного освещения; 151,6 тыс. рублей не использовано на </w:t>
      </w:r>
      <w:r>
        <w:rPr>
          <w:rFonts w:ascii="Times New Roman" w:hAnsi="Times New Roman" w:cs="Times New Roman"/>
          <w:sz w:val="24"/>
          <w:szCs w:val="24"/>
        </w:rPr>
        <w:t xml:space="preserve">мероприятия по организации трудовых бригад и общественно полезных работ; </w:t>
      </w:r>
      <w:r>
        <w:rPr>
          <w:rFonts w:ascii="Times New Roman" w:hAnsi="Times New Roman" w:cs="Times New Roman"/>
          <w:sz w:val="24"/>
          <w:szCs w:val="24"/>
        </w:rPr>
        <w:t xml:space="preserve">55,5 тыс. рублей экономия по мероприятиям местные инициативы; 645,2 тыс. рублей экономия по благоустройству автомобильных дорог и </w:t>
      </w:r>
      <w:r>
        <w:rPr>
          <w:rFonts w:ascii="Times New Roman" w:hAnsi="Times New Roman" w:cs="Times New Roman"/>
          <w:sz w:val="24"/>
          <w:szCs w:val="24"/>
        </w:rPr>
        <w:t xml:space="preserve">установке опор наружного освещения на них; 447,5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тыс. рублей на обеспечение учреждений, предо</w:t>
      </w:r>
      <w:r>
        <w:rPr>
          <w:rFonts w:ascii="Times New Roman" w:hAnsi="Times New Roman" w:cs="Times New Roman"/>
          <w:sz w:val="24"/>
          <w:szCs w:val="24"/>
        </w:rPr>
        <w:t xml:space="preserve">ставляющих муниципальные услуги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рамках реализации </w:t>
      </w:r>
      <w:r>
        <w:rPr>
          <w:rFonts w:ascii="Times New Roman" w:hAnsi="Times New Roman" w:cs="Times New Roman"/>
          <w:sz w:val="24"/>
          <w:szCs w:val="24"/>
        </w:rPr>
        <w:t xml:space="preserve">м</w:t>
      </w:r>
      <w:r>
        <w:rPr>
          <w:rFonts w:ascii="Times New Roman" w:hAnsi="Times New Roman" w:cs="Times New Roman"/>
          <w:sz w:val="24"/>
          <w:szCs w:val="24"/>
        </w:rPr>
        <w:t xml:space="preserve">ероприяти</w:t>
      </w:r>
      <w:r>
        <w:rPr>
          <w:rFonts w:ascii="Times New Roman" w:hAnsi="Times New Roman" w:cs="Times New Roman"/>
          <w:sz w:val="24"/>
          <w:szCs w:val="24"/>
        </w:rPr>
        <w:t xml:space="preserve">я</w:t>
      </w:r>
      <w:r>
        <w:rPr>
          <w:rFonts w:ascii="Times New Roman" w:hAnsi="Times New Roman" w:cs="Times New Roman"/>
          <w:sz w:val="24"/>
          <w:szCs w:val="24"/>
        </w:rPr>
        <w:t xml:space="preserve"> «Реконст</w:t>
      </w:r>
      <w:r>
        <w:rPr>
          <w:rFonts w:ascii="Times New Roman" w:hAnsi="Times New Roman" w:cs="Times New Roman"/>
          <w:sz w:val="24"/>
          <w:szCs w:val="24"/>
        </w:rPr>
        <w:t xml:space="preserve">рукция объектов теплоснабжения» заключено Концессионное с</w:t>
      </w:r>
      <w:r>
        <w:rPr>
          <w:rFonts w:ascii="Times New Roman" w:hAnsi="Times New Roman" w:cs="Times New Roman"/>
          <w:sz w:val="24"/>
          <w:szCs w:val="24"/>
        </w:rPr>
        <w:t xml:space="preserve">оглашение от 11.10.2024 года в отношении объектов по производству, передаче и распределению </w:t>
      </w:r>
      <w:r>
        <w:rPr>
          <w:rFonts w:ascii="Times New Roman" w:hAnsi="Times New Roman" w:cs="Times New Roman"/>
          <w:sz w:val="24"/>
          <w:szCs w:val="24"/>
        </w:rPr>
        <w:t xml:space="preserve">тепловой энергии и горячей воды. К</w:t>
      </w:r>
      <w:r>
        <w:rPr>
          <w:rFonts w:ascii="Times New Roman" w:hAnsi="Times New Roman" w:cs="Times New Roman"/>
          <w:sz w:val="24"/>
          <w:szCs w:val="24"/>
        </w:rPr>
        <w:t xml:space="preserve">онцессионер ООО «ПромВоенСтрой». Сроки выполнения работ – до 31 декабря 2025 года. </w:t>
      </w:r>
      <w:r>
        <w:rPr>
          <w:rFonts w:ascii="Times New Roman" w:hAnsi="Times New Roman" w:cs="Times New Roman"/>
          <w:sz w:val="24"/>
          <w:szCs w:val="24"/>
        </w:rPr>
        <w:t xml:space="preserve">По заявке К</w:t>
      </w:r>
      <w:r>
        <w:rPr>
          <w:rFonts w:ascii="Times New Roman" w:hAnsi="Times New Roman" w:cs="Times New Roman"/>
          <w:sz w:val="24"/>
          <w:szCs w:val="24"/>
        </w:rPr>
        <w:t xml:space="preserve">онцессионера денежные средства в размере 123 787,5 тыс. рублей, перечислены на счета, открытые в казначействе.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u w:val="single"/>
        </w:rPr>
        <w:t xml:space="preserve">Подпрограмма 5</w:t>
      </w:r>
      <w:r>
        <w:rPr>
          <w:rFonts w:ascii="Times New Roman" w:hAnsi="Times New Roman" w:cs="Times New Roman"/>
          <w:sz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u w:val="single"/>
        </w:rPr>
        <w:t xml:space="preserve"> «Организация отлова безнадзорных животных».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89"/>
        <w:ind w:firstLine="709"/>
        <w:jc w:val="both"/>
        <w:spacing w:after="0" w:line="240" w:lineRule="auto"/>
        <w:tabs>
          <w:tab w:val="left" w:pos="0" w:leader="none"/>
          <w:tab w:val="left" w:pos="993" w:leader="none"/>
          <w:tab w:val="left" w:pos="8280" w:leader="none"/>
          <w:tab w:val="left" w:pos="9355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повышение санитарно-эпидемиологического уровня содержания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Достижение цели подпрограммы за счет решения задачи по регулированию численности животных без владельцев.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 реализацию Подпрограммы 5 предусмотрено </w:t>
      </w:r>
      <w:r>
        <w:rPr>
          <w:rFonts w:ascii="Times New Roman" w:hAnsi="Times New Roman" w:cs="Times New Roman"/>
          <w:sz w:val="24"/>
          <w:szCs w:val="24"/>
        </w:rPr>
        <w:t xml:space="preserve">2 776,7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средства областного бюджета, на организацию осуществления полномочий на деятельность по обращению с животными без владельцев, освоено </w:t>
      </w:r>
      <w:r>
        <w:rPr>
          <w:rFonts w:ascii="Times New Roman" w:hAnsi="Times New Roman" w:cs="Times New Roman"/>
          <w:sz w:val="24"/>
          <w:szCs w:val="24"/>
        </w:rPr>
        <w:t xml:space="preserve">1 934,2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6</w:t>
      </w:r>
      <w:r>
        <w:rPr>
          <w:rFonts w:ascii="Times New Roman" w:hAnsi="Times New Roman" w:cs="Times New Roman"/>
          <w:sz w:val="24"/>
          <w:szCs w:val="24"/>
        </w:rPr>
        <w:t xml:space="preserve">9,7</w:t>
      </w:r>
      <w:r>
        <w:rPr>
          <w:rFonts w:ascii="Times New Roman" w:hAnsi="Times New Roman" w:cs="Times New Roman"/>
          <w:sz w:val="24"/>
          <w:szCs w:val="24"/>
        </w:rPr>
        <w:t xml:space="preserve">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6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«Формирование современной городской среды».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Цель</w:t>
      </w:r>
      <w:r>
        <w:rPr>
          <w:rFonts w:ascii="Times New Roman" w:hAnsi="Times New Roman" w:cs="Times New Roman"/>
          <w:sz w:val="24"/>
        </w:rPr>
        <w:t xml:space="preserve"> подпр</w:t>
      </w:r>
      <w:r>
        <w:rPr>
          <w:rFonts w:ascii="Times New Roman" w:hAnsi="Times New Roman" w:cs="Times New Roman"/>
          <w:sz w:val="24"/>
        </w:rPr>
        <w:t xml:space="preserve">ограммы </w:t>
      </w:r>
      <w:r>
        <w:rPr>
          <w:rFonts w:ascii="Times New Roman" w:hAnsi="Times New Roman" w:cs="Times New Roman"/>
          <w:sz w:val="24"/>
        </w:rPr>
        <w:t xml:space="preserve">-</w:t>
      </w:r>
      <w:r>
        <w:rPr>
          <w:rFonts w:ascii="Times New Roman" w:hAnsi="Times New Roman" w:cs="Times New Roman"/>
          <w:sz w:val="24"/>
        </w:rPr>
        <w:t xml:space="preserve"> повышение </w:t>
      </w:r>
      <w:r>
        <w:rPr>
          <w:rFonts w:ascii="Times New Roman" w:hAnsi="Times New Roman" w:cs="Times New Roman"/>
          <w:sz w:val="24"/>
        </w:rPr>
        <w:t xml:space="preserve">уровня благоустройства территории Печенгского муниципального округа.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</w:t>
      </w:r>
      <w:r>
        <w:rPr>
          <w:rFonts w:ascii="Times New Roman" w:hAnsi="Times New Roman" w:cs="Times New Roman"/>
          <w:sz w:val="24"/>
        </w:rPr>
        <w:t xml:space="preserve">следующих задач: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1. Повышение уровня благоустройства дворовых территорий многоквартирных домов.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2. Повышение уровня благоустройства общественных территорий.</w:t>
      </w:r>
      <w:r>
        <w:rPr>
          <w:rFonts w:ascii="Times New Roman" w:hAnsi="Times New Roman" w:cs="Times New Roman"/>
          <w:sz w:val="24"/>
        </w:rPr>
      </w:r>
      <w:r>
        <w:rPr>
          <w:rFonts w:ascii="Times New Roman" w:hAnsi="Times New Roman" w:cs="Times New Roman"/>
          <w:sz w:val="24"/>
        </w:rPr>
      </w:r>
    </w:p>
    <w:p>
      <w:pPr>
        <w:pStyle w:val="1089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</w:t>
      </w:r>
      <w:r>
        <w:rPr>
          <w:rFonts w:ascii="Times New Roman" w:hAnsi="Times New Roman" w:cs="Times New Roman"/>
          <w:sz w:val="24"/>
          <w:szCs w:val="24"/>
        </w:rPr>
        <w:t xml:space="preserve">одп</w:t>
      </w:r>
      <w:r>
        <w:rPr>
          <w:rFonts w:ascii="Times New Roman" w:hAnsi="Times New Roman" w:cs="Times New Roman"/>
          <w:sz w:val="24"/>
          <w:szCs w:val="24"/>
        </w:rPr>
        <w:t xml:space="preserve">рограммы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 w:cs="Times New Roman"/>
          <w:sz w:val="24"/>
          <w:szCs w:val="24"/>
        </w:rPr>
        <w:t xml:space="preserve">355 380,6</w:t>
      </w:r>
      <w:r>
        <w:rPr>
          <w:rFonts w:ascii="Times New Roman" w:hAnsi="Times New Roman" w:cs="Times New Roman"/>
          <w:sz w:val="24"/>
          <w:szCs w:val="24"/>
        </w:rPr>
        <w:t xml:space="preserve"> тыс. рублей,</w:t>
      </w:r>
      <w:r>
        <w:rPr>
          <w:rFonts w:ascii="Times New Roman" w:hAnsi="Times New Roman" w:cs="Times New Roman"/>
          <w:sz w:val="24"/>
          <w:szCs w:val="24"/>
        </w:rPr>
        <w:t xml:space="preserve"> из них: средства областного бюджета 304 361,5</w:t>
      </w:r>
      <w:r>
        <w:rPr>
          <w:rFonts w:ascii="Times New Roman" w:hAnsi="Times New Roman" w:cs="Times New Roman"/>
          <w:sz w:val="24"/>
          <w:szCs w:val="24"/>
        </w:rPr>
        <w:t xml:space="preserve"> средства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 51 019,1 тыс. рублей</w:t>
      </w:r>
      <w:r>
        <w:rPr>
          <w:rFonts w:ascii="Times New Roman" w:hAnsi="Times New Roman" w:cs="Times New Roman"/>
          <w:sz w:val="24"/>
          <w:szCs w:val="24"/>
        </w:rPr>
        <w:t xml:space="preserve">. В течение года объем финансирования уточнен и составил 6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565.8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</w:t>
      </w:r>
      <w:r>
        <w:rPr>
          <w:rFonts w:ascii="Times New Roman" w:hAnsi="Times New Roman" w:cs="Times New Roman"/>
          <w:sz w:val="24"/>
          <w:szCs w:val="24"/>
        </w:rPr>
        <w:t xml:space="preserve"> средства федерального бюджета 9 436,9 тыс. рублей,</w:t>
      </w:r>
      <w:r>
        <w:rPr>
          <w:rFonts w:ascii="Times New Roman" w:hAnsi="Times New Roman" w:cs="Times New Roman"/>
          <w:sz w:val="24"/>
          <w:szCs w:val="24"/>
        </w:rPr>
        <w:t xml:space="preserve">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32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175,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22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953,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 w:cs="Times New Roman"/>
          <w:sz w:val="24"/>
          <w:szCs w:val="24"/>
        </w:rPr>
        <w:t xml:space="preserve">53 834,9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83,4</w:t>
      </w:r>
      <w:r>
        <w:rPr>
          <w:rFonts w:ascii="Times New Roman" w:hAnsi="Times New Roman" w:cs="Times New Roman"/>
          <w:sz w:val="24"/>
          <w:szCs w:val="24"/>
        </w:rPr>
        <w:t xml:space="preserve">%, не освоено 10 730,9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Основное мероприятие 1 – повышение уровня благоустройства дворовых территорий многоквартирных домов: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76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дворовых территорий </w:t>
      </w:r>
      <w:r>
        <w:rPr>
          <w:rFonts w:ascii="Times New Roman" w:hAnsi="Times New Roman" w:cs="Times New Roman"/>
          <w:sz w:val="24"/>
          <w:szCs w:val="24"/>
        </w:rPr>
        <w:t xml:space="preserve">(</w:t>
      </w:r>
      <w:r>
        <w:rPr>
          <w:rFonts w:ascii="Times New Roman" w:hAnsi="Times New Roman" w:cs="Times New Roman"/>
          <w:sz w:val="24"/>
          <w:szCs w:val="24"/>
        </w:rPr>
        <w:t xml:space="preserve">г. Заполярный, </w:t>
        <w:br/>
        <w:t xml:space="preserve">ул. Бабикова, </w:t>
      </w:r>
      <w:r>
        <w:rPr>
          <w:rFonts w:ascii="Times New Roman" w:hAnsi="Times New Roman" w:cs="Times New Roman"/>
          <w:sz w:val="24"/>
          <w:szCs w:val="24"/>
        </w:rPr>
        <w:t xml:space="preserve">д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11, </w:t>
      </w:r>
      <w:r>
        <w:rPr>
          <w:rFonts w:ascii="Times New Roman" w:hAnsi="Times New Roman" w:cs="Times New Roman"/>
          <w:sz w:val="24"/>
          <w:szCs w:val="24"/>
        </w:rPr>
        <w:t xml:space="preserve">д.</w:t>
      </w:r>
      <w:r>
        <w:rPr>
          <w:rFonts w:ascii="Times New Roman" w:hAnsi="Times New Roman" w:cs="Times New Roman"/>
          <w:sz w:val="24"/>
          <w:szCs w:val="24"/>
        </w:rPr>
        <w:t xml:space="preserve">19</w:t>
      </w:r>
      <w:r>
        <w:rPr>
          <w:rFonts w:ascii="Times New Roman" w:hAnsi="Times New Roman" w:cs="Times New Roman"/>
          <w:sz w:val="24"/>
          <w:szCs w:val="24"/>
        </w:rPr>
        <w:t xml:space="preserve">), экономия составила 9 308,4 тыс. рублей. Первоначальная цена контракта была 24 555,2 тыс. рублей, после уточнения объемов работ цена контракта составила 15 246,8 тыс. рублей;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76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ремонту проездов к дворовым территориям (пгт. Никель, </w:t>
        <w:br/>
        <w:t xml:space="preserve">ул. Печенгская,</w:t>
      </w:r>
      <w:r>
        <w:rPr>
          <w:rFonts w:ascii="Times New Roman" w:hAnsi="Times New Roman" w:cs="Times New Roman"/>
          <w:sz w:val="24"/>
          <w:szCs w:val="24"/>
        </w:rPr>
        <w:t xml:space="preserve"> д.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6, пр. Гвардейский, д.25, г. Заполярный, ул. Мира, д.13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cs="Times New Roman"/>
          <w:sz w:val="24"/>
          <w:szCs w:val="24"/>
        </w:rPr>
        <w:t xml:space="preserve"> экономия составила 1 422,5 тыс. рублей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76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ямочному ремонту дворовых проездов (пгт. Никель, </w:t>
      </w:r>
      <w:r>
        <w:rPr>
          <w:rFonts w:ascii="Times New Roman" w:hAnsi="Times New Roman" w:cs="Times New Roman"/>
          <w:sz w:val="24"/>
          <w:szCs w:val="24"/>
        </w:rPr>
        <w:t xml:space="preserve">ул. Бредова, д.15, д.17</w:t>
      </w:r>
      <w:r>
        <w:rPr>
          <w:rFonts w:ascii="Times New Roman" w:hAnsi="Times New Roman" w:cs="Times New Roman"/>
          <w:sz w:val="24"/>
          <w:szCs w:val="24"/>
        </w:rPr>
        <w:t xml:space="preserve">).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8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2 – </w:t>
      </w:r>
      <w:r>
        <w:rPr>
          <w:rFonts w:ascii="Times New Roman" w:hAnsi="Times New Roman" w:cs="Times New Roman"/>
          <w:sz w:val="24"/>
          <w:szCs w:val="24"/>
        </w:rPr>
        <w:t xml:space="preserve">повышение уровня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</w:t>
      </w:r>
      <w:r>
        <w:rPr>
          <w:rFonts w:ascii="Times New Roman" w:hAnsi="Times New Roman" w:cs="Times New Roman"/>
          <w:sz w:val="24"/>
          <w:szCs w:val="24"/>
        </w:rPr>
        <w:t xml:space="preserve">а</w:t>
      </w:r>
      <w:r>
        <w:rPr>
          <w:rFonts w:ascii="Times New Roman" w:hAnsi="Times New Roman" w:cs="Times New Roman"/>
          <w:sz w:val="24"/>
          <w:szCs w:val="24"/>
        </w:rPr>
        <w:t xml:space="preserve"> общественных</w:t>
      </w:r>
      <w:r>
        <w:rPr>
          <w:rFonts w:ascii="Times New Roman" w:hAnsi="Times New Roman" w:cs="Times New Roman"/>
          <w:sz w:val="24"/>
          <w:szCs w:val="24"/>
        </w:rPr>
        <w:t xml:space="preserve"> территорий. Выполнены работы по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благоустройству </w:t>
      </w:r>
      <w:r>
        <w:rPr>
          <w:rFonts w:ascii="Times New Roman" w:hAnsi="Times New Roman" w:cs="Times New Roman"/>
          <w:sz w:val="24"/>
          <w:szCs w:val="24"/>
        </w:rPr>
        <w:t xml:space="preserve">объекта «п. Спутник общественная территория в районе ул. Новая»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1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«Комфортная среда проживания»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548"/>
        <w:gridCol w:w="846"/>
        <w:gridCol w:w="14"/>
        <w:gridCol w:w="699"/>
        <w:gridCol w:w="141"/>
        <w:gridCol w:w="1134"/>
        <w:gridCol w:w="1134"/>
        <w:gridCol w:w="996"/>
        <w:gridCol w:w="3261"/>
        <w:gridCol w:w="992"/>
        <w:gridCol w:w="851"/>
        <w:gridCol w:w="906"/>
        <w:gridCol w:w="1504"/>
      </w:tblGrid>
      <w:tr>
        <w:tblPrEx/>
        <w:trPr/>
        <w:tc>
          <w:tcPr>
            <w:shd w:val="clear" w:color="auto" w:fill="auto"/>
            <w:tcW w:w="675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«Охрана окружающей среды»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экологической безопасности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Повышение эффективности управления процессом обращения с твердыми коммунальными отходами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, устройство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контейнерных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отремонтированных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обустроенных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контейнерных площадок,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/>
          </w:p>
        </w:tc>
      </w:tr>
      <w:tr>
        <w:tblPrEx/>
        <w:trPr>
          <w:trHeight w:val="1153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Ликвидация несанкционированных мест размещения отходов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40124,9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40124,9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Снижение количество несанкционированных мест размещения отходов,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/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41414,2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41414,2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41414,2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41414,2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Ж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илищно-коммунально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 хозяйств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Устойчивое и надежное функционирование жилищно-коммунального хозяйства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бесперебойного функционирования систем коммунальной инфраструктуры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магистральных сетей теплоснабжения, водоснабжения и водоотведения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38323,9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38323,9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38323,9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38323,9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отремонтированных магистральных сетей тепло- и водоснабжения от общей протяженности системы тело- и водоснабжения,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программы комплексного развития систем коммунальной инфраструктуры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разработанной программы комплексного развития систем коммунальной инфраструктуры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9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(актуализация) схемы теплоснабжения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разработанной (актуализированной) схемы теплоснабжения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Реконструкция объектов теплоснабжения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122549,6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123787,5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122549,6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1237,9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123787,5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разработанных проектов реконструкции объектов реконструкции объектов теплоснабжения,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94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реконструированных котельных,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70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Протяженность реконструированных сетей теплоснабжения, км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122549,6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39688,6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162238,2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122549,6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39688,6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162238,2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1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Ремонт и содержание жилфонда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81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Приведение в санитарно-техническое состояние незаселенных муниципальных жилых помещений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незаселенных муниципальных жилых помещений, приведенных в надлежащее санитарно-техническое состояние (зашивка оконных и дверных проемов,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вывоз мусора из квартир, обследование на предмет непригодности для проживания и др.),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подъездов по адресу: г. Заполярный, ул. Ленина, д. 7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1717,1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2529,1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2174,8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подъездов многоквартирного дома,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1717,1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1386,0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3629,1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1608,5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2792,6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124266,7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41074,6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165867,3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124158,1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40546,1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165030,8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«Развитие сферы ритуальных услуг и мест захоронения»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Организация ритуальных услуг и содержание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1. Расширение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  <w:t xml:space="preserve">Реализация мероприятий по инвестиционному проекту «Строительство объекта капитального строительства «Новое кладбище МОГП Никель в районе 3 км автодороги Никель-Приречный Печенгского района Мурманской области»</w:t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9"/>
                <w:szCs w:val="19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запланированных мероприятий по строительству объекта «Новое кладбище МОГП Никель в районе 3 км автодороги Никель-Приречный Печенгского района Мурманской области»,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                 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Обеспечение реализации полномочий органов местного самоуправления в сфере организации ритуальных услуг и содержания мест захоронения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мест захоронения на территории Печенгского муниципального округа (текущее содержание, доставка тел в морг и захоронение трупов, не востребованных родственниками)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2204,6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2204,6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2003,4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Текущее содержание мест захоронения на территории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«НДС», 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Организация доставки тел в морг и захоронение трупов, невостребованных родственниками, тел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2003,4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2003,4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2210,9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2331,1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120,2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2009,7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2129,9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4. «Комплексное благоустройство городской среды»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Повышение комфортности условий проживания населения и уровня благоустройства территории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1. Повышение уровня благоустройства территорий общего пользования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подпорных стен и лестничных спусков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подпорных стен,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лестничных спусков,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«УБиР»; МКУ «НДС»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пешеходных тротуаров и маршрутов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22316,4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22316,4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20098,8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отремонтированных тротуаров и маршрутов,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1900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1963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0"/>
        </w:trPr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привлекательности объектов благоустройства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10207,1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10207,1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5124,9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5124,9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приобретенных, установленных малых архитектурных форм,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0"/>
        </w:trPr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Приобретение рассады, саженцев,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 МБУ «НДС»;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комплекса работ по благоустройству детских игровых площадок, содержание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детских игровых и спортивных площадок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4089,4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13985,1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19039,5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4089,4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12480,4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744,4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17314,2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266,4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детских игровых и спортивных площадок,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Содержание детских игровых и спортивных площадок,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обслуживание наружного освещения, оплата электроэнергии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18679,8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18679,8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18116,5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18116,5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Исправное состояние сетей наружного освещения,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 МБУ «НДС»;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наружного освещения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1804,1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1804,1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1604,0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замененных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опор наружного освещения,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Эвакуация с дворовых территорий  бесхозяйного (брошенного) транспорта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эвакуированного бесхозяйного (брошенного) транспорта с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«НДС»;  МБУ «РЭС»;  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43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организации трудовых бригад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6687,0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6596,0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6596,0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трудовых бригад,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МБУ «НДС»;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временных общественно полезных работ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9021,9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9496,8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7213,2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414,3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7627,5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граждан, привлеченных к временным общественно полезным работам,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автотранспорта (специализированной техники)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7075,9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30511,0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7075,9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30511,0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37586,9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приобретенного автотранспорта (специализированной техники),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ед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КУИ;                    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территории объекта «Мини-прудик» в </w:t>
              <w:br/>
              <w:t xml:space="preserve">г. Заполярный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1011,6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1476,6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1011,6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213,4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1408,5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благоустройству территории «Мини-прудик» в г. Заполярный,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и установка беседки в пгт. Печенга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481,3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приобретенных и установленных беседок в пгт. Печенга,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4.1. 13.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субсидии муниципальному казенному предприятию «Жилищное хозяйство»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предоставления субсидии муниципальному казенному предприятию «Жилищное хозяйство»,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автомобильных дорог общего пользования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5623,5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5623,5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4978,3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4978,3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установленных опор наружного освещения в рамках благоустройства автомобильных дорог общего пользования местного значения,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21680,1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117905,4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140855,5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19871,4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107485,2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1017,9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128374,5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Решение вопросов местного значения в сфере благоустройства и озеленения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46157,8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46157,8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45830,2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45830,2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 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функционирования МКУ «УБиР»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6670,1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6670,1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6550,2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6550,2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98,2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благоустройства,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/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/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начислений по выплатам на оплату труда работникам муниципальных учреждений, в том числе: 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5704,2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5419,0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5704,2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начислений по выплатам на оплату труда работникам муниципальных учреждений,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4.2.3.1.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Повышение оплаты труда работников муниципальных учреждений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 в связи с доведением оплаты труда до минимального размера оплаты труда, установленного федеральным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законом от 19.06.2000 № 82-ФЗ «О минимальном размере оплаты труда» (с изменениями), увеличенного на районный коэффициент и процентную надбавку за стаж работы в районах Крайнего Севера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5419,0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285,2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5704,2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5419,0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285,2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5704,2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5419,0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53113,1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58532,1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5419,0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52665,6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58084,6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3"/>
            <w:shd w:val="clear" w:color="auto" w:fill="auto"/>
            <w:tcW w:w="406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4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27099,1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171018,5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1270,0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199387,6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25290,4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160150,8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1017,9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186459,1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5. «Организация отлова животных без владельцев»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санитарно-эпидемического уровня содержания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Регулирование численности животных без владельцев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осуществления деятельности по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отлову и содержанию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животны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без владельцев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2776,7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1934,2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1934,2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отловленных животных без владельцев, голов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1934,2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1934,2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5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1934,2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1934,2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6. «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Формирование современной городской среды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уровня благоустройства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4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Повышение уровня благоустройства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дворовых территорий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23327,5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2912,7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26240,2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14484,5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2447,3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16931,8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благоустроенных дворовых территорий,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3682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3682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дизайн – проектов благоустройства дворовых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дизайн – проектов благоустройства дворовых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проездов к дворовым  территориям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18482,9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18482,9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17060,4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17060,4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отремонтированных проездов к дворовым территориям,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2900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2919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Ямочный ремонт дворовых проездов на территории Печенгского муниципального округа в пгт. Никель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6075,6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6075,6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6075,6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6075,6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дворовых проездов, в отношении которых выполнен ямочный ремонт,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29403,1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21395,6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50798,7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20560,1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19507,7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40067,8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4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Повышение уровня благоустройства общественных территорий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26"/>
        </w:trPr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67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254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Благоустройство общественных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6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2772,2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1558,0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2772,2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1558,0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996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Площадь благоустроенных общественных территорий, кв. 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2300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2381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tcW w:w="1504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благоустроенных общественных территорий,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6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4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проектной и сметной документации по благоустройству общественных территорий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26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проектной и сметной документации по благоустройству общественных территорий,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0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1558,0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2772,2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1558,0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13767,1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6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32175,3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22953,6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64565,8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23332,3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21065,7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53834,9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8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186438,0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278671,8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1796,0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476342,7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9436,9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174835,2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225058,1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1344,5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410674,7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6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«Комфортная среда проживания»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Некорректно спланирован объем финансирования. Возможен пересмотр муниципальной программы в части высвобождения ресурсов и перенос их на следующие периоды или на другие муниципальные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7.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«Муниципальное управление и гражданское общество»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 - 2026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1033"/>
        <w:ind w:left="709" w:right="32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color w:val="000000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</w:t>
      </w:r>
      <w:r>
        <w:rPr>
          <w:rFonts w:ascii="Times New Roman" w:hAnsi="Times New Roman"/>
          <w:color w:val="000000"/>
          <w:sz w:val="24"/>
          <w:szCs w:val="24"/>
        </w:rPr>
        <w:t xml:space="preserve">Муниципальное управление и гражданское общество» на 202</w:t>
      </w:r>
      <w:r>
        <w:rPr>
          <w:rFonts w:ascii="Times New Roman" w:hAnsi="Times New Roman"/>
          <w:color w:val="000000"/>
          <w:sz w:val="24"/>
          <w:szCs w:val="24"/>
        </w:rPr>
        <w:t xml:space="preserve">4 </w:t>
      </w:r>
      <w:r>
        <w:rPr>
          <w:rFonts w:ascii="Times New Roman" w:hAnsi="Times New Roman"/>
          <w:color w:val="000000"/>
          <w:sz w:val="24"/>
          <w:szCs w:val="24"/>
        </w:rPr>
        <w:t xml:space="preserve">- 202</w:t>
      </w:r>
      <w:r>
        <w:rPr>
          <w:rFonts w:ascii="Times New Roman" w:hAnsi="Times New Roman"/>
          <w:color w:val="000000"/>
          <w:sz w:val="24"/>
          <w:szCs w:val="24"/>
        </w:rPr>
        <w:t xml:space="preserve">6</w:t>
      </w:r>
      <w:r>
        <w:rPr>
          <w:rFonts w:ascii="Times New Roman" w:hAnsi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630</w:t>
      </w:r>
      <w:r>
        <w:rPr>
          <w:rFonts w:ascii="Times New Roman" w:hAnsi="Times New Roman"/>
          <w:color w:val="000000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/>
          <w:color w:val="000000"/>
          <w:sz w:val="24"/>
          <w:szCs w:val="24"/>
        </w:rPr>
        <w:t xml:space="preserve">14</w:t>
      </w:r>
      <w:r>
        <w:rPr>
          <w:rFonts w:ascii="Times New Roman" w:hAnsi="Times New Roman"/>
          <w:color w:val="000000"/>
          <w:sz w:val="24"/>
          <w:szCs w:val="24"/>
        </w:rPr>
        <w:t xml:space="preserve">.03.202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  <w:br/>
        <w:t xml:space="preserve">№ 3</w:t>
      </w:r>
      <w:r>
        <w:rPr>
          <w:rFonts w:ascii="Times New Roman" w:hAnsi="Times New Roman"/>
          <w:color w:val="000000"/>
          <w:sz w:val="24"/>
          <w:szCs w:val="24"/>
        </w:rPr>
        <w:t xml:space="preserve">83</w:t>
      </w:r>
      <w:r>
        <w:rPr>
          <w:rFonts w:ascii="Times New Roman" w:hAnsi="Times New Roman"/>
          <w:color w:val="000000"/>
          <w:sz w:val="24"/>
          <w:szCs w:val="24"/>
        </w:rPr>
        <w:t xml:space="preserve">, от 2</w:t>
      </w:r>
      <w:r>
        <w:rPr>
          <w:rFonts w:ascii="Times New Roman" w:hAnsi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/>
          <w:color w:val="000000"/>
          <w:sz w:val="24"/>
          <w:szCs w:val="24"/>
        </w:rPr>
        <w:t xml:space="preserve">.0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№ 8</w:t>
      </w:r>
      <w:r>
        <w:rPr>
          <w:rFonts w:ascii="Times New Roman" w:hAnsi="Times New Roman"/>
          <w:color w:val="000000"/>
          <w:sz w:val="24"/>
          <w:szCs w:val="24"/>
        </w:rPr>
        <w:t xml:space="preserve">36, от 1</w:t>
      </w:r>
      <w:r>
        <w:rPr>
          <w:rFonts w:ascii="Times New Roman" w:hAnsi="Times New Roman"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/>
          <w:color w:val="000000"/>
          <w:sz w:val="24"/>
          <w:szCs w:val="24"/>
        </w:rPr>
        <w:t xml:space="preserve">08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/>
          <w:color w:val="000000"/>
          <w:sz w:val="24"/>
          <w:szCs w:val="24"/>
        </w:rPr>
        <w:t xml:space="preserve">280</w:t>
      </w:r>
      <w:r>
        <w:rPr>
          <w:rFonts w:ascii="Times New Roman" w:hAnsi="Times New Roman"/>
          <w:color w:val="000000"/>
          <w:sz w:val="24"/>
          <w:szCs w:val="24"/>
        </w:rPr>
        <w:t xml:space="preserve">, от 1</w:t>
      </w:r>
      <w:r>
        <w:rPr>
          <w:rFonts w:ascii="Times New Roman" w:hAnsi="Times New Roman"/>
          <w:color w:val="000000"/>
          <w:sz w:val="24"/>
          <w:szCs w:val="24"/>
        </w:rPr>
        <w:t xml:space="preserve">7</w:t>
      </w:r>
      <w:r>
        <w:rPr>
          <w:rFonts w:ascii="Times New Roman" w:hAnsi="Times New Roman"/>
          <w:color w:val="000000"/>
          <w:sz w:val="24"/>
          <w:szCs w:val="24"/>
        </w:rPr>
        <w:t xml:space="preserve">.10.202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№ 15</w:t>
      </w:r>
      <w:r>
        <w:rPr>
          <w:rFonts w:ascii="Times New Roman" w:hAnsi="Times New Roman"/>
          <w:color w:val="000000"/>
          <w:sz w:val="24"/>
          <w:szCs w:val="24"/>
        </w:rPr>
        <w:t xml:space="preserve">78</w:t>
      </w:r>
      <w:r>
        <w:rPr>
          <w:rFonts w:ascii="Times New Roman" w:hAnsi="Times New Roman"/>
          <w:color w:val="000000"/>
          <w:sz w:val="24"/>
          <w:szCs w:val="24"/>
        </w:rPr>
        <w:t xml:space="preserve"> и от </w:t>
      </w:r>
      <w:r>
        <w:rPr>
          <w:rFonts w:ascii="Times New Roman" w:hAnsi="Times New Roman"/>
          <w:color w:val="000000"/>
          <w:sz w:val="24"/>
          <w:szCs w:val="24"/>
        </w:rPr>
        <w:t xml:space="preserve">09</w:t>
      </w:r>
      <w:r>
        <w:rPr>
          <w:rFonts w:ascii="Times New Roman" w:hAnsi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  <w:br/>
        <w:t xml:space="preserve">№ 1</w:t>
      </w:r>
      <w:r>
        <w:rPr>
          <w:rFonts w:ascii="Times New Roman" w:hAnsi="Times New Roman"/>
          <w:color w:val="000000"/>
          <w:sz w:val="24"/>
          <w:szCs w:val="24"/>
        </w:rPr>
        <w:t xml:space="preserve">980</w:t>
      </w:r>
      <w:r>
        <w:rPr>
          <w:rFonts w:ascii="Times New Roman" w:hAnsi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/>
          <w:color w:val="000000"/>
          <w:sz w:val="24"/>
          <w:szCs w:val="24"/>
        </w:rPr>
      </w:r>
      <w:r>
        <w:rPr>
          <w:rFonts w:ascii="Times New Roman" w:hAnsi="Times New Roman"/>
          <w:color w:val="000000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outlineLvl w:val="1"/>
      </w:pPr>
      <w:r>
        <w:rPr>
          <w:rFonts w:ascii="Times New Roman" w:hAnsi="Times New Roman"/>
          <w:sz w:val="24"/>
          <w:szCs w:val="24"/>
        </w:rPr>
        <w:t xml:space="preserve">Целью Программы является эффективное функционирование системы муниципального управления в Печенгском муниципальном округе, повышение качества жизни населения Печенгского муниципального округа на основе исп</w:t>
      </w:r>
      <w:r>
        <w:rPr>
          <w:rFonts w:ascii="Times New Roman" w:hAnsi="Times New Roman"/>
          <w:sz w:val="24"/>
          <w:szCs w:val="24"/>
        </w:rPr>
        <w:t xml:space="preserve">ользования современных информационных и телекоммуникационных технологий, своевременное, качественное и объективное информирование населения о деятельности органов местного самоуправления Печенгского муниципального округа (далее – ОМСУ)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Достижение целей Программы осуществляется путем решения следующих задач: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12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Повышение открытости и прозрачности деятельности ОМСУ и учреждений округа для общества.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851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структуру Программы входят три подпрограммы: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7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1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«</w:t>
      </w:r>
      <w:r>
        <w:rPr>
          <w:rFonts w:ascii="Times New Roman" w:hAnsi="Times New Roman"/>
          <w:sz w:val="24"/>
          <w:szCs w:val="24"/>
        </w:rPr>
        <w:t xml:space="preserve">Создание условий для обеспечения муниципального управления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2 «Развитие информационной и технологической инфраструктуры системы муниципального управления в Печенгском муниципальном округе»;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77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подпрограмма 3 «Деятельность и развитие муниципальных средств массовой информации Печенгского муниципального округа».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2</w:t>
      </w:r>
      <w:r>
        <w:rPr>
          <w:rFonts w:ascii="Times New Roman" w:hAnsi="Times New Roman" w:cs="Times New Roman"/>
          <w:sz w:val="24"/>
          <w:szCs w:val="24"/>
        </w:rPr>
        <w:t xml:space="preserve">72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 </w:t>
      </w:r>
      <w:r>
        <w:rPr>
          <w:rFonts w:ascii="Times New Roman" w:hAnsi="Times New Roman" w:cs="Times New Roman"/>
          <w:sz w:val="24"/>
          <w:szCs w:val="24"/>
        </w:rPr>
        <w:t xml:space="preserve">329,7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 том числе: </w:t>
      </w:r>
      <w:r>
        <w:rPr>
          <w:rFonts w:ascii="Times New Roman" w:hAnsi="Times New Roman" w:cs="Times New Roman"/>
          <w:sz w:val="24"/>
          <w:szCs w:val="24"/>
        </w:rPr>
        <w:t xml:space="preserve">средства федерального бюджета 6 023,8 тыс. рублей, средства областного бюджета 1 103,7 тыс. рублей,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264 902,2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рублей; внебюджетные источники 300,0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300 080,4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Исполнение </w:t>
      </w:r>
      <w:r>
        <w:rPr>
          <w:rFonts w:ascii="Times New Roman" w:hAnsi="Times New Roman" w:cs="Times New Roman"/>
          <w:sz w:val="24"/>
          <w:szCs w:val="24"/>
        </w:rPr>
        <w:t xml:space="preserve">298 655,3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9,5</w:t>
      </w:r>
      <w:r>
        <w:rPr>
          <w:rFonts w:ascii="Times New Roman" w:hAnsi="Times New Roman" w:cs="Times New Roman"/>
          <w:sz w:val="24"/>
          <w:szCs w:val="24"/>
        </w:rPr>
        <w:t xml:space="preserve">%. Не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1 425,1</w:t>
      </w:r>
      <w:r>
        <w:rPr>
          <w:rFonts w:ascii="Times New Roman" w:hAnsi="Times New Roman" w:cs="Times New Roman"/>
          <w:sz w:val="24"/>
          <w:szCs w:val="24"/>
        </w:rPr>
        <w:t xml:space="preserve"> тыс. рублей.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«Создание условий для обеспечения муниципального управления».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4"/>
        <w:ind w:firstLine="709"/>
        <w:jc w:val="both"/>
        <w:spacing w:before="0" w:beforeAutospacing="0" w:after="0" w:afterAutospacing="0"/>
      </w:pPr>
      <w:r>
        <w:t xml:space="preserve">Цель подпрограммы – создание условий для обеспечения эффективного функционирования системы муниципального управления в Печенгском муниципальном округе.</w:t>
      </w:r>
      <w:r/>
    </w:p>
    <w:p>
      <w:pPr>
        <w:pStyle w:val="1092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Подпрограммы 1: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1092"/>
        <w:numPr>
          <w:ilvl w:val="0"/>
          <w:numId w:val="9"/>
        </w:numPr>
        <w:ind w:left="0" w:firstLine="727"/>
        <w:spacing w:line="240" w:lineRule="auto"/>
        <w:tabs>
          <w:tab w:val="left" w:pos="252" w:leader="none"/>
          <w:tab w:val="left" w:pos="297" w:leader="none"/>
          <w:tab w:val="left" w:pos="993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 w:eastAsia="Times New Roman"/>
          <w:szCs w:val="24"/>
          <w:lang w:eastAsia="ru-RU"/>
        </w:rPr>
        <w:t xml:space="preserve">Обеспечение выполнения задач и функций ОМСУ, направленных на реализацию полномочий по решению вопросов местного значения.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1033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условий для стабильного и эффективного функционирования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Развитие муниципальной службы.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государственных полномочий, содействие в обеспечении прав и законных интересов личности и государства.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9"/>
        </w:numPr>
        <w:ind w:lef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Повышение эффективности мер по противодействию коррупции в ОМСУ.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На реализацию мероприятий Подпрограммы 1 в 202</w:t>
      </w:r>
      <w:r>
        <w:rPr>
          <w:rFonts w:ascii="Times New Roman" w:hAnsi="Times New Roman" w:cs="Times New Roman"/>
          <w:sz w:val="24"/>
        </w:rPr>
        <w:t xml:space="preserve">4</w:t>
      </w:r>
      <w:r>
        <w:rPr>
          <w:rFonts w:ascii="Times New Roman" w:hAnsi="Times New Roman" w:cs="Times New Roman"/>
          <w:sz w:val="24"/>
        </w:rPr>
        <w:t xml:space="preserve"> году предусмотрено 2</w:t>
      </w:r>
      <w:r>
        <w:rPr>
          <w:rFonts w:ascii="Times New Roman" w:hAnsi="Times New Roman" w:cs="Times New Roman"/>
          <w:sz w:val="24"/>
        </w:rPr>
        <w:t xml:space="preserve">77 232,8</w:t>
      </w:r>
      <w:r>
        <w:rPr>
          <w:rFonts w:ascii="Times New Roman" w:hAnsi="Times New Roman" w:cs="Times New Roman"/>
          <w:sz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Исполнено 2</w:t>
      </w:r>
      <w:r>
        <w:rPr>
          <w:rFonts w:ascii="Times New Roman" w:hAnsi="Times New Roman" w:cs="Times New Roman"/>
          <w:sz w:val="24"/>
          <w:szCs w:val="24"/>
        </w:rPr>
        <w:t xml:space="preserve">75 870,6</w:t>
      </w:r>
      <w:r>
        <w:rPr>
          <w:spacing w:val="3"/>
          <w:sz w:val="24"/>
          <w:szCs w:val="24"/>
          <w:shd w:val="clear" w:color="auto" w:fill="ffffff"/>
        </w:rPr>
        <w:t xml:space="preserve"> </w:t>
      </w:r>
      <w:r>
        <w:rPr>
          <w:rFonts w:ascii="Times New Roman" w:hAnsi="Times New Roman" w:cs="Times New Roman"/>
          <w:spacing w:val="3"/>
          <w:sz w:val="24"/>
          <w:szCs w:val="24"/>
          <w:shd w:val="clear" w:color="auto" w:fill="ffffff"/>
        </w:rPr>
        <w:t xml:space="preserve">тыс. </w:t>
      </w:r>
      <w:r>
        <w:rPr>
          <w:rFonts w:ascii="Times New Roman" w:hAnsi="Times New Roman" w:cs="Times New Roman"/>
          <w:sz w:val="24"/>
          <w:szCs w:val="24"/>
        </w:rPr>
        <w:t xml:space="preserve">рублей, или 9</w:t>
      </w:r>
      <w:r>
        <w:rPr>
          <w:rFonts w:ascii="Times New Roman" w:hAnsi="Times New Roman" w:cs="Times New Roman"/>
          <w:sz w:val="24"/>
          <w:szCs w:val="24"/>
        </w:rPr>
        <w:t xml:space="preserve">9</w:t>
      </w:r>
      <w:r>
        <w:rPr>
          <w:rFonts w:ascii="Times New Roman" w:hAnsi="Times New Roman" w:cs="Times New Roman"/>
          <w:sz w:val="24"/>
          <w:szCs w:val="24"/>
        </w:rPr>
        <w:t xml:space="preserve">,5%. Не использовано </w:t>
      </w:r>
      <w:r>
        <w:rPr>
          <w:rFonts w:ascii="Times New Roman" w:hAnsi="Times New Roman" w:cs="Times New Roman"/>
          <w:sz w:val="24"/>
          <w:szCs w:val="24"/>
        </w:rPr>
        <w:t xml:space="preserve">1 362,2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31,8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федерального бюджета (полномочия по отделу ЗАГС и ОПВУ); </w:t>
      </w:r>
      <w:r>
        <w:rPr>
          <w:rFonts w:ascii="Times New Roman" w:hAnsi="Times New Roman" w:cs="Times New Roman"/>
          <w:sz w:val="24"/>
          <w:szCs w:val="24"/>
        </w:rPr>
        <w:t xml:space="preserve">8,8</w:t>
      </w:r>
      <w:r>
        <w:rPr>
          <w:rFonts w:ascii="Times New Roman" w:hAnsi="Times New Roman" w:cs="Times New Roman"/>
          <w:sz w:val="24"/>
          <w:szCs w:val="24"/>
        </w:rPr>
        <w:t xml:space="preserve"> тыс. рублей средства областного бюджета (административная комиссия); </w:t>
      </w:r>
      <w:r>
        <w:rPr>
          <w:rFonts w:ascii="Times New Roman" w:hAnsi="Times New Roman" w:cs="Times New Roman"/>
          <w:sz w:val="24"/>
          <w:szCs w:val="24"/>
        </w:rPr>
        <w:t xml:space="preserve">1 321,6</w:t>
      </w:r>
      <w:r>
        <w:rPr>
          <w:rFonts w:ascii="Times New Roman" w:hAnsi="Times New Roman" w:cs="Times New Roman"/>
          <w:sz w:val="24"/>
          <w:szCs w:val="24"/>
        </w:rPr>
        <w:t xml:space="preserve"> тыс. рублей </w:t>
      </w:r>
      <w:r>
        <w:rPr>
          <w:rFonts w:ascii="Times New Roman" w:hAnsi="Times New Roman" w:cs="Times New Roman"/>
          <w:sz w:val="24"/>
          <w:szCs w:val="24"/>
        </w:rPr>
        <w:t xml:space="preserve">средства бюджета округа (экономия по заработной плате, начислениям на выплаты по оплате труда, проезд к месту использования отпуска и обратно сотрудникам Администрации,  экономия по заработной плате и начислениям на выплаты по оплате труда в учреждении по </w:t>
      </w:r>
      <w:r>
        <w:rPr>
          <w:rFonts w:ascii="Times New Roman" w:hAnsi="Times New Roman" w:cs="Times New Roman"/>
          <w:sz w:val="24"/>
          <w:szCs w:val="24"/>
        </w:rPr>
        <w:t xml:space="preserve">обеспечению деятельности ОМСУ,  не выставлены счета за декабрь услуги ОА МЭС, </w:t>
      </w:r>
      <w:r>
        <w:rPr>
          <w:rFonts w:ascii="Times New Roman" w:hAnsi="Times New Roman" w:cs="Times New Roman"/>
          <w:sz w:val="24"/>
          <w:szCs w:val="24"/>
        </w:rPr>
        <w:t xml:space="preserve">«</w:t>
      </w:r>
      <w:r>
        <w:rPr>
          <w:rFonts w:ascii="Times New Roman" w:hAnsi="Times New Roman" w:cs="Times New Roman"/>
          <w:sz w:val="24"/>
          <w:szCs w:val="24"/>
        </w:rPr>
        <w:t xml:space="preserve">Атомэнергосбыт</w:t>
      </w:r>
      <w:r>
        <w:rPr>
          <w:rFonts w:ascii="Times New Roman" w:hAnsi="Times New Roman" w:cs="Times New Roman"/>
          <w:sz w:val="24"/>
          <w:szCs w:val="24"/>
        </w:rPr>
        <w:t xml:space="preserve">», услуги связи ПАО Ростелеком, ГСМ «РН-Карт»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«Развитие информационной и технологической инфраструктуры системы муниципального управления в Печенгском муниципальном округе».</w:t>
      </w:r>
      <w:r>
        <w:rPr>
          <w:rFonts w:ascii="Times New Roman" w:hAnsi="Times New Roman" w:cs="Times New Roman"/>
          <w:sz w:val="24"/>
          <w:szCs w:val="24"/>
          <w:u w:val="single"/>
        </w:rPr>
      </w:r>
      <w:r>
        <w:rPr>
          <w:rFonts w:ascii="Times New Roman" w:hAnsi="Times New Roman" w:cs="Times New Roman"/>
          <w:sz w:val="24"/>
          <w:szCs w:val="24"/>
          <w:u w:val="single"/>
        </w:rPr>
      </w:r>
    </w:p>
    <w:p>
      <w:pPr>
        <w:pStyle w:val="1034"/>
        <w:ind w:firstLine="709"/>
        <w:jc w:val="both"/>
        <w:spacing w:before="0" w:beforeAutospacing="0" w:after="0" w:afterAutospacing="0"/>
      </w:pPr>
      <w:r>
        <w:t xml:space="preserve">Цель подпрограммы – 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технологий».</w:t>
      </w:r>
      <w:r/>
    </w:p>
    <w:p>
      <w:pPr>
        <w:pStyle w:val="1092"/>
        <w:spacing w:line="240" w:lineRule="auto"/>
        <w:tabs>
          <w:tab w:val="left" w:pos="252" w:leader="none"/>
          <w:tab w:val="left" w:pos="297" w:leader="none"/>
          <w:tab w:val="left" w:pos="3039" w:leader="none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Основные мероприятия Подпрограммы 2:</w:t>
      </w:r>
      <w:r>
        <w:rPr>
          <w:rFonts w:ascii="Times New Roman" w:hAnsi="Times New Roman"/>
          <w:szCs w:val="24"/>
        </w:rPr>
      </w:r>
      <w:r>
        <w:rPr>
          <w:rFonts w:ascii="Times New Roman" w:hAnsi="Times New Roman"/>
          <w:szCs w:val="24"/>
        </w:rPr>
      </w:r>
    </w:p>
    <w:p>
      <w:pPr>
        <w:pStyle w:val="1033"/>
        <w:numPr>
          <w:ilvl w:val="0"/>
          <w:numId w:val="78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Развитие современной информационной и телекоммуникационной инфраструктуры и обеспечение защиты информационных систем и ресурсов.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78"/>
        </w:numPr>
        <w:ind w:left="0" w:right="0"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Создание условий для повышения информационной открытости в Печенгском муниципальном округе.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На реализацию Подпрограммы 2 предусмотрено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12 267,4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рублей, исполнено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12 225,0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рублей, или 9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9,7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%. Не освоено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42,4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тыс. рублей (экономия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по итогам конкурсных процедур МКУ «ОДА», КУИ, Администрация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).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 w:eastAsia="Times New Roman"/>
          <w:sz w:val="24"/>
          <w:szCs w:val="24"/>
          <w:u w:val="single"/>
          <w:lang w:eastAsia="ru-RU"/>
        </w:rPr>
      </w:pP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Подпрограмма 3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.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  <w:t xml:space="preserve"> «Деятельность и развитие муниципальных средств массовой информации Печенгского муниципального округа».</w:t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  <w:r>
        <w:rPr>
          <w:rFonts w:ascii="Times New Roman" w:hAnsi="Times New Roman" w:eastAsia="Times New Roman"/>
          <w:sz w:val="24"/>
          <w:szCs w:val="24"/>
          <w:u w:val="single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подпрограммы – повышение открытости и прозрачности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Основное мероприятие – обеспечение населения актуальной достоверной информацией о деятельности ОМСУ и учреждений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реализацию мероприятия предусмотрено </w:t>
      </w:r>
      <w:r>
        <w:rPr>
          <w:rFonts w:ascii="Times New Roman" w:hAnsi="Times New Roman"/>
          <w:sz w:val="24"/>
          <w:szCs w:val="24"/>
        </w:rPr>
        <w:t xml:space="preserve">10 580,2 тыс. рублей, в том числе 4</w:t>
      </w:r>
      <w:r>
        <w:rPr>
          <w:rFonts w:ascii="Times New Roman" w:hAnsi="Times New Roman"/>
          <w:sz w:val="24"/>
          <w:szCs w:val="24"/>
        </w:rPr>
        <w:t xml:space="preserve">00,0 тыс. рублей внебюджетные источники. Исполнение </w:t>
      </w:r>
      <w:r>
        <w:rPr>
          <w:rFonts w:ascii="Times New Roman" w:hAnsi="Times New Roman"/>
          <w:sz w:val="24"/>
          <w:szCs w:val="24"/>
        </w:rPr>
        <w:t xml:space="preserve">10 559,7 тыс. рублей, или 99,8%, из них: средства бюджета округа 100,0%, внебюджетные источники 94,9% (20,5 тыс. рублей не выполнен план от платных услуг).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br w:type="page" w:clear="all"/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«Муниципальное управление и гражданское общество»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на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4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- 202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годы 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885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3"/>
        <w:gridCol w:w="2808"/>
        <w:gridCol w:w="850"/>
        <w:gridCol w:w="993"/>
        <w:gridCol w:w="1134"/>
        <w:gridCol w:w="992"/>
        <w:gridCol w:w="890"/>
        <w:gridCol w:w="3121"/>
        <w:gridCol w:w="142"/>
        <w:gridCol w:w="850"/>
        <w:gridCol w:w="142"/>
        <w:gridCol w:w="709"/>
        <w:gridCol w:w="142"/>
        <w:gridCol w:w="708"/>
        <w:gridCol w:w="198"/>
        <w:gridCol w:w="1503"/>
      </w:tblGrid>
      <w:tr>
        <w:tblPrEx/>
        <w:trPr/>
        <w:tc>
          <w:tcPr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7"/>
            <w:shd w:val="clear" w:color="auto" w:fill="auto"/>
            <w:tcW w:w="581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1. «Создание условий для обеспечения муниципального управления»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условий для обеспечения эффективного функционирования системы муниципального управления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выполнения задач и функций ОМСУ, направленных на реализацию полномочий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администрации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172712,3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172712,3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172299,3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172299,3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эффективное выполнение функций в сфере развития муниципального самоуправления и гражданского общества,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ыплата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пенсий за выслугу лет муниципальным служащим и лицам, замещавшим муниципальные должности в органах местного самоуправления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6483,0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6483,0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6482,3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6482,3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и лиц, замещавших муниципальные должности, получивших выплаты пенсий за выслугу лет, в общем числе муниципальных служащих и лиц, замещавших муниципальные должности, обратившихся за получением выплаты пенсий за выслугу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179195,3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179195,3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178781,6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178781,6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и эффективного функционирования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деятельности ОМСУ по решению вопросов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87787,7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87787,7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86937,0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86937,0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замечаний Главы округа, его заместителей в части обеспечения деятельности,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транспортное обеспечение из общего числа поступивших заявок, %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автомобилей, содержащихся в соответствии с техническими требованиями,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шт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удовлетворенных заявок на материально-техническое снабжение и обеспечение средствами связи из общего числа поступивших заявок,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помещений, соответствующих требованиям пожарных и санитарно-технических норм и правил,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Отсутствие аварийных ситуаций при эксплуатации и обслуживании недвижимого имущества,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ОМСУ других обязательств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и качественное выполнение ОМСУ других обязательств,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89787,7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89787,7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88937,0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88937,0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Развитие муниципальной службы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нормативно-правовой базы, регулирующей вопросы муниципальной 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проектов нормативных правовых актов в связи с изменениями законодательства о муниципальной службе,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Совершенствование кадровых технологий, применяемых в системе муниципальной службы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состоящих в кадровом резерве, имеющих индивидуальный план профессионального развития, от общего числа муниципальных служащих состоящих в кадровом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резерве,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отдел,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Направление на семинары, курсы повышения квалификации, профессиональную переподготовку и командирование муниципальных служащих и лиц, замещающих муниципальные должности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381,8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381,8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324,6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324,6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85,0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 и лиц, замещающих муниципальные должности, повысивших квалификацию, от общего числа лиц, направленных на повышение квалификации, профессиональную переподготовку,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диспансеризации муниципальных служащих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475,5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муниципальных служащих, прошедших диспансеризацию от общего числа муниципальных служащих,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 сектор муниципальной службы и кадров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800,1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4. Реализация государственных полномочий, содействие в обеспечении прав и законных интересов личности и государства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государственной регистрации актов гражданского состояния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3340,0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3340,0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3322,0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3322,0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государственной регистрации актов гражданского состояния,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отдел ЗАГС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2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по организационному обеспечению деятельности административных комиссий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1061,1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1052,3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Качественное исполнение государственных полномочий по организационному обеспечению деятельности административных комиссий,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административная комиссия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отдельных государственных полномочий Мурманской области по определению перечня должностных лиц, уполномоченных составлять протоколы об административных правонарушениях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должностных лиц, уполномоченных составлять протоколы об административных правонарушениях,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первичного воинского учёта на территориях, где отсутствуют военные комиссариаты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2979,2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2979,2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2965,4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2965,4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осуществление первичного воинского учёта на территориях, где отсутствуют военные комиссариаты,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ОПВУ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полномочий по составлению (изменению) списков кандидатов в присяжные заседатели федеральных судов общей юрисдикции в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составленных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списков кандидатов в присяжные заседатели федеральных судов общей юрисдикции в Российской Федерации,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основных,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1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запасной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 государственных полномочий в области жилищных отношений и жилищного строительства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составленных списков при осуществлении государственных полномочий в области жилищных отношений и жилищного строительства,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мероприятию 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6325,4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7392,5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6293,6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7351,9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5. Повышение эффективности мер по противодействию коррупции в ОМСУ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Разработка, утверждение и мониторинг плана мероприятий по предупреждению (профилактике) коррупции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2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утвержденного плана мероприятий по предупреждению (профилактике) коррупции и контроль за его реализацией,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Администрация, юридический отдел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6325,4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1067,1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269840,3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277232,8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6293,6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1058,3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268518,7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275870,6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2. 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Повышение качества системы муниципального управления в Печенгском муниципальном округе на основе использования современных информационных и телекоммуникационных технологий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Развитие современной информационной и телекоммуникационной инфраструктуры и обеспечение защиты информационных систем и ресурсов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Обновление и ремонт парка вычислительной техники. Приобретение, сопровождение, обновление и развитие программных комплексов. Обеспечение расходными материалами, комплектующими, модернизация телекоммуникационной сети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11608,0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11608,0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11566,5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11566,5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рабочих мест, обеспеченных необходимым компьютерным оборудованием, оргтехникой, расходными материалами, комплектующими и программными комплексами,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Администрация, ФИНУ, КУИ,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МКУ «Управление по ОДА»;                      МБУ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;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Техническое сопровождение ПО «Система автоматизированного рабочего места муниципального округа»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38,5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Отсутствие сбоев в работе программного обеспечения,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мероприятий, в том числе: приобретение оборудования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и ПО, в целях обеспечения технической защиты информации, защиты государственной тайны, конфиденциальной информации и персональных данных в информационных системах (других объектах информации, предназначенных для обработки информации ограниченного доступа)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работников ОМСУ, обеспеченных средствами электронной подписи и защиты информации в соответствии с установленными требованиями и задачами,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ю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12230,8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12267,4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12188,4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12225,0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повышения информационной открытости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Ведение сайта Печенгского муниципального округа и регулярное размещение информации на сайте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нормативных правовых актов и сведений о размещении информации об официальном опубликовании нормативных правовых актов от общего количества поступивших за отчетный период,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12230,8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12267,4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36,6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12188,4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12225,0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3. 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Повышение открытости и прозрачности деятельности ОМСУ и учреждений округа для общества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населения актуальной достоверной информацией о деятельности ОМСУ и учреждений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о деятельности ОМСУ, социально-экономическом, общественно-политическом развитии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10180,2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10580,2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10180,2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10559,7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Освещение наиболее значимых событий и мероприятий, освещенных в СМИ,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МАУ «Информцентр»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опубликованных нормативных правовых актов муниципального образования Печенгский муниципальный округ от общего количества поступивших,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0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опубликованной информации о деятельности органов местного самоуправления в общем объеме публикации газеты «Печенга»,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10180,2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10580,2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10180,2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10559,7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10180,2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10580,2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10180,2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379,5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10559,7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3"/>
            <w:shd w:val="clear" w:color="auto" w:fill="auto"/>
            <w:tcW w:w="436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6325,4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1103,7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292251,3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300080,4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6293,6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1094,9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290887,3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379,5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298655,3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9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9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«Муниципальное управление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и гражданское общество»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  <w:sectPr>
          <w:footnotePr/>
          <w:endnotePr/>
          <w:type w:val="nextPage"/>
          <w:pgSz w:w="16838" w:h="11906" w:orient="landscape"/>
          <w:pgMar w:top="1135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pStyle w:val="1033"/>
        <w:numPr>
          <w:ilvl w:val="0"/>
          <w:numId w:val="26"/>
        </w:numPr>
        <w:ind w:left="0" w:firstLine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Муниципальная программа Печенгского муниципального округа 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1033"/>
        <w:ind w:left="0"/>
        <w:jc w:val="center"/>
        <w:spacing w:after="0" w:line="240" w:lineRule="auto"/>
        <w:tabs>
          <w:tab w:val="left" w:pos="142" w:leader="none"/>
          <w:tab w:val="left" w:pos="284" w:leader="none"/>
        </w:tabs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«Молодежная политика» на 202</w:t>
      </w:r>
      <w:r>
        <w:rPr>
          <w:rFonts w:ascii="Times New Roman" w:hAnsi="Times New Roman"/>
          <w:b/>
          <w:sz w:val="24"/>
          <w:szCs w:val="24"/>
        </w:rPr>
        <w:t xml:space="preserve">4</w:t>
      </w:r>
      <w:r>
        <w:rPr>
          <w:rFonts w:ascii="Times New Roman" w:hAnsi="Times New Roman"/>
          <w:b/>
          <w:sz w:val="24"/>
          <w:szCs w:val="24"/>
        </w:rPr>
        <w:t xml:space="preserve"> - 202</w:t>
      </w:r>
      <w:r>
        <w:rPr>
          <w:rFonts w:ascii="Times New Roman" w:hAnsi="Times New Roman"/>
          <w:b/>
          <w:sz w:val="24"/>
          <w:szCs w:val="24"/>
        </w:rPr>
        <w:t xml:space="preserve">6</w:t>
      </w:r>
      <w:r>
        <w:rPr>
          <w:rFonts w:ascii="Times New Roman" w:hAnsi="Times New Roman"/>
          <w:b/>
          <w:sz w:val="24"/>
          <w:szCs w:val="24"/>
        </w:rPr>
        <w:t xml:space="preserve"> годы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18"/>
          <w:szCs w:val="18"/>
          <w:u w:val="single"/>
        </w:rPr>
      </w:pP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  <w:r>
        <w:rPr>
          <w:rFonts w:ascii="Times New Roman" w:hAnsi="Times New Roman"/>
          <w:sz w:val="18"/>
          <w:szCs w:val="18"/>
          <w:u w:val="single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«Молодежная политика» на 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- 202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</w:t>
      </w:r>
      <w:r>
        <w:rPr>
          <w:rFonts w:ascii="Times New Roman" w:hAnsi="Times New Roman"/>
          <w:sz w:val="24"/>
          <w:szCs w:val="24"/>
        </w:rPr>
        <w:t xml:space="preserve">иципального округа от 03.11.2023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627</w:t>
      </w:r>
      <w:r>
        <w:rPr>
          <w:rFonts w:ascii="Times New Roman" w:hAnsi="Times New Roman"/>
          <w:sz w:val="24"/>
          <w:szCs w:val="24"/>
        </w:rPr>
        <w:t xml:space="preserve"> (в редакции постановлений администрации Печенгского муниципального округа </w:t>
      </w:r>
      <w:r>
        <w:rPr>
          <w:rFonts w:ascii="Times New Roman" w:hAnsi="Times New Roman"/>
          <w:sz w:val="24"/>
          <w:szCs w:val="24"/>
        </w:rPr>
        <w:t xml:space="preserve">от 20.02.2024 № 271, </w:t>
        <w:br/>
      </w:r>
      <w:r>
        <w:rPr>
          <w:rFonts w:ascii="Times New Roman" w:hAnsi="Times New Roman"/>
          <w:sz w:val="24"/>
          <w:szCs w:val="24"/>
        </w:rPr>
        <w:t xml:space="preserve">от 14</w:t>
      </w:r>
      <w:r>
        <w:rPr>
          <w:rFonts w:ascii="Times New Roman" w:hAnsi="Times New Roman"/>
          <w:sz w:val="24"/>
          <w:szCs w:val="24"/>
        </w:rPr>
        <w:t xml:space="preserve">.03.202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3</w:t>
      </w:r>
      <w:r>
        <w:rPr>
          <w:rFonts w:ascii="Times New Roman" w:hAnsi="Times New Roman"/>
          <w:sz w:val="24"/>
          <w:szCs w:val="24"/>
        </w:rPr>
        <w:t xml:space="preserve">84</w:t>
      </w:r>
      <w:r>
        <w:rPr>
          <w:rFonts w:ascii="Times New Roman" w:hAnsi="Times New Roman"/>
          <w:sz w:val="24"/>
          <w:szCs w:val="24"/>
        </w:rPr>
        <w:t xml:space="preserve">, от </w:t>
      </w:r>
      <w:r>
        <w:rPr>
          <w:rFonts w:ascii="Times New Roman" w:hAnsi="Times New Roman"/>
          <w:sz w:val="24"/>
          <w:szCs w:val="24"/>
        </w:rPr>
        <w:t xml:space="preserve">26.08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318</w:t>
      </w:r>
      <w:r>
        <w:rPr>
          <w:rFonts w:ascii="Times New Roman" w:hAnsi="Times New Roman"/>
          <w:sz w:val="24"/>
          <w:szCs w:val="24"/>
        </w:rPr>
        <w:t xml:space="preserve"> и от </w:t>
      </w:r>
      <w:r>
        <w:rPr>
          <w:rFonts w:ascii="Times New Roman" w:hAnsi="Times New Roman"/>
          <w:sz w:val="24"/>
          <w:szCs w:val="24"/>
        </w:rPr>
        <w:t xml:space="preserve">09.12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977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79"/>
        </w:numPr>
        <w:ind w:left="0" w:right="0"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возможностей для успешной социализации и эффективной самореализации молодых людей независимо от социального статуса.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79"/>
        </w:numPr>
        <w:ind w:left="0" w:right="0"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Сохранение и развитие системы гражданско-патриотического воспитания детей и молодежи.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79"/>
        </w:numPr>
        <w:ind w:left="0" w:right="0" w:firstLine="709"/>
        <w:jc w:val="both"/>
        <w:spacing w:after="0" w:line="240" w:lineRule="auto"/>
        <w:tabs>
          <w:tab w:val="left" w:pos="567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Исполнение Программы осуществляется путем реализации мероприятий, сформированных исходя из необходимости достижения целей и задач данной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Основные мероприятия Программы: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0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создание возможностей для успешной социализации и эффективной самореализации молодых людей независимо от социального статуса;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0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сохранение и развитие системы гражданско-патриотического воспитания детей и молодежи;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0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формирование в молодежной среде отрицательного отношения к злоупотреблению алкоголем, потреблению наркотических и психотропных веществ.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Первоначальный объем финансирования Программы в 20</w:t>
      </w:r>
      <w:r>
        <w:rPr>
          <w:rFonts w:ascii="Times New Roman" w:hAnsi="Times New Roman"/>
          <w:sz w:val="24"/>
          <w:szCs w:val="24"/>
        </w:rPr>
        <w:t xml:space="preserve">24</w:t>
      </w:r>
      <w:r>
        <w:rPr>
          <w:rFonts w:ascii="Times New Roman" w:hAnsi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/>
          <w:sz w:val="24"/>
          <w:szCs w:val="24"/>
        </w:rPr>
        <w:t xml:space="preserve">25 855,6</w:t>
      </w:r>
      <w:r>
        <w:rPr>
          <w:rFonts w:ascii="Times New Roman" w:hAnsi="Times New Roman"/>
          <w:sz w:val="24"/>
          <w:szCs w:val="24"/>
        </w:rPr>
        <w:t xml:space="preserve"> тыс. рублей. В течение года объем финансирования был увеличен и составил </w:t>
      </w:r>
      <w:r>
        <w:rPr>
          <w:rFonts w:ascii="Times New Roman" w:hAnsi="Times New Roman"/>
          <w:sz w:val="24"/>
          <w:szCs w:val="24"/>
        </w:rPr>
        <w:t xml:space="preserve">31 853,1</w:t>
      </w:r>
      <w:r>
        <w:rPr>
          <w:rFonts w:ascii="Times New Roman" w:hAnsi="Times New Roman"/>
          <w:sz w:val="24"/>
          <w:szCs w:val="24"/>
        </w:rPr>
        <w:t xml:space="preserve"> тыс. рублей, в том числе: средства областного бюджета </w:t>
      </w:r>
      <w:r>
        <w:rPr>
          <w:rFonts w:ascii="Times New Roman" w:hAnsi="Times New Roman"/>
          <w:sz w:val="24"/>
          <w:szCs w:val="24"/>
        </w:rPr>
        <w:t xml:space="preserve">12 917,7</w:t>
      </w:r>
      <w:r>
        <w:rPr>
          <w:rFonts w:ascii="Times New Roman" w:hAnsi="Times New Roman"/>
          <w:sz w:val="24"/>
          <w:szCs w:val="24"/>
        </w:rPr>
        <w:t xml:space="preserve"> тыс. рублей; средства бюджета округа </w:t>
      </w:r>
      <w:r>
        <w:rPr>
          <w:rFonts w:ascii="Times New Roman" w:hAnsi="Times New Roman"/>
          <w:sz w:val="24"/>
          <w:szCs w:val="24"/>
        </w:rPr>
        <w:t xml:space="preserve">17 531,4</w:t>
      </w:r>
      <w:r>
        <w:rPr>
          <w:rFonts w:ascii="Times New Roman" w:hAnsi="Times New Roman"/>
          <w:sz w:val="24"/>
          <w:szCs w:val="24"/>
        </w:rPr>
        <w:t xml:space="preserve"> тыс. рублей; внебюджетные источники </w:t>
      </w:r>
      <w:r>
        <w:rPr>
          <w:rFonts w:ascii="Times New Roman" w:hAnsi="Times New Roman"/>
          <w:sz w:val="24"/>
          <w:szCs w:val="24"/>
        </w:rPr>
        <w:t xml:space="preserve">1 404,0</w:t>
      </w:r>
      <w:r>
        <w:rPr>
          <w:rFonts w:ascii="Times New Roman" w:hAnsi="Times New Roman"/>
          <w:sz w:val="24"/>
          <w:szCs w:val="24"/>
        </w:rPr>
        <w:t xml:space="preserve"> тыс. рублей. Исполнение составило </w:t>
      </w:r>
      <w:r>
        <w:rPr>
          <w:rFonts w:ascii="Times New Roman" w:hAnsi="Times New Roman"/>
          <w:sz w:val="24"/>
          <w:szCs w:val="24"/>
        </w:rPr>
        <w:t xml:space="preserve">30 883,9</w:t>
      </w:r>
      <w:r>
        <w:rPr>
          <w:rFonts w:ascii="Times New Roman" w:hAnsi="Times New Roman"/>
          <w:sz w:val="24"/>
          <w:szCs w:val="24"/>
        </w:rPr>
        <w:t xml:space="preserve"> тыс. рублей, или 9</w:t>
      </w:r>
      <w:r>
        <w:rPr>
          <w:rFonts w:ascii="Times New Roman" w:hAnsi="Times New Roman"/>
          <w:sz w:val="24"/>
          <w:szCs w:val="24"/>
        </w:rPr>
        <w:t xml:space="preserve">7,0</w:t>
      </w:r>
      <w:r>
        <w:rPr>
          <w:rFonts w:ascii="Times New Roman" w:hAnsi="Times New Roman"/>
          <w:sz w:val="24"/>
          <w:szCs w:val="24"/>
        </w:rPr>
        <w:t xml:space="preserve">%. Не освоены ассигнования в сумме </w:t>
      </w:r>
      <w:r>
        <w:rPr>
          <w:rFonts w:ascii="Times New Roman" w:hAnsi="Times New Roman"/>
          <w:sz w:val="24"/>
          <w:szCs w:val="24"/>
        </w:rPr>
        <w:t xml:space="preserve">969,2</w:t>
      </w:r>
      <w:r>
        <w:rPr>
          <w:rFonts w:ascii="Times New Roman" w:hAnsi="Times New Roman"/>
          <w:sz w:val="24"/>
          <w:szCs w:val="24"/>
        </w:rPr>
        <w:t xml:space="preserve"> тыс. рублей.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В рамках </w:t>
      </w:r>
      <w:r>
        <w:rPr>
          <w:rFonts w:ascii="Times New Roman" w:hAnsi="Times New Roman"/>
          <w:sz w:val="24"/>
          <w:szCs w:val="24"/>
          <w:u w:val="single"/>
        </w:rPr>
        <w:t xml:space="preserve">основного </w:t>
      </w:r>
      <w:r>
        <w:rPr>
          <w:rFonts w:ascii="Times New Roman" w:hAnsi="Times New Roman"/>
          <w:sz w:val="24"/>
          <w:szCs w:val="24"/>
          <w:u w:val="single"/>
        </w:rPr>
        <w:t xml:space="preserve">мероприятия </w:t>
      </w:r>
      <w:r>
        <w:rPr>
          <w:rFonts w:ascii="Times New Roman" w:hAnsi="Times New Roman"/>
          <w:sz w:val="24"/>
          <w:szCs w:val="24"/>
          <w:u w:val="single"/>
        </w:rPr>
        <w:t xml:space="preserve">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«Создание возможностей для успешной социализации и эффективной самореализации молодых людей нез</w:t>
      </w:r>
      <w:r>
        <w:rPr>
          <w:rFonts w:ascii="Times New Roman" w:hAnsi="Times New Roman"/>
          <w:sz w:val="24"/>
          <w:szCs w:val="24"/>
          <w:u w:val="single"/>
        </w:rPr>
        <w:t xml:space="preserve">ависимо от социального статуса»:</w:t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pStyle w:val="1033"/>
        <w:numPr>
          <w:ilvl w:val="0"/>
          <w:numId w:val="81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выполнены работы </w:t>
      </w:r>
      <w:r>
        <w:rPr>
          <w:rFonts w:ascii="Times New Roman" w:hAnsi="Times New Roman"/>
          <w:sz w:val="24"/>
          <w:szCs w:val="24"/>
        </w:rPr>
        <w:t xml:space="preserve">по созданию молодежного пространства «Сопки» в МБУ «КДЦ «Платформа» пгт. Печенга (выполнение работ по текущему ремонту и приобретение оборудования);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1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 два пространства для отделения «Движение Первых» на базе МБУ «СК «Дельфин» г. Заполярный и МБУ ДО ДДТ № 1 пгт. Никель (выполнен текущий ремонт кабинетов, приобретены мебель и оборудование);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1"/>
        </w:num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проведены праздничные мероприятия, фестивали, конкурсы, экскурсии, организованы и проведены мас</w:t>
      </w:r>
      <w:r>
        <w:rPr>
          <w:rFonts w:ascii="Times New Roman" w:hAnsi="Times New Roman"/>
          <w:sz w:val="24"/>
          <w:szCs w:val="24"/>
        </w:rPr>
        <w:t xml:space="preserve">тер-классы, акции, фотовыставки.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Основное м</w:t>
      </w:r>
      <w:r>
        <w:rPr>
          <w:rFonts w:ascii="Times New Roman" w:hAnsi="Times New Roman"/>
          <w:sz w:val="24"/>
          <w:szCs w:val="24"/>
          <w:u w:val="single"/>
        </w:rPr>
        <w:t xml:space="preserve">ероприятие 2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«Сохранение и развитие системы гражданско-патриотического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воспитания детей и молодежи».</w:t>
      </w:r>
      <w:r>
        <w:rPr>
          <w:rFonts w:ascii="Times New Roman" w:hAnsi="Times New Roman"/>
          <w:sz w:val="24"/>
          <w:szCs w:val="24"/>
        </w:rPr>
        <w:t xml:space="preserve"> Организованы и проведены мероприятия: военно-патриотические игры; в рамках добровольно-патриотической акции «Кольский Десант» прием делегации из г. Мурманска; муниципальная акция «Окна Победы; муниципальный патриотический слет «Сила в единс</w:t>
      </w:r>
      <w:r>
        <w:rPr>
          <w:rFonts w:ascii="Times New Roman" w:hAnsi="Times New Roman"/>
          <w:sz w:val="24"/>
          <w:szCs w:val="24"/>
        </w:rPr>
        <w:t xml:space="preserve">тве»; форум «Волонтеры Победы».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Проведены мероприятия по разработке дизайн-проекта и проектной документации по благоустройству территории,</w:t>
      </w:r>
      <w:r>
        <w:rPr>
          <w:rFonts w:ascii="Times New Roman" w:hAnsi="Times New Roman"/>
          <w:sz w:val="24"/>
          <w:szCs w:val="24"/>
        </w:rPr>
        <w:t xml:space="preserve"> где расположено воинское захоронение на русско-немецком кладбище в пгт. Печенга. Проведены работы по восстановлению объекта «Памятник героям-подводникам Северного флота в нп. Лиинахамари. Выполнены работы по благоустройству памятника истории в пгт. Никель</w:t>
      </w:r>
      <w:r>
        <w:rPr>
          <w:rFonts w:ascii="Times New Roman" w:hAnsi="Times New Roman"/>
          <w:sz w:val="24"/>
          <w:szCs w:val="24"/>
        </w:rPr>
        <w:t xml:space="preserve">. В 2024 году созданы и функционируют еще две Комнаты </w:t>
      </w:r>
      <w:r>
        <w:rPr>
          <w:rFonts w:ascii="Times New Roman" w:hAnsi="Times New Roman"/>
          <w:sz w:val="24"/>
          <w:szCs w:val="24"/>
        </w:rPr>
        <w:t xml:space="preserve">Всероссийского военно-патриотического движения «ЮНАРМИЯ» (СОШ № 3 и №19). Всего в Печенгском округе функционирует восемь школьных отрядов ВВПД «ЮНАРМИЯ».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Основное м</w:t>
      </w:r>
      <w:r>
        <w:rPr>
          <w:rFonts w:ascii="Times New Roman" w:hAnsi="Times New Roman"/>
          <w:sz w:val="24"/>
          <w:szCs w:val="24"/>
          <w:u w:val="single"/>
        </w:rPr>
        <w:t xml:space="preserve">ероприятие 3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  <w:u w:val="single"/>
        </w:rPr>
        <w:t xml:space="preserve">«Формирование в молодежной среде отрицательного отношения к злоупотреблению алкоголем, потреблению наркотических и психотропных веществ».</w:t>
      </w:r>
      <w:r>
        <w:rPr>
          <w:rFonts w:ascii="Times New Roman" w:hAnsi="Times New Roman"/>
          <w:sz w:val="24"/>
          <w:szCs w:val="24"/>
        </w:rPr>
        <w:t xml:space="preserve"> Проведены акции, направленные на профилактику алкоголизма, табакокурения</w:t>
      </w:r>
      <w:r>
        <w:rPr>
          <w:rFonts w:ascii="Times New Roman" w:hAnsi="Times New Roman"/>
          <w:sz w:val="24"/>
          <w:szCs w:val="24"/>
        </w:rPr>
        <w:t xml:space="preserve"> и наркомании в молодежной среде; муниципальный молодежный форум «ЗОЖ».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5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Calibri" w:hAnsi="Calibri" w:eastAsia="Calibri" w:cs="Calibri"/>
        </w:rPr>
      </w:pP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  <w:r>
        <w:rPr>
          <w:rFonts w:ascii="Calibri" w:hAnsi="Calibri" w:eastAsia="Calibri" w:cs="Calibri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/>
      <w:bookmarkStart w:id="0" w:name="Par557"/>
      <w:r/>
      <w:bookmarkEnd w:id="0"/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«Молодежная политика»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4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35"/>
        <w:gridCol w:w="1559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благоприятных условий для использования потенциала молодых граждан в интересах социально-экономического, общественно-политического развития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возможностей для успешной социализации и эффективной самореализации молодых людей независимо от социального статуса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521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муниципальных услуг (работ) в сфере молодежной политики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13059,5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13059,5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13050,0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МБУ «ЦПиРМИ»,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посетителей молодежного учреждения в возрасте от 14 до 35 лет,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5000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10779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 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молодежной политики,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31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возможностей для интеллектуального и творческого развития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1196,5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1196,5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869,2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конкурсов, фестивалей, семинаров для молодежи различной направленности,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8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участвующих в различных творческих мероприятиях и проектах,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Награждение премией Главы Печенгского муниципального округа одаренных детей Печенгского муниципального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298,8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298,8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Численность молодых людей, награжденных за достижения и успехи в области спорта, общественно-полезной деятельности, культуры и искусства, учебно-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исследовательской деятельности, чел.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8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Пропаганда семейных ценностей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проведенных творческих мероприятий для молодых семей,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8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благоприятных условий для эффективной работы с молодежью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10526,3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9675,9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10185,2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помещений молодежного пространства, в отношении которых выполнен ремонт и улучшена материально-техническая база,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КДЦ «Платформа»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8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материально-технической базы для функционирования отделений Общероссийского общественно-государственного движения детей и молодежи «Движение Первых»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1296,5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1296,5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помещений отделений Общероссийского общественно-государственного движения детей и молодежи «Движение Первых», в отношении которых выполнен ремонт и улучшена материально-техническая база,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«Дельфин»; МБУ ДО ДДТ №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10900,0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15613,3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26513,3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10575,9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15259,5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25835,4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Сохранение и развитие системы гражданско-патриотического воспитания детей и молодежи 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условий для гражданского становления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647,5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406,2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406,2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семинаров (тренингов, ролевых игр) для школьников и студентов по воспитанию толерантности и профилактике экстремизма,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КСиМП; МБУ «ЦПиРМИ»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патриотических слетов, фестивалей для молодежи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молодежи в мероприятиях и восстановление воинских памятников и захоронений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62,5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62,5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участников Всероссийских, областных и региональных слетов, фестивалей и походов по местам боевой Славы,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5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Осуществление работ по сохранению памятников Великой Отечественной войны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1274,0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2024,0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1274,0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1974,0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восстановленных памятников Великой Отечественной войны,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85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проекта «Благоустройство памятника истории»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1155,1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716,6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1155,1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благоустроенных памятников истории,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85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условий для функционирования в муниципальных образованиях Комнат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/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Домов Всероссийского военно-патриотического движения «ЮНАРМИЯ»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1369,6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1301,1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1369,6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материально оснащенных Комнат/Домов Всероссийского военно-патриотического движения «ЮНАРМИЯ»,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 СОШ №№ 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1837,0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5258,7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1545,7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4967,4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Формирование в молодежной среде отрицательного отношения к злоупотреблению алкоголем, потреблению наркотических и психотропных веществ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целенаправленной работы по профилактике злоупотреблений и правонарушений в молодежной среде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Численность молодежи, охваченной кампаниями по профилактике потребления наркотических средств, психоактивных веществ и алкоголя,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1758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общественных объединений, вовлеченных в проведение профилактических мероприятий,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3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7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12917,7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17531,4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31853,1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12593,6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16886,3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1404,0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30883,9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Печенгского муниципального окру</w:t>
      </w:r>
      <w:r>
        <w:rPr>
          <w:rFonts w:ascii="Times New Roman" w:hAnsi="Times New Roman"/>
          <w:sz w:val="24"/>
          <w:szCs w:val="24"/>
        </w:rPr>
        <w:t xml:space="preserve">га «Молодежная политика» за 2024</w:t>
      </w:r>
      <w:r>
        <w:rPr>
          <w:rFonts w:ascii="Times New Roman" w:hAnsi="Times New Roman"/>
          <w:sz w:val="24"/>
          <w:szCs w:val="24"/>
        </w:rPr>
        <w:t xml:space="preserve"> год: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Приемлемый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уровень эффективности муниципальной Программы. Некорректно спланирован объем финансирования.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Возможен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пересмотр муниципальной программы в части высвобожден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ия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 ресурсов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и перенос их 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на следующие периоды или на другие муниципальные программы.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851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«Укрепление общественного здоровья в Печенгском муниципальном округе»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3 </w:t>
      </w:r>
      <w:r>
        <w:rPr>
          <w:rFonts w:ascii="Times New Roman" w:hAnsi="Times New Roman" w:cs="Times New Roman"/>
          <w:b/>
          <w:sz w:val="24"/>
          <w:szCs w:val="24"/>
        </w:rPr>
        <w:t xml:space="preserve">- 2024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«Укрепление общественного здоровья в Печ</w:t>
      </w:r>
      <w:r>
        <w:rPr>
          <w:rFonts w:ascii="Times New Roman" w:hAnsi="Times New Roman"/>
          <w:sz w:val="24"/>
          <w:szCs w:val="24"/>
        </w:rPr>
        <w:t xml:space="preserve">енг</w:t>
      </w:r>
      <w:r>
        <w:rPr>
          <w:rFonts w:ascii="Times New Roman" w:hAnsi="Times New Roman"/>
          <w:sz w:val="24"/>
          <w:szCs w:val="24"/>
        </w:rPr>
        <w:t xml:space="preserve">ском муниципальном округе» на 2023 - 2024 годы </w:t>
        <w:br/>
        <w:t xml:space="preserve">(далее – Программа) утверждена постановлением администрации Печенгского муниципального округа от 28.12.2022 № 1856 (в редакции постановлений администрации Печенгского муниципального округа от 31.05.2023 № 815</w:t>
      </w:r>
      <w:r>
        <w:rPr>
          <w:rFonts w:ascii="Times New Roman" w:hAnsi="Times New Roman"/>
          <w:sz w:val="24"/>
          <w:szCs w:val="24"/>
        </w:rPr>
        <w:t xml:space="preserve">,</w:t>
      </w:r>
      <w:r>
        <w:rPr>
          <w:rFonts w:ascii="Times New Roman" w:hAnsi="Times New Roman"/>
          <w:sz w:val="24"/>
          <w:szCs w:val="24"/>
        </w:rPr>
        <w:t xml:space="preserve"> от 28.11.2023 № 1765</w:t>
      </w:r>
      <w:r>
        <w:rPr>
          <w:rFonts w:ascii="Times New Roman" w:hAnsi="Times New Roman"/>
          <w:sz w:val="24"/>
          <w:szCs w:val="24"/>
        </w:rPr>
        <w:t xml:space="preserve"> и </w:t>
        <w:br/>
        <w:t xml:space="preserve">от 22.05.2024 № 837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Цель Программы – 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afterAutospacing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2"/>
        </w:num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формирование здорового образа жизни через развитие системы медицинской профилактики;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82"/>
        </w:numPr>
        <w:ind w:left="0" w:right="0" w:firstLine="709"/>
        <w:jc w:val="both"/>
        <w:spacing w:after="0" w:afterAutospacing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мотивирование граждан к ведению здорового образа жизни посредством проведения информационно-коммуникационной кампании;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82"/>
        </w:numPr>
        <w:ind w:left="0" w:right="0" w:firstLine="709"/>
        <w:jc w:val="both"/>
        <w:spacing w:after="0" w:afterAutospacing="0" w:line="240" w:lineRule="auto"/>
        <w:widowControl w:val="off"/>
        <w:tabs>
          <w:tab w:val="left" w:pos="709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осуществление мероприятий, направленных на увеличение физической активности жителей Печенгского муниципального округа;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82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создание благоприятных условий в целях привлечения медицинских работников для работы в медицинских организациях.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pStyle w:val="1033"/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709" w:leader="none"/>
          <w:tab w:val="left" w:pos="851" w:leader="none"/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Первоначально Программа на 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год утверждена без финансирования. В течение года внесены уточнения и утверждены средства бюджета округа в размере </w:t>
      </w:r>
      <w:r>
        <w:rPr>
          <w:rFonts w:ascii="Times New Roman" w:hAnsi="Times New Roman"/>
          <w:sz w:val="24"/>
          <w:szCs w:val="24"/>
        </w:rPr>
        <w:t xml:space="preserve">16</w:t>
      </w:r>
      <w:r>
        <w:rPr>
          <w:rFonts w:ascii="Times New Roman" w:hAnsi="Times New Roman"/>
          <w:sz w:val="24"/>
          <w:szCs w:val="24"/>
        </w:rPr>
        <w:t xml:space="preserve">00,0 тыс. рублей и внебюджетные источники в размере </w:t>
      </w:r>
      <w:r>
        <w:rPr>
          <w:rFonts w:ascii="Times New Roman" w:hAnsi="Times New Roman"/>
          <w:sz w:val="24"/>
          <w:szCs w:val="24"/>
        </w:rPr>
        <w:t xml:space="preserve">22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000,0</w:t>
      </w:r>
      <w:r>
        <w:rPr>
          <w:rFonts w:ascii="Times New Roman" w:hAnsi="Times New Roman"/>
          <w:sz w:val="24"/>
          <w:szCs w:val="24"/>
        </w:rPr>
        <w:t xml:space="preserve"> тыс. рублей. Исполнение составило 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 </w:t>
      </w:r>
      <w:r>
        <w:rPr>
          <w:rFonts w:ascii="Times New Roman" w:hAnsi="Times New Roman"/>
          <w:sz w:val="24"/>
          <w:szCs w:val="24"/>
        </w:rPr>
        <w:t xml:space="preserve">600</w:t>
      </w:r>
      <w:r>
        <w:rPr>
          <w:rFonts w:ascii="Times New Roman" w:hAnsi="Times New Roman"/>
          <w:sz w:val="24"/>
          <w:szCs w:val="24"/>
        </w:rPr>
        <w:t xml:space="preserve">,0</w:t>
      </w:r>
      <w:r>
        <w:rPr>
          <w:rFonts w:ascii="Times New Roman" w:hAnsi="Times New Roman"/>
          <w:sz w:val="24"/>
          <w:szCs w:val="24"/>
        </w:rPr>
        <w:t xml:space="preserve"> тыс. рублей, или 100,0%.  За счет внебюджетных средств произведен ремонт </w:t>
        <w:br/>
        <w:t xml:space="preserve">12-ти квартир для проживания прибывших медицинских работников на сумму </w:t>
      </w:r>
      <w:r>
        <w:rPr>
          <w:rFonts w:ascii="Times New Roman" w:hAnsi="Times New Roman"/>
          <w:sz w:val="24"/>
          <w:szCs w:val="24"/>
        </w:rPr>
        <w:t xml:space="preserve">22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000,0</w:t>
      </w:r>
      <w:r>
        <w:rPr>
          <w:rFonts w:ascii="Times New Roman" w:hAnsi="Times New Roman"/>
          <w:sz w:val="24"/>
          <w:szCs w:val="24"/>
        </w:rPr>
        <w:t xml:space="preserve"> тыс. рублей; за счет средств бюджета округа приобретены первичные наборы мебели и бытовой техники для вышеуказанных квартир на сумму </w:t>
      </w:r>
      <w:r>
        <w:rPr>
          <w:rFonts w:ascii="Times New Roman" w:hAnsi="Times New Roman"/>
          <w:sz w:val="24"/>
          <w:szCs w:val="24"/>
        </w:rPr>
        <w:t xml:space="preserve">1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600,0 тыс. рублей (8</w:t>
      </w:r>
      <w:r>
        <w:rPr>
          <w:rFonts w:ascii="Times New Roman" w:hAnsi="Times New Roman"/>
          <w:sz w:val="24"/>
          <w:szCs w:val="24"/>
        </w:rPr>
        <w:t xml:space="preserve"> наборов).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ind w:left="0" w:right="0" w:firstLine="709"/>
        <w:jc w:val="both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рамках Программы проведены мероприятия: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проведено три заседания антинаркотической комиссии Печенгского муниципального округа;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на базе молодежного пространства «С</w:t>
      </w:r>
      <w:r>
        <w:rPr>
          <w:rFonts w:ascii="Times New Roman" w:hAnsi="Times New Roman" w:cs="Times New Roman"/>
          <w:sz w:val="24"/>
          <w:szCs w:val="24"/>
        </w:rPr>
        <w:t xml:space="preserve">опки</w:t>
      </w:r>
      <w:r>
        <w:rPr>
          <w:rFonts w:ascii="Times New Roman" w:hAnsi="Times New Roman" w:cs="Times New Roman"/>
          <w:sz w:val="24"/>
          <w:szCs w:val="24"/>
        </w:rPr>
        <w:t xml:space="preserve">»</w:t>
      </w:r>
      <w:r>
        <w:rPr>
          <w:rFonts w:ascii="Times New Roman" w:hAnsi="Times New Roman" w:cs="Times New Roman"/>
          <w:sz w:val="24"/>
          <w:szCs w:val="24"/>
        </w:rPr>
        <w:t xml:space="preserve"> в пгт. Никель и г. Заполярный</w:t>
      </w:r>
      <w:r>
        <w:rPr>
          <w:rFonts w:ascii="Times New Roman" w:hAnsi="Times New Roman" w:cs="Times New Roman"/>
          <w:sz w:val="24"/>
          <w:szCs w:val="24"/>
        </w:rPr>
        <w:t xml:space="preserve"> проводятся мероприятия для молодежи, направленные на популяризацию здорового образа жизни;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успешно функционирует молодежное пространство «Сопки.Спорт», проект «Бодрое воскресенье», проводятся бесплатные занятия;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Печенгской районной общественной организацией ветеранов (пенсионеров) войны и труда совместно с ГОБУЗ «Печенгская ЦРБ» и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администрацией Печенгского муниципального округа проводились мероприятия по укреплению общественного здоровья граждан со статусом «Ветераны ВОВ», «Дети ВОВ» и инвалиды, которые получили возможность для ведения активного образа жизни, активного долголетия;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проводится информационно-коммуникационная кампания на сайтах администрации округа, ГОБУЗ «Печенгская ЦРБ», в официальных группах «ВКонтакте» публикуются материалы о доступности медицинских услуг, о необходимости прохождения диспансеризации, о профилактике </w:t>
      </w:r>
      <w:r>
        <w:rPr>
          <w:rFonts w:ascii="Times New Roman" w:hAnsi="Times New Roman" w:cs="Times New Roman"/>
          <w:sz w:val="24"/>
          <w:szCs w:val="24"/>
        </w:rPr>
        <w:t xml:space="preserve">ХНИЗ и инфекционных заболеваний;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среди различных групп населения в муниципальных учреждениях образ</w:t>
      </w:r>
      <w:r>
        <w:rPr>
          <w:rFonts w:ascii="Times New Roman" w:hAnsi="Times New Roman" w:cs="Times New Roman"/>
          <w:sz w:val="24"/>
          <w:szCs w:val="24"/>
        </w:rPr>
        <w:t xml:space="preserve">ования, культуры, спорта проводятся информационно-образовательные мероприятия по пропаганде здорового образа жизни. На каждом врачебном приеме на постоянной основе ведутся беседы по пропаганде здорового образа жизни и профилактики определенных заболеваний;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образовательных организациях Печенгского муниципального округа систематически проводятся классные часы, лекции, тренинги, спортивные мероприятия с </w:t>
      </w:r>
      <w:r>
        <w:rPr>
          <w:rFonts w:ascii="Times New Roman" w:hAnsi="Times New Roman" w:cs="Times New Roman"/>
          <w:sz w:val="24"/>
          <w:szCs w:val="24"/>
        </w:rPr>
        <w:t xml:space="preserve">целью профилактики потребления табака, алкоголя. Беседы о здоровом питании, повышении физической активности, сохранении психологического здоровья и благополучия.</w:t>
      </w:r>
      <w:r>
        <w:rPr>
          <w:rFonts w:ascii="Times New Roman" w:hAnsi="Times New Roman" w:cs="Times New Roman"/>
          <w:sz w:val="24"/>
          <w:szCs w:val="24"/>
        </w:rPr>
        <w:t xml:space="preserve"> Проводится санитарно-просветительная работа работниками медицинских кабинетов школ, выпускаются ежегодно новые санитарные бюллетени;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пациенты, состоящие на диспансерном учёте, осматриваются согласно стандартам оказания медицинской помощи;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организован уголок медицинской профилактики с информационными материалами по профилактике АГ (в холле поликлиники);</w:t>
      </w:r>
      <w:r>
        <w:rPr>
          <w:rFonts w:ascii="Times New Roman" w:hAnsi="Times New Roman" w:cs="Times New Roman"/>
          <w:sz w:val="24"/>
          <w:szCs w:val="24"/>
        </w:rPr>
        <w:t xml:space="preserve"> функционирует кабинет медицинской профилактики</w:t>
      </w:r>
      <w:r>
        <w:rPr>
          <w:rFonts w:ascii="Times New Roman" w:hAnsi="Times New Roman" w:cs="Times New Roman"/>
          <w:sz w:val="24"/>
          <w:szCs w:val="24"/>
        </w:rPr>
        <w:t xml:space="preserve">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3"/>
        </w:numPr>
        <w:ind w:left="0" w:right="0" w:firstLine="709"/>
        <w:jc w:val="both"/>
        <w:spacing w:after="0" w:afterAutospacing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 работе «</w:t>
      </w:r>
      <w:r>
        <w:rPr>
          <w:rFonts w:ascii="Times New Roman" w:hAnsi="Times New Roman" w:cs="Times New Roman"/>
          <w:sz w:val="24"/>
          <w:szCs w:val="24"/>
        </w:rPr>
        <w:t xml:space="preserve">П</w:t>
      </w:r>
      <w:r>
        <w:rPr>
          <w:rFonts w:ascii="Times New Roman" w:hAnsi="Times New Roman" w:cs="Times New Roman"/>
          <w:sz w:val="24"/>
          <w:szCs w:val="24"/>
        </w:rPr>
        <w:t xml:space="preserve">оезда здоровья» в населенные пункты проводиться информационно-просветительская работа с вручением памяток, буклетов.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«Укрепление общественного здоровья в Печенгском муниципальном округе»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3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- 2024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885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950"/>
        <w:gridCol w:w="850"/>
        <w:gridCol w:w="851"/>
        <w:gridCol w:w="992"/>
        <w:gridCol w:w="142"/>
        <w:gridCol w:w="850"/>
        <w:gridCol w:w="39"/>
        <w:gridCol w:w="812"/>
        <w:gridCol w:w="3118"/>
        <w:gridCol w:w="992"/>
        <w:gridCol w:w="851"/>
        <w:gridCol w:w="850"/>
        <w:gridCol w:w="1885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6"/>
            <w:shd w:val="clear" w:color="auto" w:fill="auto"/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8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Улучшение здоровья жителей Печенгского муниципального округа, повышение качества жизни населения, формирование культуры общественного здоровья, ответственного отношения к здоровью.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1. Организационно-методическое обеспечение системы мероприятий, направленных на укрепление общественного здоровья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межведомственного взаимодействия по реализации мероприятий, направленных на формирование здорового образа жизни, включая снижение потребления алкоголя, табака, повышения физической активности, популяризации здорового питания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заседаний антинаркотической комиссии, количество заседаний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Привлечение волонтерского движения и СО НКО в мероприятия по укреплению общественного здоровья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Участие волонтеров и СО НКО в мероприятиях по укреплению общественного здоровья,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 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2. Проведение информационно-коммуникационной кампании по формированию и мотивированию к ведению здорового образа жизни среди населения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информации по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вопросам ведения здорового образа жизни  в средствах массовой информации (официальное издание газета «Печенга»), сайт органов местного самоуправления Печенгского муниципального округа, официальные аккаунты Печенгского муниципального округа в сети Интернет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доли граждан старше 12 лет, охваченных информационно-коммуникационной кампанией,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ГОБУЗ «Печенгская ЦРБ», МАУ «Информцентр»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на постоянной основе информационно-образовательных мероприятий (массовые акции, тематические и лекционные занятия, тренинги) по пропаганде здорового образа жизни среди населения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информационно-образовательных мероприятий по пропаганде здорового образа жизни среди населения,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отдел образования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Информирование населения через средства массовой информации о вреде употребления никотинсодержащих изделий, по предупреждению последствий употребления алкоголя, наркотиков, летучих органических соединений, курительных смесей и их компонентов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 вреде употребления никотинсодержащих изделий, по предупреждению последствий употребления алкоголя, наркотиков, летучих органических соединений, курительных смесей и их компонентов,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КСиМП, отдел образования, МАУ «Инфорцентр»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и распространение среди обучающихся и воспитанников общеобразовательных организаций информационных материалов (памятки, листовки, плакаты) по профилактике заболеваний и факторов риска их развития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Целевое санитарно-гигиеническое воспитание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(проведение бесед, лекций) по вопросам ведения здорового образа жизни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по вопросам ведения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здорового образа жизни,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39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97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обновленной санитарно-просветительской литературы по профилактике ХНИЗ и факторов риска их развития, предоставленной ЦОЗМП (плакаты, буклеты, памятки, листовки)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ХНИЗ и факторов риска их развития,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69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Мероприятия, направленные на снижение факторов риска «артериальная гипертония»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Активация работы школы здоровья для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обучением в школе здоровья пациентов с артериальной гипертонией,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Ежегодный осмотр в рамках диспансерного наблюдения пациентов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Охват диспансерным наблюдением пациентов с артериальной гипертонией в Печенгском муниципальном округе, количество осмотров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 раза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санитарно-просветительной литературы по профилактике артериальной гипертонии,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артериальной гипертонии,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6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4. Создание службы общественного здоровья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Открытие и активация работы отделения медицинской профилактики на базе ГОБУЗ «Печенгская ЦРБ» в соответствии с приказом Министерств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 здравоохранения Российской Федерации от 29.10.2020 № 1177н «Об утверждении порядка организации и осуществления профилактики инфекционных заболеваний и проведения мероприятий по формированию здорового образа жизни в медицинских организациях»,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граждан, охваченных профилактическими мероприятиями,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20% население 100% обучающихся образовательных организаций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18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4.1.1.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Работа школ здоровья на базе ГОБУЗ «Печенгская ЦРБ»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4.1.2.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выездных информационно-просветительных мероприятий специалистами ГОБУЗ «Печенгская ЦРБ» в организованных коллективах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4.1.3.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массовых акций, в том числе приуроченных к Всемирным, Международным и Всероссийским дням здоровья, с проведением скрининговых исследований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  <w:t xml:space="preserve">4.1.4.</w:t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i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на базе ГОБУЗ «Печенгская ЦРБ» «постов здоровья», «дней открытых дверей» с привлечением «узких» специалистов,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проведением индивидуальных консультаций и скрининговых исследований, посвященных следующим значимым датам: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против рака (4 февраля);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здоровья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(7 апреля);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с артериальной гипертонией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(17 мая);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здорового пищеварения (29 мая);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без табака (31 мая);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Всероссийский день трезвости и борьбы с алкоголизмом (11 сентября);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сердца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(29 сентября);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с инсультом (29 октября);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Всемирный день борьбы с диабетом (14 ноября);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 Международный день отказа от курения (третий четверг ноября)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проведение ежегодного мониторинга факторов риска хронических неинфекционных заболеваний среди населения Печенгского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анкетирования среди населения Печенгского округа, количество анкет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200 анкет в год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221 анкеты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55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Основное мероприятие 5. Осуществление мероприятий, направленных на увеличение физической активности жителей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мероприятий, направленных на формирование семейных физкультурных ценностей, популяризация физической культуры среди детей и молодежи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в детской и юношеской среде потребности к систематическим занятиям физической культурой. Формирование системы семейных физкультурных ценностей. Повышение двигательной активности детей и молодежи,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 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5.2.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физкультурных мероприятий с населением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населения, систематически занимающегося физической культурой и спортом, от общей численности населения в возрасте от 3 до 70 лет,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51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  <w:t xml:space="preserve">67,1</w:t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 МП, МБУ ДО ДЮСШ, МБУ «СК «Металлург», МБУ «СК «Дельфин»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 по основному мероприятию 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23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6. Создание условий для снижения фактора риска «нерациональное питание» среди жителей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Внедрение на предприятиях, в организациях и учреждениях четырех обучающих программ, предоставленных Управлением Роспотребнадзора по Мурманской области: для групп 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аселения, проживающих на территориях с особенностями в части воздействия факторов окружающей среды (дефицит микро- и макронутриентов, климатические условия); для взрослого населения; для лиц пожилого и старческого возраста; для беременных и кормящих женщин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информированности населения об особенностях воздействия факторов окружающей среды на здоровье,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Распространение среди населения Печенгского муниципального округа санитарно-просветительной литературы по популяции здорового питания, предоставленной ЦОЗМП (плакаты, буклеты, памятки)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популяции здорового питания,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7. Мероприятия, направленные на профилактику заболеваний репродуктивной сферы у мужчин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Подготовка и тиражирование информационных материалов по профилактике заболеваний репродуктивной сферы у мужчин, в том числе инфекций, передаваемых половым путем, для лиц подросткового возраста и мужчин репродуктивного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по профилактике заболеваний репродуктивной сферы у мужчин, в том числе инфекций, передаваемых половым путем,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7.2.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информационно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-образовательных мероприятий (обучающие семинары, «круглые столы», тематические и лекционные занятия) с целью сексуального воспитания подростков в части ответственного отношения к репродуктивному здоровью и профилактики инфекций, передаваемых половым путем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информированности подростков по вопросам ответственного отношения к репродуктивному здоровью,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8. Мероприятия, направленные на профилактику заболеваний полости 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Обучение навыкам гигиенического ухода за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зубами детей дошкольного и школьного возраста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детского населения,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8.2.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Гигиеническое обучение по уходу за зубами населения Печенгского муниципального округа – проведение «уроков здоровья»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Повышение стоматологической грамотности и снижение факторов риска стоматологических заболеваний среди населения,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ГОБУЗ «Печенгская ЦРБ»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89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5"/>
            <w:shd w:val="clear" w:color="auto" w:fill="auto"/>
            <w:tcW w:w="1588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мероприятие 9. Создание благоприятных условий в целях привлечения медицинских работников и фармацевтических работников для работы в медицинских организациях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Подбор и предоставление жилых помещений (квартир), прибывшим медицинским работникам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жилых помещений (квартир), прибывшим медицинским работникам,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                    (не требует финансирования)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9.2.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жилых помещений (квартир), оснащение их первичным набором мебели и бытовой техникой, в целях проживания прибывших медицинских работников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1600,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жилых помещений (квартир) для проживания прибывших медицинских работников, квартиры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950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11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приобретенных первичных наборов мебели и бытовой техники, наборы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88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9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031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23600,0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12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69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эффективности реализации муниципальной программы Печенгского муниципального округа «Укрепление общественного здоровья в Печенгском муниципальном округе» за 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год: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  <w:r>
        <w:rPr>
          <w:rFonts w:ascii="Times New Roman" w:hAnsi="Times New Roman"/>
          <w:sz w:val="24"/>
          <w:szCs w:val="24"/>
          <w:u w:val="single"/>
        </w:rPr>
      </w:r>
    </w:p>
    <w:p>
      <w:pPr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Оценка – 3.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74" w:lineRule="exact"/>
        <w:shd w:val="clear" w:color="auto" w:fill="ffffff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Средний уровень эффективности муниципальной Программы. Возможен пересмотр муниципальной программы в части корректировки значений показателей (индикаторов) или выделения дополнительного финансирования.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10. Муниципальная программа Печенгского муниципального округа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/>
        <w:jc w:val="center"/>
        <w:spacing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«Физическая культура и спорт»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 w:firstLine="709"/>
        <w:jc w:val="both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1033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Муниципальная программа Печенгского муниципального округа «Физическая культура и спорт» на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- 202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626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от 20.0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272, от 14</w:t>
      </w:r>
      <w:r>
        <w:rPr>
          <w:rFonts w:ascii="Times New Roman" w:hAnsi="Times New Roman" w:cs="Times New Roman"/>
          <w:sz w:val="24"/>
          <w:szCs w:val="24"/>
        </w:rPr>
        <w:t xml:space="preserve">.03.202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3</w:t>
      </w:r>
      <w:r>
        <w:rPr>
          <w:rFonts w:ascii="Times New Roman" w:hAnsi="Times New Roman" w:cs="Times New Roman"/>
          <w:sz w:val="24"/>
          <w:szCs w:val="24"/>
        </w:rPr>
        <w:t xml:space="preserve">85, от 31</w:t>
      </w:r>
      <w:r>
        <w:rPr>
          <w:rFonts w:ascii="Times New Roman" w:hAnsi="Times New Roman" w:cs="Times New Roman"/>
          <w:sz w:val="24"/>
          <w:szCs w:val="24"/>
        </w:rPr>
        <w:t xml:space="preserve">.05.202</w:t>
      </w:r>
      <w:r>
        <w:rPr>
          <w:rFonts w:ascii="Times New Roman" w:hAnsi="Times New Roman" w:cs="Times New Roman"/>
          <w:sz w:val="24"/>
          <w:szCs w:val="24"/>
        </w:rPr>
        <w:t xml:space="preserve">4 № 929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06.08.2024 № 1241, от 26.08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319 и от 09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976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Цель Программы -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shd w:val="clear" w:color="auto" w:fill="ffffff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4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Создание благоприятных условий для эффективного функционирования спортивных учреждений и объектов.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4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Повышение качества предоставляемых услуг учреждениями физической культуры и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4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Пропаганда здорового образа жизни.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numPr>
          <w:ilvl w:val="0"/>
          <w:numId w:val="84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Развитие детско-юношеского спорта.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113 327,1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126 598,6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рублей: средства областного бюджета </w:t>
      </w:r>
      <w:r>
        <w:rPr>
          <w:rFonts w:ascii="Times New Roman" w:hAnsi="Times New Roman" w:cs="Times New Roman"/>
          <w:sz w:val="24"/>
          <w:szCs w:val="24"/>
        </w:rPr>
        <w:t xml:space="preserve">38 451,0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бюджета округа </w:t>
      </w:r>
      <w:r>
        <w:rPr>
          <w:rFonts w:ascii="Times New Roman" w:hAnsi="Times New Roman" w:cs="Times New Roman"/>
          <w:sz w:val="24"/>
          <w:szCs w:val="24"/>
        </w:rPr>
        <w:t xml:space="preserve">75 347,2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внебюджетные поступления </w:t>
      </w:r>
      <w:r>
        <w:rPr>
          <w:rFonts w:ascii="Times New Roman" w:hAnsi="Times New Roman" w:cs="Times New Roman"/>
          <w:sz w:val="24"/>
          <w:szCs w:val="24"/>
        </w:rPr>
        <w:t xml:space="preserve">12 800,4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ходе реализации Программы исполнено </w:t>
      </w:r>
      <w:r>
        <w:rPr>
          <w:rFonts w:ascii="Times New Roman" w:hAnsi="Times New Roman" w:cs="Times New Roman"/>
          <w:sz w:val="24"/>
          <w:szCs w:val="24"/>
        </w:rPr>
        <w:t xml:space="preserve">125 915,5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99,5%.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Не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683,</w:t>
      </w:r>
      <w:r>
        <w:rPr>
          <w:rFonts w:ascii="Times New Roman" w:hAnsi="Times New Roman" w:cs="Times New Roman"/>
          <w:sz w:val="24"/>
          <w:szCs w:val="24"/>
        </w:rPr>
        <w:t xml:space="preserve">1 тыс. рублей</w:t>
      </w:r>
      <w:r>
        <w:rPr>
          <w:rFonts w:ascii="Times New Roman" w:hAnsi="Times New Roman" w:cs="Times New Roman"/>
          <w:sz w:val="24"/>
          <w:szCs w:val="24"/>
        </w:rPr>
        <w:t xml:space="preserve"> средства бюджета округа</w:t>
      </w:r>
      <w:r>
        <w:rPr>
          <w:rFonts w:ascii="Times New Roman" w:hAnsi="Times New Roman" w:cs="Times New Roman"/>
          <w:sz w:val="24"/>
          <w:szCs w:val="24"/>
        </w:rPr>
        <w:t xml:space="preserve">, из них: </w:t>
      </w:r>
      <w:r>
        <w:rPr>
          <w:rFonts w:ascii="Times New Roman" w:hAnsi="Times New Roman" w:cs="Times New Roman"/>
          <w:sz w:val="24"/>
          <w:szCs w:val="24"/>
        </w:rPr>
        <w:t xml:space="preserve">637,3</w:t>
      </w:r>
      <w:r>
        <w:rPr>
          <w:rFonts w:ascii="Times New Roman" w:hAnsi="Times New Roman" w:cs="Times New Roman"/>
          <w:sz w:val="24"/>
          <w:szCs w:val="24"/>
        </w:rPr>
        <w:t xml:space="preserve"> тыс. рублей экономия на организацию и проведение соревнований, обеспечение участия спортсменов округа в областных, общероссийских соревнованиях (оплата транспортных услуг, проживания, денежная компенсация</w:t>
      </w:r>
      <w:r>
        <w:rPr>
          <w:rFonts w:ascii="Times New Roman" w:hAnsi="Times New Roman" w:cs="Times New Roman"/>
          <w:sz w:val="24"/>
          <w:szCs w:val="24"/>
        </w:rPr>
        <w:t xml:space="preserve"> по фактической потребности</w:t>
      </w:r>
      <w:r>
        <w:rPr>
          <w:rFonts w:ascii="Times New Roman" w:hAnsi="Times New Roman" w:cs="Times New Roman"/>
          <w:sz w:val="24"/>
          <w:szCs w:val="24"/>
        </w:rPr>
        <w:t xml:space="preserve">); 45,8 тыс. рублей экономия по результатам торгов.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было проведено 7</w:t>
      </w:r>
      <w:r>
        <w:rPr>
          <w:rFonts w:ascii="Times New Roman" w:hAnsi="Times New Roman" w:cs="Times New Roman"/>
          <w:sz w:val="24"/>
          <w:szCs w:val="24"/>
        </w:rPr>
        <w:t xml:space="preserve">7</w:t>
      </w:r>
      <w:r>
        <w:rPr>
          <w:rFonts w:ascii="Times New Roman" w:hAnsi="Times New Roman" w:cs="Times New Roman"/>
          <w:sz w:val="24"/>
          <w:szCs w:val="24"/>
        </w:rPr>
        <w:t xml:space="preserve"> спортивно-массовых мероприятий по различным видам спорта. Спортсмены округа принимали участия в мероприятиях различного уровня, в том числе: 3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 – районного, 3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– областного, </w:t>
      </w:r>
      <w:r>
        <w:rPr>
          <w:rFonts w:ascii="Times New Roman" w:hAnsi="Times New Roman" w:cs="Times New Roman"/>
          <w:sz w:val="24"/>
          <w:szCs w:val="24"/>
        </w:rPr>
        <w:t xml:space="preserve">11</w:t>
      </w:r>
      <w:r>
        <w:rPr>
          <w:rFonts w:ascii="Times New Roman" w:hAnsi="Times New Roman" w:cs="Times New Roman"/>
          <w:sz w:val="24"/>
          <w:szCs w:val="24"/>
        </w:rPr>
        <w:t xml:space="preserve"> – всероссийского.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4 году 1</w:t>
      </w:r>
      <w:r>
        <w:rPr>
          <w:rFonts w:ascii="Times New Roman" w:hAnsi="Times New Roman" w:cs="Times New Roman"/>
          <w:sz w:val="24"/>
          <w:szCs w:val="24"/>
        </w:rPr>
        <w:t xml:space="preserve">1 спортсмен</w:t>
      </w:r>
      <w:r>
        <w:rPr>
          <w:rFonts w:ascii="Times New Roman" w:hAnsi="Times New Roman" w:cs="Times New Roman"/>
          <w:sz w:val="24"/>
          <w:szCs w:val="24"/>
        </w:rPr>
        <w:t xml:space="preserve">ов</w:t>
      </w:r>
      <w:r>
        <w:rPr>
          <w:rFonts w:ascii="Times New Roman" w:hAnsi="Times New Roman" w:cs="Times New Roman"/>
          <w:sz w:val="24"/>
          <w:szCs w:val="24"/>
        </w:rPr>
        <w:t xml:space="preserve"> выполнил</w:t>
      </w:r>
      <w:r>
        <w:rPr>
          <w:rFonts w:ascii="Times New Roman" w:hAnsi="Times New Roman" w:cs="Times New Roman"/>
          <w:sz w:val="24"/>
          <w:szCs w:val="24"/>
        </w:rPr>
        <w:t xml:space="preserve">и</w:t>
      </w:r>
      <w:r>
        <w:rPr>
          <w:rFonts w:ascii="Times New Roman" w:hAnsi="Times New Roman" w:cs="Times New Roman"/>
          <w:sz w:val="24"/>
          <w:szCs w:val="24"/>
        </w:rPr>
        <w:t xml:space="preserve"> нормативы массовых спортивных разрядов. В течение года спортивно-массовые мероприятия посетили 7</w:t>
      </w:r>
      <w:r>
        <w:rPr>
          <w:rFonts w:ascii="Times New Roman" w:hAnsi="Times New Roman" w:cs="Times New Roman"/>
          <w:sz w:val="24"/>
          <w:szCs w:val="24"/>
        </w:rPr>
        <w:t xml:space="preserve">46</w:t>
      </w:r>
      <w:r>
        <w:rPr>
          <w:rFonts w:ascii="Times New Roman" w:hAnsi="Times New Roman" w:cs="Times New Roman"/>
          <w:sz w:val="24"/>
          <w:szCs w:val="24"/>
        </w:rPr>
        <w:t xml:space="preserve">0 человек.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Проведены работы по текущему ремонту помещений под спортивное молодежное пространство «Сопки.Спорт» в пгт. Печенга. Приобретено спортивное оборудование, инвентарь, необходимая мебель.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изготовлению и монтажу декоративного освещения здания СК «Дельфин».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Ведутся работы по модернизации объекта «Крытый хоккейный корт» с искусственным льдом для круглогодичной эксплуатации.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Произведен демонтаж площадки для ГТО и монтаж кровли площадки ГТО.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Изготовление и монтаж сцены на «Тропе здоровья»; монтажные работы по видеонаблюдению, подключению, программированию и наладке сервера видеонаблюдения; восстановление малых архитектурных форм.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восстановлению и благоустройству футбольного поля в МБОУ СОШ № 7 нп. Корзуново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рамках проекта «Спорт и равенство» фонда «Кольский» организована доступная среда (приобретено специализированное оборудование) для занятий спортом для лиц, с ограниченными возможностями здоровья.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и объёмы финансирования за 2024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«Физическая культура и спорт»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2024 - 2026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/>
          <w:bCs/>
          <w:sz w:val="24"/>
          <w:szCs w:val="24"/>
        </w:rPr>
      </w:pP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  <w:r>
        <w:rPr>
          <w:rFonts w:ascii="Times New Roman" w:hAnsi="Times New Roman" w:eastAsia="Calibri" w:cs="Times New Roman"/>
          <w:b/>
          <w:bCs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Создание условий для максимальной вовлеченности населения Печенгского муниципального округа в систематические занятия физической культурой и спортом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Создание благоприятных условий для эффективного функционирования спортивных учреждений и объектов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предоставления услуг (работ)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49049,2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61249,2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49049,2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61249,2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муниципального задания учреждениями спорта,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«Металлург»,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43 744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tcW w:w="1047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43 754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Число посещений МБУ «СК «Дельфин», посещений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64 986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64986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Доля населения регулярно занимающегося физической культурой и спортом,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67,1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Обеспечение выполнения указов Президента Российской Федерации по оплате труда и начислениям на выплаты по оплате труда работникам муниципальных учреждений, в том числе: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24324,8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25605,2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24324,8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25605,2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указов Президента Российской Федерации по оплате труда и начислениям на выплаты по оплате труда работникам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учреждений,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Обеспечение сохранения заработной платы труда работников муниципальных учреждений образования, культуры, физической 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культуры и спорта на уровне, установленном указами Президента Российской Федерации от 07.05.2012 </w:t>
              <w:br/>
              <w:t xml:space="preserve">№ 597, от 01.06.2012 № 761 и </w:t>
              <w:br/>
              <w:t xml:space="preserve">от 28.12.2012 № 1688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4430,0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233,3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4663,3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4430,0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233,3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4663,3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  <w:t xml:space="preserve">Частичная компенсация дополнительных расходов на повышение оплаты труда работникам муниципальных учреждений в связи с доведением оплаты труда до МРОТ, установленного федеральным законом </w:t>
              <w:br/>
              <w:t xml:space="preserve">от 19.06.2000 № 82-ФЗ</w:t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19894,8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1047,1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20941,9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19894,8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1047,1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20941,9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18"/>
                <w:szCs w:val="18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18"/>
                <w:szCs w:val="18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24324,8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50329,6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86854,4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24324,8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50329,6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12200,0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86854,4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Повышение качества предоставляемых услуг учреждениями физической культуры и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120"/>
        </w:trPr>
        <w:tc>
          <w:tcPr>
            <w:shd w:val="clear" w:color="auto" w:fill="auto"/>
            <w:tcW w:w="700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 муниципальных бюджетных  учреждений физической культуры и спорта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15818,7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15818,7 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15806,4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15806,4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развития и укрепления материально-технической базы учреждений физической культуры и спорта,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«Металлург», 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38"/>
        </w:trPr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ремонтных работ спортивных объектов учреждений физической культуры и спорта,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15818,7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15806,4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15806,4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Пропаганда здорового образа жизни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399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  <w:t xml:space="preserve">Организация и проведение соревнований, спортивно-массовых мероприятий, обеспечение участия спортсменов Печенгского муниципального округа в областных, общероссийских и международных соревнованиях</w:t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3400,0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3400,0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2762,7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2762,7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мероприятий, направленных на популяризацию здорового образа жизни среди различных слоев населения,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Создание спортивного пространства для молодежи «Сопки.Спорт»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3858,3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9858,3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3824,8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9824,8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Увеличение числа молодежи (с 14 до 35 лет) систематически занимающихся физической культурой и спортом,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2800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8767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КСиМП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Восстановление покрытия футбольного поля, оборудование беговых дорожек на стадионе МБОУ «СОШ № 7»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3999,0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600,5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400,5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Выполнение работ по восстановлению покрытия футбольного поля, оборудование беговых дорожек на стадионе МБОУ «СОШ № 7»,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СОШ № 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Инициативный проект «Открытый лёд»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1537,8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1106,8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231,1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1537,8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объектов, реализованных в рамках инициативного проекта «Открытый лёд»,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«СК «Дельфин»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Реализация мероприятия «Инженерные изыскания по объекту «Строительство быстровозводимого бассейна в пгт. Печенга»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3179,4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3020,4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3179,4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проведенных инженерных изысканий объекта «Строительство быстровозводимого бассейна в пгт. Печенга»,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141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14126,2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8248,9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22975,5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14126,2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7578,1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600,4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22304,7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380"/>
        </w:trPr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4. Развитие детско-юношеского спорта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и участие обучающихся Печенгского муниципального округа в физкультурных и спортивных мероприятиях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физкультурных и спортивных мероприятий различного уровня среди обучающихся Печенгского муниципального округа,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Отдел образования,                    СОШ, ООШ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46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4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950,0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1215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38451,0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75347,2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12800,4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126598,6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38451,0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74664,1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12800,4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125915,5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«Физическая культура и спорт»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Высокая эффективность муниципальной программы.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ind w:left="0" w:right="32"/>
        <w:jc w:val="center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11. Муниципальная программа Печенгского муницпального округа «Муниципальные финансы»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4 - 2026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pStyle w:val="1033"/>
        <w:ind w:left="0" w:right="32" w:firstLine="709"/>
        <w:jc w:val="both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  <w:r>
        <w:rPr>
          <w:rFonts w:ascii="Times New Roman" w:hAnsi="Times New Roman" w:cs="Times New Roman"/>
          <w:b/>
          <w:sz w:val="18"/>
          <w:szCs w:val="18"/>
        </w:rPr>
      </w:r>
    </w:p>
    <w:p>
      <w:pPr>
        <w:pStyle w:val="1033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Муниципальная программа Печенгского муниципального округа «Муниципальные финансы» на 202</w:t>
      </w:r>
      <w:r>
        <w:rPr>
          <w:rFonts w:ascii="Times New Roman" w:hAnsi="Times New Roman"/>
          <w:sz w:val="24"/>
          <w:szCs w:val="24"/>
        </w:rPr>
        <w:t xml:space="preserve">4 </w:t>
      </w:r>
      <w:r>
        <w:rPr>
          <w:rFonts w:ascii="Times New Roman" w:hAnsi="Times New Roman"/>
          <w:sz w:val="24"/>
          <w:szCs w:val="24"/>
        </w:rPr>
        <w:t xml:space="preserve">- 202</w:t>
      </w:r>
      <w:r>
        <w:rPr>
          <w:rFonts w:ascii="Times New Roman" w:hAnsi="Times New Roman"/>
          <w:sz w:val="24"/>
          <w:szCs w:val="24"/>
        </w:rPr>
        <w:t xml:space="preserve">6</w:t>
      </w:r>
      <w:r>
        <w:rPr>
          <w:rFonts w:ascii="Times New Roman" w:hAnsi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63</w:t>
      </w:r>
      <w:r>
        <w:rPr>
          <w:rFonts w:ascii="Times New Roman" w:hAnsi="Times New Roman"/>
          <w:sz w:val="24"/>
          <w:szCs w:val="24"/>
        </w:rPr>
        <w:t xml:space="preserve">1 (в редакции постановлений администрации Печенгского муниципального округа от 1</w:t>
      </w:r>
      <w:r>
        <w:rPr>
          <w:rFonts w:ascii="Times New Roman" w:hAnsi="Times New Roman"/>
          <w:sz w:val="24"/>
          <w:szCs w:val="24"/>
        </w:rPr>
        <w:t xml:space="preserve">4.03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 № 386, от 09</w:t>
      </w:r>
      <w:r>
        <w:rPr>
          <w:rFonts w:ascii="Times New Roman" w:hAnsi="Times New Roman"/>
          <w:sz w:val="24"/>
          <w:szCs w:val="24"/>
        </w:rPr>
        <w:t xml:space="preserve">.1</w:t>
      </w:r>
      <w:r>
        <w:rPr>
          <w:rFonts w:ascii="Times New Roman" w:hAnsi="Times New Roman"/>
          <w:sz w:val="24"/>
          <w:szCs w:val="24"/>
        </w:rPr>
        <w:t xml:space="preserve">2</w:t>
      </w:r>
      <w:r>
        <w:rPr>
          <w:rFonts w:ascii="Times New Roman" w:hAnsi="Times New Roman"/>
          <w:sz w:val="24"/>
          <w:szCs w:val="24"/>
        </w:rPr>
        <w:t xml:space="preserve">.202</w:t>
      </w:r>
      <w:r>
        <w:rPr>
          <w:rFonts w:ascii="Times New Roman" w:hAnsi="Times New Roman"/>
          <w:sz w:val="24"/>
          <w:szCs w:val="24"/>
        </w:rPr>
        <w:t xml:space="preserve">4</w:t>
      </w:r>
      <w:r>
        <w:rPr>
          <w:rFonts w:ascii="Times New Roman" w:hAnsi="Times New Roman"/>
          <w:sz w:val="24"/>
          <w:szCs w:val="24"/>
        </w:rPr>
        <w:t xml:space="preserve"> № 1</w:t>
      </w:r>
      <w:r>
        <w:rPr>
          <w:rFonts w:ascii="Times New Roman" w:hAnsi="Times New Roman"/>
          <w:sz w:val="24"/>
          <w:szCs w:val="24"/>
        </w:rPr>
        <w:t xml:space="preserve">981</w:t>
      </w:r>
      <w:r>
        <w:rPr>
          <w:rFonts w:ascii="Times New Roman" w:hAnsi="Times New Roman"/>
          <w:sz w:val="24"/>
          <w:szCs w:val="24"/>
        </w:rPr>
        <w:t xml:space="preserve">).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ind w:left="0" w:right="0" w:firstLine="709"/>
        <w:jc w:val="both"/>
        <w:spacing w:after="0" w:line="240" w:lineRule="auto"/>
        <w:shd w:val="clear" w:color="auto" w:fill="ffffff"/>
        <w:widowControl w:val="off"/>
        <w:tabs>
          <w:tab w:val="left" w:pos="0" w:leader="none"/>
        </w:tabs>
        <w:rPr>
          <w:rFonts w:ascii="Times New Roman" w:hAnsi="Times New Roman" w:cs="Times New Roman"/>
          <w:b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Цель Программы – обеспечение долгосрочной стабильности и устойчивости бюдж</w:t>
      </w:r>
      <w:r>
        <w:rPr>
          <w:rFonts w:ascii="Times New Roman" w:hAnsi="Times New Roman"/>
          <w:sz w:val="24"/>
          <w:szCs w:val="24"/>
        </w:rPr>
        <w:t xml:space="preserve">ета</w:t>
      </w:r>
      <w:r>
        <w:rPr>
          <w:rFonts w:ascii="Times New Roman" w:hAnsi="Times New Roman"/>
          <w:sz w:val="24"/>
          <w:szCs w:val="24"/>
        </w:rPr>
        <w:t xml:space="preserve"> округа,</w:t>
      </w:r>
      <w:r>
        <w:rPr>
          <w:rFonts w:ascii="Times New Roman" w:hAnsi="Times New Roman"/>
          <w:sz w:val="24"/>
          <w:szCs w:val="24"/>
        </w:rPr>
        <w:t xml:space="preserve"> выполнение принятых расходных обязательств, повышение эффективности бюджетных расходов и не наращивания объема муниципального долга Печенгского муниципального округа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Программой предусматривается решение следующих задач: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5"/>
        </w:numPr>
        <w:ind w:left="0" w:righ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Style w:val="1102"/>
          <w:rFonts w:eastAsiaTheme="minorHAnsi"/>
          <w:color w:val="auto"/>
          <w:sz w:val="24"/>
          <w:szCs w:val="24"/>
        </w:rPr>
      </w:r>
      <w:r>
        <w:rPr>
          <w:rFonts w:ascii="Times New Roman" w:hAnsi="Times New Roman"/>
          <w:sz w:val="24"/>
          <w:szCs w:val="24"/>
        </w:rPr>
        <w:t xml:space="preserve">Поддержание размера муниципального долга округа в объеме, обеспечива</w:t>
      </w:r>
      <w:r>
        <w:rPr>
          <w:rFonts w:ascii="Times New Roman" w:hAnsi="Times New Roman"/>
          <w:sz w:val="24"/>
          <w:szCs w:val="24"/>
        </w:rPr>
        <w:t xml:space="preserve">ющем возможность гарантированного выполнения долговых обязательств в полном объеме и в установленные сроки.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5"/>
        </w:numPr>
        <w:ind w:left="0" w:righ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5"/>
        </w:numPr>
        <w:ind w:left="0" w:right="0" w:firstLine="709"/>
        <w:jc w:val="both"/>
        <w:spacing w:after="0" w:line="240" w:lineRule="auto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Пе</w:t>
      </w:r>
      <w:r>
        <w:rPr>
          <w:rFonts w:ascii="Times New Roman" w:hAnsi="Times New Roman"/>
          <w:sz w:val="24"/>
          <w:szCs w:val="24"/>
        </w:rPr>
        <w:t xml:space="preserve">ченгского муниципального округа, осуществление внутреннего финансового контроля.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Достижение цели Программы осуществляется путем решения задач в рамках соответствующих подпрограмм: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6"/>
        </w:numPr>
        <w:ind w:left="0" w:right="0" w:firstLine="709"/>
        <w:spacing w:after="0" w:line="240" w:lineRule="auto"/>
        <w:tabs>
          <w:tab w:val="left" w:pos="993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подпрограмма 1 «Управление муниципальным долгом»;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6"/>
        </w:numPr>
        <w:ind w:left="0" w:right="0"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  <w:suppressLineNumbers w:val="0"/>
      </w:pPr>
      <w:r>
        <w:rPr>
          <w:rFonts w:ascii="Times New Roman" w:hAnsi="Times New Roman"/>
          <w:sz w:val="24"/>
          <w:szCs w:val="24"/>
        </w:rPr>
        <w:t xml:space="preserve">подпрограмма 2 «Организация бюджетного процесса»;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6"/>
        </w:numPr>
        <w:ind w:left="0" w:right="0" w:firstLine="709"/>
        <w:keepNext/>
        <w:spacing w:after="0" w:line="240" w:lineRule="auto"/>
        <w:shd w:val="clear" w:color="auto" w:fill="ffffff"/>
        <w:widowControl w:val="off"/>
        <w:tabs>
          <w:tab w:val="left" w:pos="284" w:leader="none"/>
          <w:tab w:val="left" w:pos="993" w:leader="none"/>
        </w:tabs>
        <w:rPr>
          <w:rFonts w:ascii="Times New Roman" w:hAnsi="Times New Roman"/>
          <w:sz w:val="24"/>
          <w:szCs w:val="24"/>
        </w:rPr>
        <w:outlineLvl w:val="1"/>
        <w:suppressLineNumbers w:val="0"/>
      </w:pPr>
      <w:r>
        <w:rPr>
          <w:rFonts w:ascii="Times New Roman" w:hAnsi="Times New Roman"/>
          <w:sz w:val="24"/>
          <w:szCs w:val="24"/>
        </w:rPr>
        <w:t xml:space="preserve">подпрограмма 3 «Обеспечение бухгалтерского 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составлял </w:t>
      </w:r>
      <w:r>
        <w:rPr>
          <w:rFonts w:ascii="Times New Roman" w:hAnsi="Times New Roman" w:cs="Times New Roman"/>
          <w:sz w:val="24"/>
          <w:szCs w:val="24"/>
        </w:rPr>
        <w:t xml:space="preserve">67657,2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В течение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года объем финансирования был увеличен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68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338,2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ходе реализации Программы освоены средства в размере </w:t>
      </w:r>
      <w:r>
        <w:rPr>
          <w:rFonts w:ascii="Times New Roman" w:hAnsi="Times New Roman" w:cs="Times New Roman"/>
          <w:sz w:val="24"/>
          <w:szCs w:val="24"/>
        </w:rPr>
        <w:t xml:space="preserve">68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259,0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99,9 </w:t>
      </w:r>
      <w:r>
        <w:rPr>
          <w:rFonts w:ascii="Times New Roman" w:hAnsi="Times New Roman" w:cs="Times New Roman"/>
          <w:sz w:val="24"/>
          <w:szCs w:val="24"/>
        </w:rPr>
        <w:t xml:space="preserve">%. Размер неосвоенных средств составил </w:t>
      </w:r>
      <w:r>
        <w:rPr>
          <w:rFonts w:ascii="Times New Roman" w:hAnsi="Times New Roman" w:cs="Times New Roman"/>
          <w:sz w:val="24"/>
          <w:szCs w:val="24"/>
        </w:rPr>
        <w:t xml:space="preserve">79,2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           </w:t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1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«Управление муниципальным долгом».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Управление муниципальным долгом осуществляется в соответствии с Бюджетным кодексом Российской Федерации.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Расходы на обслуживание муниципального долга равномерно распределены по годам за счет реструктуризации привлеченных кредитов.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Муниципальный долг Печенгского муниципального округа на 01.01.202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5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года составил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43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160,0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тыс. рублей. В 202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4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году бюджетные кредиты были погашены в сумме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10790,0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 тыс. рублей, дополнительные кредиты от кредитных организаций на погашение дефицита бюджета округа не привлекались. Бюджет исполнен с профицитом.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284" w:leader="none"/>
          <w:tab w:val="left" w:pos="709" w:leader="none"/>
        </w:tabs>
        <w:rPr>
          <w:rFonts w:ascii="Times New Roman" w:hAnsi="Times New Roman"/>
          <w:bCs/>
          <w:color w:val="000000"/>
          <w:sz w:val="24"/>
          <w:szCs w:val="24"/>
        </w:rPr>
        <w:suppressLineNumbers w:val="0"/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          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Расходы на обслуживание муниципального долга предусматривались решением о бюджете в объеме, необходимом для п</w:t>
      </w:r>
      <w:r>
        <w:rPr>
          <w:rFonts w:ascii="Times New Roman" w:hAnsi="Times New Roman"/>
          <w:bCs/>
          <w:color w:val="000000"/>
          <w:sz w:val="24"/>
          <w:szCs w:val="24"/>
        </w:rPr>
        <w:t xml:space="preserve">олного и своевременного исполнения долговых обязательств по выплате процентных платежей по муниципальному долгу Печенгского муниципального округа. Просрочки по оплате процентных платежей и основного долга бюджетных кредитов муниципалитетом не допускались. </w:t>
      </w:r>
      <w:r>
        <w:rPr>
          <w:rFonts w:ascii="Times New Roman" w:hAnsi="Times New Roman"/>
          <w:bCs/>
          <w:color w:val="000000"/>
          <w:sz w:val="24"/>
          <w:szCs w:val="24"/>
        </w:rPr>
      </w:r>
      <w:r>
        <w:rPr>
          <w:rFonts w:ascii="Times New Roman" w:hAnsi="Times New Roman"/>
          <w:bCs/>
          <w:color w:val="000000"/>
          <w:sz w:val="24"/>
          <w:szCs w:val="24"/>
        </w:rPr>
      </w:r>
    </w:p>
    <w:p>
      <w:pPr>
        <w:ind w:right="0"/>
        <w:jc w:val="both"/>
        <w:spacing w:after="0" w:line="240" w:lineRule="auto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  <w:u w:val="single"/>
        </w:rPr>
        <w:t xml:space="preserve">Подпрограмма </w:t>
      </w:r>
      <w:r>
        <w:rPr>
          <w:rFonts w:ascii="Times New Roman" w:hAnsi="Times New Roman"/>
          <w:sz w:val="24"/>
          <w:szCs w:val="24"/>
          <w:u w:val="single"/>
        </w:rPr>
        <w:t xml:space="preserve">2</w:t>
      </w:r>
      <w:r>
        <w:rPr>
          <w:rFonts w:ascii="Times New Roman" w:hAnsi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/>
          <w:sz w:val="24"/>
          <w:szCs w:val="24"/>
          <w:u w:val="single"/>
        </w:rPr>
        <w:t xml:space="preserve"> «Организация бюджетного процесса».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Данная подпрограмма финансирования не предусматривает.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0"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С целью со</w:t>
      </w:r>
      <w:r>
        <w:rPr>
          <w:rFonts w:ascii="Times New Roman" w:hAnsi="Times New Roman"/>
          <w:sz w:val="24"/>
          <w:szCs w:val="24"/>
        </w:rPr>
        <w:t xml:space="preserve">здания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 были достигнуты следующие результаты: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7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  <w:suppressLineNumbers w:val="0"/>
      </w:pPr>
      <w:r>
        <w:rPr>
          <w:rFonts w:ascii="Times New Roman" w:hAnsi="Times New Roman"/>
          <w:sz w:val="24"/>
          <w:szCs w:val="24"/>
        </w:rPr>
        <w:t xml:space="preserve">в соответствии с проведенным Минфином Мурманской области мониторингом </w:t>
      </w:r>
      <w:r>
        <w:rPr>
          <w:rFonts w:ascii="Times New Roman" w:hAnsi="Times New Roman"/>
          <w:sz w:val="24"/>
          <w:szCs w:val="24"/>
        </w:rPr>
        <w:t xml:space="preserve">осуществления бюджетного процесса муниципальному округу присвоена надлежащая степень осущ</w:t>
      </w:r>
      <w:r>
        <w:rPr>
          <w:rFonts w:ascii="Times New Roman" w:hAnsi="Times New Roman"/>
          <w:sz w:val="24"/>
          <w:szCs w:val="24"/>
        </w:rPr>
        <w:t xml:space="preserve">ествления бюджетного процесса (</w:t>
      </w:r>
      <w:r>
        <w:rPr>
          <w:rFonts w:ascii="Times New Roman" w:hAnsi="Times New Roman"/>
          <w:sz w:val="24"/>
          <w:szCs w:val="24"/>
          <w:lang w:val="en-US"/>
        </w:rPr>
        <w:t xml:space="preserve">I</w:t>
      </w:r>
      <w:r>
        <w:rPr>
          <w:rFonts w:ascii="Times New Roman" w:hAnsi="Times New Roman"/>
          <w:sz w:val="24"/>
          <w:szCs w:val="24"/>
        </w:rPr>
        <w:t xml:space="preserve">);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7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соблюдение нормативов на содержание органов местного самоуправления, утвержденных </w:t>
      </w:r>
      <w:r>
        <w:rPr>
          <w:rFonts w:ascii="Times New Roman" w:hAnsi="Times New Roman"/>
          <w:sz w:val="24"/>
          <w:szCs w:val="24"/>
        </w:rPr>
        <w:t xml:space="preserve">п</w:t>
      </w:r>
      <w:r>
        <w:rPr>
          <w:rFonts w:ascii="Times New Roman" w:hAnsi="Times New Roman"/>
          <w:sz w:val="24"/>
          <w:szCs w:val="24"/>
        </w:rPr>
        <w:t xml:space="preserve">остановлением Правительства Мурманской области от 2</w:t>
      </w:r>
      <w:r>
        <w:rPr>
          <w:rFonts w:ascii="Times New Roman" w:hAnsi="Times New Roman"/>
          <w:sz w:val="24"/>
          <w:szCs w:val="24"/>
        </w:rPr>
        <w:t xml:space="preserve">8</w:t>
      </w:r>
      <w:r>
        <w:rPr>
          <w:rFonts w:ascii="Times New Roman" w:hAnsi="Times New Roman"/>
          <w:sz w:val="24"/>
          <w:szCs w:val="24"/>
        </w:rPr>
        <w:t xml:space="preserve">.12.202</w:t>
      </w:r>
      <w:r>
        <w:rPr>
          <w:rFonts w:ascii="Times New Roman" w:hAnsi="Times New Roman"/>
          <w:sz w:val="24"/>
          <w:szCs w:val="24"/>
        </w:rPr>
        <w:t xml:space="preserve">3</w:t>
      </w:r>
      <w:r>
        <w:rPr>
          <w:rFonts w:ascii="Times New Roman" w:hAnsi="Times New Roman"/>
          <w:sz w:val="24"/>
          <w:szCs w:val="24"/>
        </w:rPr>
        <w:t xml:space="preserve"> </w:t>
        <w:br/>
        <w:t xml:space="preserve">№ 10</w:t>
      </w:r>
      <w:r>
        <w:rPr>
          <w:rFonts w:ascii="Times New Roman" w:hAnsi="Times New Roman"/>
          <w:sz w:val="24"/>
          <w:szCs w:val="24"/>
        </w:rPr>
        <w:t xml:space="preserve">43</w:t>
      </w:r>
      <w:r>
        <w:rPr>
          <w:rFonts w:ascii="Times New Roman" w:hAnsi="Times New Roman"/>
          <w:sz w:val="24"/>
          <w:szCs w:val="24"/>
        </w:rPr>
        <w:t xml:space="preserve">-ПП;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7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проводилась работа на </w:t>
      </w:r>
      <w:r>
        <w:rPr>
          <w:rFonts w:ascii="Times New Roman" w:hAnsi="Times New Roman"/>
          <w:sz w:val="24"/>
          <w:szCs w:val="24"/>
        </w:rPr>
        <w:t xml:space="preserve">постоянной основе по наполнению сайта Печенгского муниципального округа актуальной информацией о бюджете округа, своевременно заполнялись формуляры в системе «Электронный бюджет», размещены две презентации по исполнению и составлению бюджета округа «Бюджет</w:t>
      </w:r>
      <w:r>
        <w:rPr>
          <w:rFonts w:ascii="Times New Roman" w:hAnsi="Times New Roman"/>
          <w:sz w:val="24"/>
          <w:szCs w:val="24"/>
        </w:rPr>
        <w:t xml:space="preserve"> для граждан», актуальные версии решений Совета депутатов Печенгского муниципального округа о бюджете округа, отчетность по исполнению бюджета округа, сведения о муниципальном долге;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7"/>
        </w:numPr>
        <w:ind w:left="0" w:right="0" w:firstLine="709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постоянной основе проводится совершенствование нормативной правовой базы, регулирующей отношения в сфере управления муниципальными финансами.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Реализация мероприятий подпрограммы позволяет своевременно и качественно готовить проект бюджета округа на трехлетний период. Организ</w:t>
      </w:r>
      <w:r>
        <w:rPr>
          <w:rFonts w:ascii="Times New Roman" w:hAnsi="Times New Roman"/>
          <w:sz w:val="24"/>
          <w:szCs w:val="24"/>
        </w:rPr>
        <w:t xml:space="preserve">ация исполнения бюджета округа и формирование бюджетной отчетности являются надежным обеспечением исполнения расходных обязательств бюджета, позволяют оценить степень их исполнения, повысить прозрачность бюджетной системы Печенгского муниципального округа.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u w:val="single"/>
        </w:rPr>
        <w:t xml:space="preserve">Подпрограмма 3</w:t>
      </w:r>
      <w:r>
        <w:rPr>
          <w:rFonts w:ascii="Times New Roman" w:hAnsi="Times New Roman"/>
          <w:sz w:val="24"/>
          <w:szCs w:val="24"/>
          <w:u w:val="single"/>
        </w:rPr>
        <w:t xml:space="preserve">. «Обеспечение бухгалтерского обслуживания».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муниципальном округе организации бухгалтерск</w:t>
      </w:r>
      <w:r>
        <w:rPr>
          <w:rFonts w:ascii="Times New Roman" w:hAnsi="Times New Roman"/>
          <w:sz w:val="24"/>
          <w:szCs w:val="24"/>
        </w:rPr>
        <w:t xml:space="preserve">ого, бюджетного и налогового учёта в муниципальных учреждениях и органах местного самоуправления Печенгского муниципального округа осуществляется двумя централизованными бухгалтериями: муниципальное казенное учреждение и муниципальное бюджетное учреждение.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 постоянной основе осуществляется контроль за своевременным и правильным оформлением первичных учетных документов и законностью совершаемых операций, </w:t>
      </w:r>
      <w:r>
        <w:rPr>
          <w:rFonts w:ascii="Times New Roman" w:hAnsi="Times New Roman"/>
          <w:sz w:val="24"/>
          <w:szCs w:val="24"/>
        </w:rPr>
        <w:t xml:space="preserve">за правильным расходованием целевых бюджетных и внебюджетных средств, за наличием и движением имущества, использованием товарно-материальных ценностей, трудовых и финансовых ресурсов. Бухгалтерская, бюджетная отчетность представляется без нарушения сроков.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 2024 году в централизованные бухгалтерии приобретены офисные кресла, произведена замена</w:t>
      </w:r>
      <w:r>
        <w:rPr>
          <w:rFonts w:ascii="Times New Roman" w:hAnsi="Times New Roman"/>
          <w:sz w:val="24"/>
          <w:szCs w:val="24"/>
        </w:rPr>
        <w:t xml:space="preserve"> металлической двери в МБУ «ЦБ», средства освоены в полном объеме.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709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567"/>
        <w:jc w:val="center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701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«Муниципальные финансы»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sz w:val="24"/>
          <w:szCs w:val="24"/>
        </w:rPr>
        <w:t xml:space="preserve"> 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241"/>
        <w:gridCol w:w="26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906"/>
        <w:gridCol w:w="1503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1. «Управление муниципальным долгом»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Поддержание размера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муниципального долга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округа в объеме, обеспечивающем возможность гарантированного выполнения долговых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 обязательств в полном объеме и в установленные сроки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Планирование, привлечение, обслуживание и погашение долговых обязательств Печенгского муниципального округа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Соблюдение нормативов, установленных бюджетным законодательством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муниципального долга муниципального образования к доходам бюджета округа без учета объема безвозмездных поступлений,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&lt;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= 27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муниципального долга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Отношение объема расходов на обслуживание муниципального долга к общему объему расходов, за исключением объема расходов, которые осуществляются за счет субвенций, предоставляемых из бюджетов бюджетной системы Российской Федерации,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&lt;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=0,002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0,002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Изучение конъюнктуры рынка кредитных (заемных) 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Отсутствие просроченной задолженности по погашению долговых обязательств муниципального округа,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8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23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Подпрограмма 2. «Организация бюджетного процесса»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Создание условий для эффективного и прозрачного управления финансовыми ресурсами в рамках выполнения установленных функций и полномочий, а также повышения эффективности бюджетных расходов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2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Обеспечение функций, возложенных на органы местного самоуправления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Управление бюджетным процессом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Степень качества осуществления бюджетного процесса, степень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I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проекта бюджета округа в соответствии с действующим законодательством с соблюдением всех норм и ограничений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Доля программных расходов бюджета округа в общем объеме,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Формирование расходов на содержание органов местного самоуправления в соответствии с нормативами на содержание, утверждаемыми постановлением Правительства Мурманской области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нормативов на содержание органов местного самоуправления, утвержденных постановлением Правительства Мурманской области,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Организация процесса планирования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мероприятий, направленных на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увеличение доходного потенциала бюджета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Прирост доходной части бюджета округа, без учета безвозмездных поступлений,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Своевременное составление проекта программного бюджета округа и отчета о его исполнении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Размер дефицита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&lt;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= 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3,06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Исполнение расходных обязательств от утвержденных параметров бюджета округа,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95,1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3. Обеспечение открытости и прозрачности бюджета округа и бюджетного процесса для граждан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Размещение и актуализация информации на портале «Электронный бюджет»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Результаты мониторинга информации, размещенной в ЕПБС финансовым органом,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Повышение доступности информации о бюджете округа, рост интереса граждан к процессу формирования и исполнения бюджета округа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обновлений (файлов) информации на сайте Печенгского муниципального округа,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ФИНУ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274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Подпрограмма 3. «Обеспечение бухгалтерского обслуживания»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Создание эффективной организации бухгалтерского, бюджетного и налогового учета в муниципальных учреждениях и органах местного самоуправления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, осуществление внутреннего финансового контроля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эффективной организации и ведения бухгалтерского, бюджетного и налогового учета и отчетности, документального и взаимосвязанного их отражения в бухгалтерских регистрах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Бухгалтерское обслуживание финансово-хозяйственной деятельности органов местного самоуправления и муниципальных учреждений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68118,8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68118,8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68039,6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68039,6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бухгалтерского обслуживания финансово-хозяйственной деятельности органов местного самоуправления и муниципальных учреждений,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установленных сроков формирования и предоставления бухгалтерской, налоговой и финансовой отчетности,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Соблюдение требований о составе бухгалтерской, налоговой и финансовой отчетности,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за соблюдением законодательства РФ в сфере финансовой деятельности, внутренних процедур составления и исполнения планов финансово-хозяйственной деятельности, смет, достоверности бухгалтерской отчетности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Осуществление внутреннего финансового контроля,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«ЦБ», МКУ «ЦБ», КРО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highlight w:val="yellow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68118,8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68118,8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68039,6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68039,6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Создание условий для эффективного функционирования учреждений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Модернизация и укрепление материально-технической базы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текущих ремонтов, оснащение централизованных бухгалтерий, %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0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; МКУ «ЦБ»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173,3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68292,1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68292,1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68212,9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68212,9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68 338,2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 68338,2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68259,0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68259,0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«Муниципальные финансы»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5.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t xml:space="preserve">Высокая оценка муниципальной программы.</w:t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both"/>
        <w:spacing w:after="0" w:line="240" w:lineRule="auto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12.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«Энергосбережение и повышение энергоэффективности»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4 - 2026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 Печенгского муниципального округа «Энергосбережение и повышение энергоэффективности» на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- 202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1635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редакции постановлений администрации Печенгского муниципа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льного округа от 09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  <w:br/>
        <w:t xml:space="preserve">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984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- о</w:t>
      </w:r>
      <w:r>
        <w:rPr>
          <w:rFonts w:ascii="Times New Roman" w:hAnsi="Times New Roman" w:cs="Times New Roman"/>
          <w:sz w:val="24"/>
          <w:szCs w:val="24"/>
        </w:rPr>
        <w:t xml:space="preserve">беспечение рационального и экономного использования энергетических ресурсов за счёт реализации энергосберегающих мероприятий.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Программа решает задачу по обеспечению устойчивого процесса повышения эффективности энергопотребления.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Первоначальный объем финансирования Программы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составлял </w:t>
      </w:r>
      <w:r>
        <w:rPr>
          <w:rFonts w:ascii="Times New Roman" w:hAnsi="Times New Roman" w:cs="Times New Roman"/>
          <w:sz w:val="24"/>
          <w:szCs w:val="24"/>
        </w:rPr>
        <w:t xml:space="preserve">750,0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года объем финансирования уменьшен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645,8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рублей. Израсходовано </w:t>
      </w:r>
      <w:r>
        <w:rPr>
          <w:rFonts w:ascii="Times New Roman" w:hAnsi="Times New Roman" w:cs="Times New Roman"/>
          <w:sz w:val="24"/>
          <w:szCs w:val="24"/>
        </w:rPr>
        <w:t xml:space="preserve">479,5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74,7</w:t>
      </w:r>
      <w:r>
        <w:rPr>
          <w:rFonts w:ascii="Times New Roman" w:hAnsi="Times New Roman" w:cs="Times New Roman"/>
          <w:sz w:val="24"/>
          <w:szCs w:val="24"/>
        </w:rPr>
        <w:t xml:space="preserve">%. Скорректирован показатель мероприятия «возмещение затрат гражданам, проживающим в муниципальных жилых помещениях, на установку индивидуальных приборов учёта энергетических ресурсов».</w:t>
      </w:r>
      <w:r>
        <w:rPr>
          <w:rFonts w:ascii="Times New Roman" w:hAnsi="Times New Roman" w:cs="Times New Roman"/>
          <w:sz w:val="24"/>
          <w:szCs w:val="24"/>
        </w:rPr>
        <w:t xml:space="preserve"> Расход составил 47,4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Выплаты носят заявительный характер.</w:t>
      </w:r>
      <w:r>
        <w:rPr>
          <w:rFonts w:ascii="Times New Roman" w:hAnsi="Times New Roman" w:cs="Times New Roman"/>
          <w:sz w:val="24"/>
          <w:szCs w:val="24"/>
        </w:rPr>
        <w:t xml:space="preserve"> На приобретение и установку вихревого индукционного нагревателя израсходовано 432,2 тыс. рублей, или 73,6% от плана, работы не завершены.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Руководствуясь Порядком установления лимитов потребления топливно-энергетических ресурсов, услуг водоснабжения и во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доотведения, электроэнергии органами местного самоуправления и муниципальными учреждениями, финансируемыми за счет средств бюджета Печенгского муниципального округа, утвержденным постановлением администрации Печенгского муниципального округа от 30.09.2021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№ 1041, в целях рационального потре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бления топливно-энергетических ресурсов, услуг водоснабжения и водоотведения, электроэнергии органами местного самоуправления и муниципальными учреждениями, финансируемыми за счет средств бюджета Печенгского муниципального округа, разработаны и утверждены </w:t>
      </w:r>
      <w:r>
        <w:rPr>
          <w:rFonts w:ascii="Times New Roman" w:hAnsi="Times New Roman" w:cs="Times New Roman"/>
          <w:sz w:val="24"/>
          <w:szCs w:val="24"/>
        </w:rPr>
        <w:t xml:space="preserve">распоряжением</w:t>
      </w:r>
      <w:r>
        <w:rPr>
          <w:rFonts w:ascii="Times New Roman" w:hAnsi="Times New Roman" w:cs="Times New Roman"/>
          <w:sz w:val="24"/>
          <w:szCs w:val="24"/>
        </w:rPr>
        <w:t xml:space="preserve"> администрации Печенгского муниципального округа от 13.10.2023 № 115 (далее – </w:t>
      </w:r>
      <w:r>
        <w:rPr>
          <w:rFonts w:ascii="Times New Roman" w:hAnsi="Times New Roman" w:cs="Times New Roman"/>
          <w:sz w:val="24"/>
          <w:szCs w:val="24"/>
        </w:rPr>
        <w:t xml:space="preserve">распоряжение</w:t>
      </w:r>
      <w:r>
        <w:rPr>
          <w:rFonts w:ascii="Times New Roman" w:hAnsi="Times New Roman" w:cs="Times New Roman"/>
          <w:sz w:val="24"/>
          <w:szCs w:val="24"/>
        </w:rPr>
        <w:t xml:space="preserve">)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лимиты потребления топливно-энергетических ресурсов, услуг водоснабжения и водоотведения, электроэнергии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(далее – лимиты потребления ТЭР)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на 2024 год в натуральном и стоимостном выражениях.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Лимиты потребления </w:t>
      </w:r>
      <w:r>
        <w:rPr>
          <w:rFonts w:ascii="Times New Roman" w:hAnsi="Times New Roman" w:cs="Times New Roman"/>
          <w:sz w:val="24"/>
          <w:szCs w:val="24"/>
        </w:rPr>
        <w:t xml:space="preserve">ТЭР</w:t>
      </w:r>
      <w:r>
        <w:rPr>
          <w:rFonts w:ascii="Times New Roman" w:hAnsi="Times New Roman" w:cs="Times New Roman"/>
          <w:sz w:val="24"/>
          <w:szCs w:val="24"/>
        </w:rPr>
        <w:t xml:space="preserve"> на 2024 год в натуральном и стоимостном выражениях были установлены для 53 учреждений согласно их территориальному расположению. Изменения в распоряжение вносились в течение год</w:t>
      </w:r>
      <w:r>
        <w:rPr>
          <w:rFonts w:ascii="Times New Roman" w:hAnsi="Times New Roman" w:cs="Times New Roman"/>
          <w:sz w:val="24"/>
          <w:szCs w:val="24"/>
        </w:rPr>
        <w:t xml:space="preserve">а в большую и меньшую стороны по мере введения у муниципальных учреждений новых объектов, приема-передачи или исключения объектов недвижимого имущества, установки нового энергоемкого оборудования, поверки или установки приборов учета, смены поставщика ТЭР.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Общий контроль за фактическим соблюдением лимитированных объемов ТЭР </w:t>
      </w:r>
      <w:r>
        <w:rPr>
          <w:rFonts w:ascii="Times New Roman" w:hAnsi="Times New Roman" w:cs="Times New Roman"/>
          <w:sz w:val="24"/>
          <w:szCs w:val="24"/>
        </w:rPr>
        <w:t xml:space="preserve">в 2024 году </w:t>
      </w:r>
      <w:r>
        <w:rPr>
          <w:rFonts w:ascii="Times New Roman" w:hAnsi="Times New Roman" w:cs="Times New Roman"/>
          <w:sz w:val="24"/>
          <w:szCs w:val="24"/>
        </w:rPr>
        <w:t xml:space="preserve">осуществля</w:t>
      </w:r>
      <w:r>
        <w:rPr>
          <w:rFonts w:ascii="Times New Roman" w:hAnsi="Times New Roman" w:cs="Times New Roman"/>
          <w:sz w:val="24"/>
          <w:szCs w:val="24"/>
        </w:rPr>
        <w:t xml:space="preserve">лся</w:t>
      </w:r>
      <w:r>
        <w:rPr>
          <w:rFonts w:ascii="Times New Roman" w:hAnsi="Times New Roman" w:cs="Times New Roman"/>
          <w:sz w:val="24"/>
          <w:szCs w:val="24"/>
        </w:rPr>
        <w:t xml:space="preserve"> ежеквартально путем проведения мониторинга по соблюдению установленных лимитов, на основании предоставленных муниципальными учреждениями отчётов о соблюдении утвержденных лимитов потребления ТЭР, согласованных с Учредителем.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2"/>
        <w:jc w:val="both"/>
        <w:spacing w:after="0" w:line="240" w:lineRule="auto"/>
        <w:tabs>
          <w:tab w:val="left" w:pos="709" w:leader="none"/>
          <w:tab w:val="left" w:pos="851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33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  <w:t xml:space="preserve">          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1033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1033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1033"/>
        <w:jc w:val="both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1033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«Энергосбережение и повышение энергоэффективности»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4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рационального и экономного использования энергетических ресурсов за счет реализации энергосберегающих мероприятий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Обеспечение устойчивого процесса повышения эффективности энергопотребления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Установление лимитов потребления энергоресурсов муниципальными учреждениями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Наличие утвержденных лимитов потребления энергоресурсов муниципальными учреждениями,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соблюдения установленных лимитов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соблюдению установленных лимитов муниципальными учреждениями,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ОЭР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Контроль и мониторинг за реализацией энергосберегающих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мониторинга по реализации энергосберегающих мероприятий,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 по обучению основам энергосбережения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разъяснительной работы, обучение основам энергосбережения сотрудников муниципальных учреждений,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Мониторинг наличия и функционирования приборов учета потребления энергоресурсов 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муниципальных учреждениях и сроков их поверки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Наличие и функционирование приборов учета потребления энергоресурсов в муниципальных учреждениях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и сроков их поверки,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Предоставление энергетических деклараций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Предоставление энергетических деклараций через модуль ГИС «Энергоэффективность»,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Муниципальные учреждения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Возмещение затрат гражданам, проживающим в муниципальных жилых помещениях, на установку индивидуальных приборов учёта энергетических ресурсов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58,9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жилых помещений, в которых установлены приборы учёта энергетических ресурсов,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22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Приобретение и установка вихревого индукционного нагревателя (ВИН)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586,9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586,9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432,2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432,2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73,6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73,6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приобретенных и установленных вихревых индукционных нагревателей (ВИН),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«Управление по ОДА»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96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основному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645,8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479,6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4,3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val="en-US"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  <w:r>
        <w:rPr>
          <w:rFonts w:ascii="Times New Roman" w:hAnsi="Times New Roman" w:eastAsia="Times New Roman" w:cs="Times New Roman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«Энергосбережение и повышение энергоэффективности»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Необходим более глубокий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анализ причин отклонений от плана.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Возможен пересмотр муниципальной программы в части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корректировки показателей (индикаторов) и/или выделении дополнительного финансирования.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pStyle w:val="1033"/>
        <w:jc w:val="both"/>
        <w:rPr>
          <w:rFonts w:ascii="Times New Roman" w:hAnsi="Times New Roman" w:eastAsia="Times New Roman" w:cs="Times New Roman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3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Печенгского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«Транспортная система»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 w:firstLine="709"/>
        <w:jc w:val="both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Муниципальная программа Печенгского муниципального округа «Транспортная система» на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- 202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6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 № 1634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14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.03.202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87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от 28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08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329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и от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09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.202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4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№ 1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983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).</w:t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color w:val="000000"/>
          <w:spacing w:val="1"/>
          <w:sz w:val="24"/>
          <w:szCs w:val="24"/>
        </w:rPr>
        <w:outlineLvl w:val="0"/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Цель Программы – 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требованиям.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  <w:r>
        <w:rPr>
          <w:rFonts w:ascii="Times New Roman" w:hAnsi="Times New Roman" w:cs="Times New Roman"/>
          <w:color w:val="000000"/>
          <w:spacing w:val="1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 xml:space="preserve">Для достижения поставленной цели необходимо выполнение задачи: п</w:t>
      </w:r>
      <w:r>
        <w:rPr>
          <w:rFonts w:ascii="Times New Roman" w:hAnsi="Times New Roman" w:cs="Times New Roman"/>
          <w:sz w:val="24"/>
          <w:szCs w:val="24"/>
        </w:rPr>
        <w:t xml:space="preserve">риведение в нормативное состояние сети автомобильных дорог общего пользования местного значения на территории Печенгского муниципального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t xml:space="preserve">273 267,2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года объем финансирования был уточнен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255 711,5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тыс. рублей, из них: </w:t>
      </w:r>
      <w:r>
        <w:rPr>
          <w:rFonts w:ascii="Times New Roman" w:hAnsi="Times New Roman" w:cs="Times New Roman"/>
          <w:sz w:val="24"/>
          <w:szCs w:val="24"/>
        </w:rPr>
        <w:t xml:space="preserve">164 723,4</w:t>
      </w:r>
      <w:r>
        <w:rPr>
          <w:rFonts w:ascii="Times New Roman" w:hAnsi="Times New Roman" w:cs="Times New Roman"/>
          <w:sz w:val="24"/>
          <w:szCs w:val="24"/>
        </w:rPr>
        <w:t xml:space="preserve"> тыс. рублей областной бюджет, </w:t>
      </w:r>
      <w:r>
        <w:rPr>
          <w:rFonts w:ascii="Times New Roman" w:hAnsi="Times New Roman" w:cs="Times New Roman"/>
          <w:sz w:val="24"/>
          <w:szCs w:val="24"/>
        </w:rPr>
        <w:t xml:space="preserve">90 988,1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бюджет округа.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Программы освоены ассигнования в размере </w:t>
      </w:r>
      <w:r>
        <w:rPr>
          <w:rFonts w:ascii="Times New Roman" w:hAnsi="Times New Roman" w:cs="Times New Roman"/>
          <w:sz w:val="24"/>
          <w:szCs w:val="24"/>
        </w:rPr>
        <w:t xml:space="preserve">250 046,2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что составляет 9</w:t>
      </w:r>
      <w:r>
        <w:rPr>
          <w:rFonts w:ascii="Times New Roman" w:hAnsi="Times New Roman" w:cs="Times New Roman"/>
          <w:sz w:val="24"/>
          <w:szCs w:val="24"/>
        </w:rPr>
        <w:t xml:space="preserve">7,8</w:t>
      </w:r>
      <w:r>
        <w:rPr>
          <w:rFonts w:ascii="Times New Roman" w:hAnsi="Times New Roman" w:cs="Times New Roman"/>
          <w:sz w:val="24"/>
          <w:szCs w:val="24"/>
        </w:rPr>
        <w:t xml:space="preserve">%. Не использованы средства в сумме </w:t>
      </w:r>
      <w:r>
        <w:rPr>
          <w:rFonts w:ascii="Times New Roman" w:hAnsi="Times New Roman" w:cs="Times New Roman"/>
          <w:sz w:val="24"/>
          <w:szCs w:val="24"/>
        </w:rPr>
        <w:t xml:space="preserve">5 665,3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 средства областного бюджета 3 828,5 тыс. рублей: 679,2 тыс. рублей ремонт дорог, экономия по результатам торгов; 3 149,3 тыс. рублей работы по диагностике паспортизации, разработки проектов </w:t>
      </w:r>
      <w:r>
        <w:rPr>
          <w:rFonts w:ascii="Times New Roman" w:hAnsi="Times New Roman" w:cs="Times New Roman"/>
          <w:sz w:val="24"/>
          <w:szCs w:val="24"/>
        </w:rPr>
        <w:t xml:space="preserve">организации дорожного движения перенесены на 2025 год; средства бюджета округа 1 836,8 тыс. рублей: 253,0 тыс. рублей содержание дорог; 1 361,3 тыс. рублей не использовано при выполнении дорожных работ (ямочный ремонт, разметка, установка дорожных знаков, </w:t>
      </w:r>
      <w:r>
        <w:rPr>
          <w:rFonts w:ascii="Times New Roman" w:hAnsi="Times New Roman" w:cs="Times New Roman"/>
          <w:sz w:val="24"/>
          <w:szCs w:val="24"/>
        </w:rPr>
        <w:t xml:space="preserve">регулирование высотного положения </w:t>
      </w:r>
      <w:r>
        <w:rPr>
          <w:rFonts w:ascii="Times New Roman" w:hAnsi="Times New Roman" w:cs="Times New Roman"/>
          <w:sz w:val="24"/>
          <w:szCs w:val="24"/>
        </w:rPr>
        <w:t xml:space="preserve">крышек колодцев); 56,7 тыс. рублей экономия (софинансирование) ремонт дорог; 165,8 тыс. рублей (софинансирование) не выполнялись работы по диагностике.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Выполнены работы по текущему ремонту: </w:t>
      </w:r>
      <w:r>
        <w:rPr>
          <w:rFonts w:ascii="Times New Roman" w:hAnsi="Times New Roman" w:cs="Times New Roman"/>
          <w:sz w:val="24"/>
          <w:szCs w:val="24"/>
        </w:rPr>
        <w:t xml:space="preserve">участок внутриквартальной </w:t>
      </w:r>
      <w:r>
        <w:rPr>
          <w:rFonts w:ascii="Times New Roman" w:hAnsi="Times New Roman" w:cs="Times New Roman"/>
          <w:sz w:val="24"/>
          <w:szCs w:val="24"/>
        </w:rPr>
        <w:t xml:space="preserve">дороги</w:t>
      </w:r>
      <w:r>
        <w:rPr>
          <w:rFonts w:ascii="Times New Roman" w:hAnsi="Times New Roman" w:cs="Times New Roman"/>
          <w:sz w:val="24"/>
          <w:szCs w:val="24"/>
        </w:rPr>
        <w:t xml:space="preserve"> ул. Ленина, дд.33 - 35, дд.25 - 29 в г. Заполярный; внутриквартальная дорога от дома № 8 до дома № 18 по ул. Бредова, в пгт. Никель; автотранспортная дорога к больничному городку, от Гвардейского проспекта до центральной районной больницы в пгт. Никель.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firstLine="709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«Транспортная система»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4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700"/>
        <w:gridCol w:w="2263"/>
        <w:gridCol w:w="1105"/>
        <w:gridCol w:w="10"/>
        <w:gridCol w:w="848"/>
        <w:gridCol w:w="1137"/>
        <w:gridCol w:w="1134"/>
        <w:gridCol w:w="993"/>
        <w:gridCol w:w="2831"/>
        <w:gridCol w:w="1139"/>
        <w:gridCol w:w="1047"/>
        <w:gridCol w:w="992"/>
        <w:gridCol w:w="1502"/>
      </w:tblGrid>
      <w:tr>
        <w:tblPrEx/>
        <w:trPr/>
        <w:tc>
          <w:tcPr>
            <w:shd w:val="clear" w:color="auto" w:fill="auto"/>
            <w:tcW w:w="700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411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600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 Обеспечение транспортной доступности населенных пунктов Печенгского муниципального округа, увеличение доли автомобильных дорог, соответствующих нормативным требованиям</w:t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lang w:eastAsia="ru-RU"/>
              </w:rPr>
            </w:r>
          </w:p>
        </w:tc>
      </w:tr>
      <w:tr>
        <w:tblPrEx/>
        <w:trPr/>
        <w:tc>
          <w:tcPr>
            <w:gridSpan w:val="13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Мероприятие 1. Приведение в нормативное состояние сети автомобильных дорог общего пользования местного значения на территории Печенгского муниципального округа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854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автомобильных дорог общего пользования местного значения, городских площадей и проездов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78755,3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78755,3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78502,3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78502,3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Эксплуатационное содержание автомобильных дорог в соответствии с требованиями стандартов, норм и правил,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557"/>
        </w:trPr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карточному (ямочному) ремонту автомобильных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5235,2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5235,2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4367,9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4367,9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83,4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проведенного ямочного ремонта на участках автодорог, на которых отсутствует необходимость замены дорожного покрытия,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2060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2742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«ДЭСП»; 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нанесению дорожной разметки на дорогах общего пользования местного значения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1116,4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1116,4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1080,5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1080,5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96,8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Протяженность дорожной разметки на дорогах общего пользования местного значения, км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19,7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обустройству автомобильных дорог дорожными знаками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47,9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247,9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207,8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207,8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83,8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Обеспечение дорожно-уличной системы Печенгского муниципального округа дорожными знаками,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«НДС»;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«РЭС»;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«ДЭСП»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ремонту дорог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40415,5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2823,9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43239,4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39736,3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2767,2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42503,5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98,0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Площадь отремонтированных автомобильных дорог общего пользования местного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значения, кв. м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7949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8183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работ по регулированию высотного положения крышек колодцев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657,5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657,5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239,5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239,5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36,4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36,4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крышек колодцев, на которых выполнено регулирование высотного положения,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Капитальный ремонт мостовых сооружений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121158,6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122382,4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121158,6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1223,8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122382,4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мостовых сооружений,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Диагностика и оценка транспортно-эксплуатационного состояния, паспортизация, разработка и актуализация проектов организации дорожного движения за счет средств дорожного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3149,3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165,8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3315,1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Проведение диагностики и оценки транспортно-эксплуатационного состояния, паспортизации, разработки и актуализации проектов организации дорожного движения, да/нет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нет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70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1.9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автобусных остановок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 762,3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762,3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762,3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2831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автобусных остановок,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04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0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МКУ «УБиР»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; 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13"/>
        </w:trPr>
        <w:tc>
          <w:tcPr>
            <w:gridSpan w:val="3"/>
            <w:shd w:val="clear" w:color="auto" w:fill="auto"/>
            <w:tcW w:w="406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5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164723,4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90988,1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255711,5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160894,9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89151,3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250046,2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4"/>
            <w:shd w:val="clear" w:color="auto" w:fill="auto"/>
            <w:tcW w:w="407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shd w:val="clear" w:color="auto" w:fill="auto"/>
            <w:tcW w:w="84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7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164723,4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90988,1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255711,5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160894,9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89151,3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250046,2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  <w:r>
        <w:rPr>
          <w:rFonts w:ascii="Times New Roman" w:hAnsi="Times New Roman" w:cs="Times New Roman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«Транспортная система» за 202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 w:cs="Times New Roman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Приемлемый уровень эффективности муниципальной программы. 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Необходим более глубокий анализ причин отклонений от плана. Возможен пересмотр муниципальной программы в части корректировки показателей (индикаторов) и/или выделении дополнительного финансирования.</w:t>
      </w:r>
      <w:r>
        <w:rPr>
          <w:rFonts w:ascii="Times New Roman" w:hAnsi="Times New Roman" w:eastAsia="Times New Roman" w:cs="Times New Roman"/>
        </w:rPr>
      </w:r>
      <w:r>
        <w:rPr>
          <w:rFonts w:ascii="Times New Roman" w:hAnsi="Times New Roman" w:eastAsia="Times New Roman" w:cs="Times New Roman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firstLine="567"/>
        <w:jc w:val="both"/>
        <w:spacing w:after="0" w:line="274" w:lineRule="exact"/>
        <w:shd w:val="clear" w:color="auto" w:fill="ffffff"/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color w:val="000000"/>
          <w:spacing w:val="1"/>
          <w:sz w:val="24"/>
          <w:szCs w:val="24"/>
          <w:lang w:eastAsia="ru-RU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1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. Муниципальная программа Печенского муниципального округа 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32"/>
        <w:jc w:val="center"/>
        <w:spacing w:after="0" w:line="240" w:lineRule="auto"/>
        <w:shd w:val="clear" w:color="auto" w:fill="ffffff"/>
        <w:widowControl w:val="off"/>
        <w:tabs>
          <w:tab w:val="left" w:pos="993" w:leader="none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«Муниципальное имущество и земельные ресурсы» на 202</w:t>
      </w:r>
      <w:r>
        <w:rPr>
          <w:rFonts w:ascii="Times New Roman" w:hAnsi="Times New Roman" w:cs="Times New Roman"/>
          <w:b/>
          <w:sz w:val="24"/>
          <w:szCs w:val="24"/>
        </w:rPr>
        <w:t xml:space="preserve">4</w:t>
      </w:r>
      <w:r>
        <w:rPr>
          <w:rFonts w:ascii="Times New Roman" w:hAnsi="Times New Roman" w:cs="Times New Roman"/>
          <w:b/>
          <w:sz w:val="24"/>
          <w:szCs w:val="24"/>
        </w:rPr>
        <w:t xml:space="preserve"> - 202</w:t>
      </w:r>
      <w:r>
        <w:rPr>
          <w:rFonts w:ascii="Times New Roman" w:hAnsi="Times New Roman" w:cs="Times New Roman"/>
          <w:b/>
          <w:sz w:val="24"/>
          <w:szCs w:val="24"/>
        </w:rPr>
        <w:t xml:space="preserve">6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годы</w:t>
      </w:r>
      <w:r>
        <w:rPr>
          <w:rFonts w:ascii="Times New Roman" w:hAnsi="Times New Roman" w:cs="Times New Roman"/>
          <w:b/>
          <w:sz w:val="24"/>
          <w:szCs w:val="24"/>
        </w:rPr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ind w:right="-2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tabs>
          <w:tab w:val="left" w:pos="709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Муниципальная программа Печенгского муниципального округа «Муниципальное имущество и земельные ресурсы» на 202</w:t>
      </w:r>
      <w:r>
        <w:rPr>
          <w:rFonts w:ascii="Times New Roman" w:hAnsi="Times New Roman" w:cs="Times New Roman"/>
          <w:sz w:val="24"/>
          <w:szCs w:val="24"/>
        </w:rPr>
        <w:t xml:space="preserve">4 </w:t>
      </w:r>
      <w:r>
        <w:rPr>
          <w:rFonts w:ascii="Times New Roman" w:hAnsi="Times New Roman" w:cs="Times New Roman"/>
          <w:sz w:val="24"/>
          <w:szCs w:val="24"/>
        </w:rPr>
        <w:t xml:space="preserve">- 202</w:t>
      </w:r>
      <w:r>
        <w:rPr>
          <w:rFonts w:ascii="Times New Roman" w:hAnsi="Times New Roman" w:cs="Times New Roman"/>
          <w:sz w:val="24"/>
          <w:szCs w:val="24"/>
        </w:rPr>
        <w:t xml:space="preserve">6</w:t>
      </w:r>
      <w:r>
        <w:rPr>
          <w:rFonts w:ascii="Times New Roman" w:hAnsi="Times New Roman" w:cs="Times New Roman"/>
          <w:sz w:val="24"/>
          <w:szCs w:val="24"/>
        </w:rPr>
        <w:t xml:space="preserve"> годы (далее – Программа) утверждена постановлением администрации Печенгского муниципального округа от 03.11.202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636</w:t>
      </w:r>
      <w:r>
        <w:rPr>
          <w:rFonts w:ascii="Times New Roman" w:hAnsi="Times New Roman" w:cs="Times New Roman"/>
          <w:sz w:val="24"/>
          <w:szCs w:val="24"/>
        </w:rPr>
        <w:t xml:space="preserve"> (в редакции постановлений администрации Печенгского муниципального округа от </w:t>
      </w:r>
      <w:r>
        <w:rPr>
          <w:rFonts w:ascii="Times New Roman" w:hAnsi="Times New Roman" w:cs="Times New Roman"/>
          <w:sz w:val="24"/>
          <w:szCs w:val="24"/>
        </w:rPr>
        <w:t xml:space="preserve">14</w:t>
      </w:r>
      <w:r>
        <w:rPr>
          <w:rFonts w:ascii="Times New Roman" w:hAnsi="Times New Roman" w:cs="Times New Roman"/>
          <w:sz w:val="24"/>
          <w:szCs w:val="24"/>
        </w:rPr>
        <w:t xml:space="preserve">.03.202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3</w:t>
      </w:r>
      <w:r>
        <w:rPr>
          <w:rFonts w:ascii="Times New Roman" w:hAnsi="Times New Roman" w:cs="Times New Roman"/>
          <w:sz w:val="24"/>
          <w:szCs w:val="24"/>
        </w:rPr>
        <w:t xml:space="preserve">88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от 05</w:t>
      </w:r>
      <w:r>
        <w:rPr>
          <w:rFonts w:ascii="Times New Roman" w:hAnsi="Times New Roman" w:cs="Times New Roman"/>
          <w:sz w:val="24"/>
          <w:szCs w:val="24"/>
        </w:rPr>
        <w:t xml:space="preserve">.0</w:t>
      </w:r>
      <w:r>
        <w:rPr>
          <w:rFonts w:ascii="Times New Roman" w:hAnsi="Times New Roman" w:cs="Times New Roman"/>
          <w:sz w:val="24"/>
          <w:szCs w:val="24"/>
        </w:rPr>
        <w:t xml:space="preserve">8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</w:t>
      </w:r>
      <w:r>
        <w:rPr>
          <w:rFonts w:ascii="Times New Roman" w:hAnsi="Times New Roman" w:cs="Times New Roman"/>
          <w:sz w:val="24"/>
          <w:szCs w:val="24"/>
        </w:rPr>
        <w:t xml:space="preserve">1235, от 28</w:t>
      </w:r>
      <w:r>
        <w:rPr>
          <w:rFonts w:ascii="Times New Roman" w:hAnsi="Times New Roman" w:cs="Times New Roman"/>
          <w:sz w:val="24"/>
          <w:szCs w:val="24"/>
        </w:rPr>
        <w:t xml:space="preserve">.08.202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334</w:t>
      </w:r>
      <w:r>
        <w:rPr>
          <w:rFonts w:ascii="Times New Roman" w:hAnsi="Times New Roman" w:cs="Times New Roman"/>
          <w:sz w:val="24"/>
          <w:szCs w:val="24"/>
        </w:rPr>
        <w:t xml:space="preserve">, от 1</w:t>
      </w:r>
      <w:r>
        <w:rPr>
          <w:rFonts w:ascii="Times New Roman" w:hAnsi="Times New Roman" w:cs="Times New Roman"/>
          <w:sz w:val="24"/>
          <w:szCs w:val="24"/>
        </w:rPr>
        <w:t xml:space="preserve">7.09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№ 1</w:t>
      </w:r>
      <w:r>
        <w:rPr>
          <w:rFonts w:ascii="Times New Roman" w:hAnsi="Times New Roman" w:cs="Times New Roman"/>
          <w:sz w:val="24"/>
          <w:szCs w:val="24"/>
        </w:rPr>
        <w:t xml:space="preserve">434 и от 09</w:t>
      </w:r>
      <w:r>
        <w:rPr>
          <w:rFonts w:ascii="Times New Roman" w:hAnsi="Times New Roman" w:cs="Times New Roman"/>
          <w:sz w:val="24"/>
          <w:szCs w:val="24"/>
        </w:rPr>
        <w:t xml:space="preserve">.1</w:t>
      </w:r>
      <w:r>
        <w:rPr>
          <w:rFonts w:ascii="Times New Roman" w:hAnsi="Times New Roman" w:cs="Times New Roman"/>
          <w:sz w:val="24"/>
          <w:szCs w:val="24"/>
        </w:rPr>
        <w:t xml:space="preserve">2</w:t>
      </w:r>
      <w:r>
        <w:rPr>
          <w:rFonts w:ascii="Times New Roman" w:hAnsi="Times New Roman" w:cs="Times New Roman"/>
          <w:sz w:val="24"/>
          <w:szCs w:val="24"/>
        </w:rPr>
        <w:t xml:space="preserve">.202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</w:t>
        <w:br/>
        <w:t xml:space="preserve">№ 1</w:t>
      </w:r>
      <w:r>
        <w:rPr>
          <w:rFonts w:ascii="Times New Roman" w:hAnsi="Times New Roman" w:cs="Times New Roman"/>
          <w:sz w:val="24"/>
          <w:szCs w:val="24"/>
        </w:rPr>
        <w:t xml:space="preserve">985</w:t>
      </w:r>
      <w:r>
        <w:rPr>
          <w:rFonts w:ascii="Times New Roman" w:hAnsi="Times New Roman" w:cs="Times New Roman"/>
          <w:sz w:val="24"/>
          <w:szCs w:val="24"/>
        </w:rPr>
        <w:t xml:space="preserve">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Цель Программы – обеспечение эффективного управления муниципальным имуществом и земельными ресурсами в Печенгском муниципальном округе.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  <w:outlineLvl w:val="0"/>
      </w:pPr>
      <w:r>
        <w:rPr>
          <w:rFonts w:ascii="Times New Roman" w:hAnsi="Times New Roman"/>
          <w:sz w:val="24"/>
          <w:szCs w:val="24"/>
        </w:rPr>
        <w:t xml:space="preserve">Достижение цели предполагается за счет решения следующих задач: 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8"/>
        </w:numPr>
        <w:ind w:left="0" w:righ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 w:eastAsia="Times New Roman"/>
          <w:color w:val="000000"/>
          <w:spacing w:val="1"/>
          <w:sz w:val="24"/>
          <w:szCs w:val="24"/>
          <w:lang w:eastAsia="ru-RU"/>
        </w:rPr>
        <w:t xml:space="preserve">развитие и повышение эффективности управления муниципальным имуществом в Печенгском муниципальном округе;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pStyle w:val="1033"/>
        <w:numPr>
          <w:ilvl w:val="0"/>
          <w:numId w:val="88"/>
        </w:numPr>
        <w:ind w:left="0" w:righ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развитие и повышение эффективности управления земельными ресурсами в Печенгском муниципальном округе;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pStyle w:val="1033"/>
        <w:numPr>
          <w:ilvl w:val="0"/>
          <w:numId w:val="88"/>
        </w:numPr>
        <w:ind w:left="0" w:right="0" w:firstLine="709"/>
        <w:jc w:val="both"/>
        <w:spacing w:after="0" w:line="240" w:lineRule="auto"/>
        <w:tabs>
          <w:tab w:val="left" w:pos="709" w:leader="none"/>
          <w:tab w:val="left" w:pos="993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обеспечение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Первоначальный объем финансирования подпрограммы на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 составлял </w:t>
      </w:r>
      <w:r>
        <w:rPr>
          <w:rFonts w:ascii="Times New Roman" w:hAnsi="Times New Roman" w:cs="Times New Roman"/>
          <w:sz w:val="24"/>
          <w:szCs w:val="24"/>
        </w:rPr>
        <w:t xml:space="preserve">90 216,5</w:t>
      </w:r>
      <w:r>
        <w:rPr>
          <w:rFonts w:ascii="Times New Roman" w:hAnsi="Times New Roman" w:cs="Times New Roman"/>
          <w:sz w:val="24"/>
          <w:szCs w:val="24"/>
        </w:rPr>
        <w:t xml:space="preserve"> тыс. рублей. В течение года объем финансирования был увеличен и составил </w:t>
      </w:r>
      <w:r>
        <w:rPr>
          <w:rFonts w:ascii="Times New Roman" w:hAnsi="Times New Roman" w:cs="Times New Roman"/>
          <w:sz w:val="24"/>
          <w:szCs w:val="24"/>
        </w:rPr>
        <w:t xml:space="preserve">199 017,6 тыс. рублей, в том числе: средства федерального бюджета 5 285,5 тыс. рублей, средства областного бюджета 7 698,2 тыс. рублей, бюджет округа 99 568,0 тыс. рублей, внебюджетные источники 86 465,9 тыс. рублей.</w:t>
      </w:r>
      <w:r>
        <w:rPr>
          <w:rFonts w:ascii="Times New Roman" w:hAnsi="Times New Roman" w:cs="Times New Roman"/>
          <w:sz w:val="24"/>
          <w:szCs w:val="24"/>
        </w:rPr>
        <w:t xml:space="preserve"> Исполнено </w:t>
      </w:r>
      <w:r>
        <w:rPr>
          <w:rFonts w:ascii="Times New Roman" w:hAnsi="Times New Roman" w:cs="Times New Roman"/>
          <w:sz w:val="24"/>
          <w:szCs w:val="24"/>
        </w:rPr>
        <w:t xml:space="preserve">106 868,2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или </w:t>
      </w:r>
      <w:r>
        <w:rPr>
          <w:rFonts w:ascii="Times New Roman" w:hAnsi="Times New Roman" w:cs="Times New Roman"/>
          <w:sz w:val="24"/>
          <w:szCs w:val="24"/>
        </w:rPr>
        <w:t xml:space="preserve">53,7</w:t>
      </w:r>
      <w:r>
        <w:rPr>
          <w:rFonts w:ascii="Times New Roman" w:hAnsi="Times New Roman" w:cs="Times New Roman"/>
          <w:sz w:val="24"/>
          <w:szCs w:val="24"/>
        </w:rPr>
        <w:t xml:space="preserve">%. Не освоено </w:t>
      </w:r>
      <w:r>
        <w:rPr>
          <w:rFonts w:ascii="Times New Roman" w:hAnsi="Times New Roman" w:cs="Times New Roman"/>
          <w:sz w:val="24"/>
          <w:szCs w:val="24"/>
        </w:rPr>
        <w:t xml:space="preserve">92 149,4</w:t>
      </w:r>
      <w:r>
        <w:rPr>
          <w:rFonts w:ascii="Times New Roman" w:hAnsi="Times New Roman" w:cs="Times New Roman"/>
          <w:sz w:val="24"/>
          <w:szCs w:val="24"/>
        </w:rPr>
        <w:t xml:space="preserve"> тыс</w:t>
      </w:r>
      <w:r>
        <w:rPr>
          <w:rFonts w:ascii="Times New Roman" w:hAnsi="Times New Roman" w:cs="Times New Roman"/>
          <w:sz w:val="24"/>
          <w:szCs w:val="24"/>
        </w:rPr>
        <w:t xml:space="preserve">. рублей, из них средства бюджета округа 7 916,3 тыс. рублей, внебюджетные средства 84 233,1 тыс. рублей</w:t>
      </w:r>
      <w:r>
        <w:rPr>
          <w:rFonts w:ascii="Times New Roman" w:hAnsi="Times New Roman" w:cs="Times New Roman"/>
          <w:sz w:val="24"/>
          <w:szCs w:val="24"/>
        </w:rPr>
        <w:t xml:space="preserve">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1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«Управление муниципальным имуществом».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муниципальным имуществом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подпрограммы 1 – содержание и управление муниципальным имуществом, составляющим муниципальную казну.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1 ассигнования исполнены в размере </w:t>
      </w:r>
      <w:r>
        <w:rPr>
          <w:rFonts w:ascii="Times New Roman" w:hAnsi="Times New Roman" w:cs="Times New Roman"/>
          <w:sz w:val="24"/>
          <w:szCs w:val="24"/>
        </w:rPr>
        <w:t xml:space="preserve">85 716,1</w:t>
      </w:r>
      <w:r>
        <w:rPr>
          <w:rFonts w:ascii="Times New Roman" w:hAnsi="Times New Roman" w:cs="Times New Roman"/>
          <w:sz w:val="24"/>
          <w:szCs w:val="24"/>
        </w:rPr>
        <w:t xml:space="preserve"> тыс. рублей (9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,</w:t>
      </w:r>
      <w:r>
        <w:rPr>
          <w:rFonts w:ascii="Times New Roman" w:hAnsi="Times New Roman" w:cs="Times New Roman"/>
          <w:sz w:val="24"/>
          <w:szCs w:val="24"/>
        </w:rPr>
        <w:t xml:space="preserve">1</w:t>
      </w:r>
      <w:r>
        <w:rPr>
          <w:rFonts w:ascii="Times New Roman" w:hAnsi="Times New Roman" w:cs="Times New Roman"/>
          <w:sz w:val="24"/>
          <w:szCs w:val="24"/>
        </w:rPr>
        <w:t xml:space="preserve">%). Не освоены средства в сумме 5</w:t>
      </w:r>
      <w:r>
        <w:rPr>
          <w:rFonts w:ascii="Times New Roman" w:hAnsi="Times New Roman" w:cs="Times New Roman"/>
          <w:sz w:val="24"/>
          <w:szCs w:val="24"/>
        </w:rPr>
        <w:t xml:space="preserve"> 382,5</w:t>
      </w:r>
      <w:r>
        <w:rPr>
          <w:rFonts w:ascii="Times New Roman" w:hAnsi="Times New Roman" w:cs="Times New Roman"/>
          <w:sz w:val="24"/>
          <w:szCs w:val="24"/>
        </w:rPr>
        <w:t xml:space="preserve"> тыс. рублей, из них: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8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593,0</w:t>
      </w:r>
      <w:r>
        <w:rPr>
          <w:rFonts w:ascii="Times New Roman" w:hAnsi="Times New Roman" w:cs="Times New Roman"/>
          <w:sz w:val="24"/>
          <w:szCs w:val="24"/>
        </w:rPr>
        <w:t xml:space="preserve"> тыс. рублей: на ремонт нежилых помещений, устранения аварийных с</w:t>
      </w:r>
      <w:r>
        <w:rPr>
          <w:rFonts w:ascii="Times New Roman" w:hAnsi="Times New Roman" w:cs="Times New Roman"/>
          <w:sz w:val="24"/>
          <w:szCs w:val="24"/>
        </w:rPr>
        <w:t xml:space="preserve">итуаций, обследование помещений;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8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682,5</w:t>
      </w:r>
      <w:r>
        <w:rPr>
          <w:rFonts w:ascii="Times New Roman" w:hAnsi="Times New Roman" w:cs="Times New Roman"/>
          <w:sz w:val="24"/>
          <w:szCs w:val="24"/>
        </w:rPr>
        <w:t xml:space="preserve"> тыс. рублей: оплата коммунальных услуг, текущего ремонта имущества (оплата по фактически выставленным счетам);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8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6,0</w:t>
      </w:r>
      <w:r>
        <w:rPr>
          <w:rFonts w:ascii="Times New Roman" w:hAnsi="Times New Roman" w:cs="Times New Roman"/>
          <w:sz w:val="24"/>
          <w:szCs w:val="24"/>
        </w:rPr>
        <w:t xml:space="preserve"> тыс. рублей: изготовление техдокументации (не выполнены работы по договорам), проведение оценки рыночной стоимости движимого и недвижимого имущества (экономия);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8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50,0 тыс. рублей: обслуживание кровель нежилых отдельно стоящих зданий, оплата не потребовалась, в связи с отсутствием аварийных ситуаций;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8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32,3</w:t>
      </w:r>
      <w:r>
        <w:rPr>
          <w:rFonts w:ascii="Times New Roman" w:hAnsi="Times New Roman" w:cs="Times New Roman"/>
          <w:sz w:val="24"/>
          <w:szCs w:val="24"/>
        </w:rPr>
        <w:t xml:space="preserve"> тыс. рублей: содержание животных, находящихс</w:t>
      </w:r>
      <w:r>
        <w:rPr>
          <w:rFonts w:ascii="Times New Roman" w:hAnsi="Times New Roman" w:cs="Times New Roman"/>
          <w:sz w:val="24"/>
          <w:szCs w:val="24"/>
        </w:rPr>
        <w:t xml:space="preserve">я в муниципальной собственности;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numPr>
          <w:ilvl w:val="0"/>
          <w:numId w:val="89"/>
        </w:numPr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18,2 тыс. рублей: оплата за услуги нотариуса проводилась по мере готовности документов.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2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«Управление земельными ресурсами».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развитие и повышение эффективности управления земельными ресурсами в Печенгском муниципальном округе.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Основное мероприятие – повышение эффективности управления земельными ресурсами.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left="0"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2 средства освоены в объеме </w:t>
      </w:r>
      <w:r>
        <w:rPr>
          <w:rFonts w:ascii="Times New Roman" w:hAnsi="Times New Roman" w:cs="Times New Roman"/>
          <w:sz w:val="24"/>
          <w:szCs w:val="24"/>
        </w:rPr>
        <w:t xml:space="preserve">467,3 тыс. рублей (74</w:t>
      </w:r>
      <w:r>
        <w:rPr>
          <w:rFonts w:ascii="Times New Roman" w:hAnsi="Times New Roman" w:cs="Times New Roman"/>
          <w:sz w:val="24"/>
          <w:szCs w:val="24"/>
        </w:rPr>
        <w:t xml:space="preserve">,5%). 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 заключены 1</w:t>
      </w:r>
      <w:r>
        <w:rPr>
          <w:rFonts w:ascii="Times New Roman" w:hAnsi="Times New Roman" w:cs="Times New Roman"/>
          <w:sz w:val="24"/>
          <w:szCs w:val="24"/>
        </w:rPr>
        <w:t xml:space="preserve">3</w:t>
      </w:r>
      <w:r>
        <w:rPr>
          <w:rFonts w:ascii="Times New Roman" w:hAnsi="Times New Roman" w:cs="Times New Roman"/>
          <w:sz w:val="24"/>
          <w:szCs w:val="24"/>
        </w:rPr>
        <w:t xml:space="preserve"> договоров, </w:t>
      </w:r>
      <w:r>
        <w:rPr>
          <w:rFonts w:ascii="Times New Roman" w:hAnsi="Times New Roman" w:cs="Times New Roman"/>
          <w:sz w:val="24"/>
          <w:szCs w:val="24"/>
        </w:rPr>
        <w:t xml:space="preserve">в связи с тем, что работы не выполнены по трем договорам оплата не производилась, не освоено 160,0</w:t>
      </w:r>
      <w:r>
        <w:rPr>
          <w:rFonts w:ascii="Times New Roman" w:hAnsi="Times New Roman" w:cs="Times New Roman"/>
          <w:sz w:val="24"/>
          <w:szCs w:val="24"/>
        </w:rPr>
        <w:t xml:space="preserve"> тыс. рублей.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  <w:u w:val="single"/>
        </w:rPr>
        <w:t xml:space="preserve">Подпрограмма 3</w:t>
      </w:r>
      <w:bookmarkStart w:id="1" w:name="_GoBack"/>
      <w:r>
        <w:rPr>
          <w:rFonts w:ascii="Times New Roman" w:hAnsi="Times New Roman" w:cs="Times New Roman"/>
          <w:sz w:val="24"/>
          <w:szCs w:val="24"/>
          <w:u w:val="single"/>
        </w:rPr>
        <w:t xml:space="preserve">.</w:t>
      </w:r>
      <w:r>
        <w:rPr>
          <w:rFonts w:ascii="Times New Roman" w:hAnsi="Times New Roman" w:cs="Times New Roman"/>
          <w:sz w:val="24"/>
          <w:szCs w:val="24"/>
          <w:u w:val="single"/>
        </w:rPr>
        <w:t xml:space="preserve"> «Создание безопасных и комфортных условий проживания граждан».</w:t>
      </w:r>
      <w:bookmarkEnd w:id="1"/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Цель подпрограммы – обеспечение безопасным и благоустроенным жильем граждан, нуждающихся в улучшении жилищных условий.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  <w:t xml:space="preserve">В ходе реализации Подпрограммы 3 средства освоены </w:t>
      </w:r>
      <w:r>
        <w:rPr>
          <w:rFonts w:ascii="Times New Roman" w:hAnsi="Times New Roman" w:cs="Times New Roman"/>
          <w:sz w:val="24"/>
          <w:szCs w:val="24"/>
        </w:rPr>
        <w:t xml:space="preserve">в объеме 20 684,8 тыс. рублей (19,3%). Не освоены</w:t>
      </w:r>
      <w:r>
        <w:rPr>
          <w:rFonts w:ascii="Times New Roman" w:hAnsi="Times New Roman" w:cs="Times New Roman"/>
          <w:sz w:val="24"/>
          <w:szCs w:val="24"/>
        </w:rPr>
        <w:t xml:space="preserve">:</w:t>
      </w:r>
      <w:r>
        <w:rPr>
          <w:rFonts w:ascii="Times New Roman" w:hAnsi="Times New Roman" w:cs="Times New Roman"/>
          <w:sz w:val="24"/>
          <w:szCs w:val="24"/>
        </w:rPr>
        <w:t xml:space="preserve"> средства бюджета округа в размере 2 373,8 тыс. рублей на ремонт пустующих жилых помещений муниципального жилищного фонда; внебюджетные средства 84 233,1 тыс. рублей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–</w:t>
      </w:r>
      <w:r>
        <w:rPr>
          <w:rFonts w:ascii="Times New Roman" w:hAnsi="Times New Roman" w:cs="Times New Roman"/>
          <w:sz w:val="24"/>
          <w:szCs w:val="24"/>
        </w:rPr>
        <w:t xml:space="preserve"> завершение </w:t>
      </w:r>
      <w:r>
        <w:rPr>
          <w:rFonts w:ascii="Times New Roman" w:hAnsi="Times New Roman" w:cs="Times New Roman"/>
          <w:sz w:val="24"/>
          <w:szCs w:val="24"/>
        </w:rPr>
        <w:t xml:space="preserve">строительства МКД в районе дома 4 по ул. Ленинградская, в г. Заполярный (2025 год).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0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  <w:suppressLineNumbers w:val="0"/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1089"/>
        <w:ind w:right="-5" w:firstLine="709"/>
        <w:jc w:val="both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1906" w:h="16838" w:orient="portrait"/>
          <w:pgMar w:top="1134" w:right="850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bCs/>
          <w:sz w:val="24"/>
          <w:szCs w:val="24"/>
        </w:rPr>
      </w:pPr>
      <w:r>
        <w:rPr>
          <w:rFonts w:ascii="Times New Roman" w:hAnsi="Times New Roman" w:eastAsia="Calibri" w:cs="Times New Roman"/>
          <w:bCs/>
          <w:sz w:val="24"/>
          <w:szCs w:val="24"/>
        </w:rPr>
        <w:t xml:space="preserve">Выполнение мероприятий и объёмы финансирования за 202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4</w:t>
      </w:r>
      <w:r>
        <w:rPr>
          <w:rFonts w:ascii="Times New Roman" w:hAnsi="Times New Roman" w:eastAsia="Calibri" w:cs="Times New Roman"/>
          <w:bCs/>
          <w:sz w:val="24"/>
          <w:szCs w:val="24"/>
        </w:rPr>
        <w:t xml:space="preserve"> год</w:t>
      </w:r>
      <w:r>
        <w:rPr>
          <w:rFonts w:ascii="Times New Roman" w:hAnsi="Times New Roman" w:eastAsia="Calibri" w:cs="Times New Roman"/>
          <w:bCs/>
          <w:sz w:val="24"/>
          <w:szCs w:val="24"/>
        </w:rPr>
      </w:r>
      <w:r>
        <w:rPr>
          <w:rFonts w:ascii="Times New Roman" w:hAnsi="Times New Roman" w:eastAsia="Calibri" w:cs="Times New Roman"/>
          <w:bCs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4"/>
          <w:szCs w:val="24"/>
        </w:rPr>
      </w:pPr>
      <w:r>
        <w:rPr>
          <w:rFonts w:ascii="Times New Roman" w:hAnsi="Times New Roman" w:eastAsia="Calibri" w:cs="Times New Roman"/>
          <w:sz w:val="24"/>
          <w:szCs w:val="24"/>
        </w:rPr>
        <w:t xml:space="preserve">муниципальной программы Печенгского муниципального округа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  <w:r>
        <w:rPr>
          <w:rFonts w:ascii="Times New Roman" w:hAnsi="Times New Roman" w:eastAsia="Times New Roman" w:cs="Times New Roman"/>
          <w:bCs/>
          <w:sz w:val="24"/>
          <w:szCs w:val="24"/>
          <w:lang w:eastAsia="ru-RU"/>
        </w:rPr>
        <w:t xml:space="preserve">«Муниципальное имущество и земельные ресурсы» </w:t>
      </w:r>
      <w:r>
        <w:rPr>
          <w:rFonts w:ascii="Times New Roman" w:hAnsi="Times New Roman" w:eastAsia="Calibri" w:cs="Times New Roman"/>
          <w:sz w:val="24"/>
          <w:szCs w:val="24"/>
        </w:rPr>
        <w:t xml:space="preserve">на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4 </w:t>
      </w:r>
      <w:r>
        <w:rPr>
          <w:rFonts w:ascii="Times New Roman" w:hAnsi="Times New Roman" w:eastAsia="Calibri" w:cs="Times New Roman"/>
          <w:sz w:val="24"/>
          <w:szCs w:val="24"/>
        </w:rPr>
        <w:t xml:space="preserve">- 202</w:t>
      </w:r>
      <w:r>
        <w:rPr>
          <w:rFonts w:ascii="Times New Roman" w:hAnsi="Times New Roman" w:eastAsia="Calibri" w:cs="Times New Roman"/>
          <w:sz w:val="24"/>
          <w:szCs w:val="24"/>
        </w:rPr>
        <w:t xml:space="preserve">6</w:t>
      </w:r>
      <w:r>
        <w:rPr>
          <w:rFonts w:ascii="Times New Roman" w:hAnsi="Times New Roman" w:eastAsia="Calibri" w:cs="Times New Roman"/>
          <w:sz w:val="24"/>
          <w:szCs w:val="24"/>
        </w:rPr>
        <w:t xml:space="preserve"> годы</w:t>
      </w:r>
      <w:r>
        <w:rPr>
          <w:rFonts w:ascii="Times New Roman" w:hAnsi="Times New Roman" w:eastAsia="Calibri" w:cs="Times New Roman"/>
          <w:sz w:val="24"/>
          <w:szCs w:val="24"/>
        </w:rPr>
      </w:r>
      <w:r>
        <w:rPr>
          <w:rFonts w:ascii="Times New Roman" w:hAnsi="Times New Roman" w:eastAsia="Calibri" w:cs="Times New Roman"/>
          <w:sz w:val="24"/>
          <w:szCs w:val="24"/>
        </w:rPr>
      </w:r>
    </w:p>
    <w:p>
      <w:pPr>
        <w:ind w:firstLine="540"/>
        <w:jc w:val="center"/>
        <w:spacing w:after="0" w:line="240" w:lineRule="auto"/>
        <w:widowControl w:val="off"/>
        <w:rPr>
          <w:rFonts w:ascii="Times New Roman" w:hAnsi="Times New Roman" w:eastAsia="Calibri" w:cs="Times New Roman"/>
          <w:sz w:val="26"/>
          <w:szCs w:val="26"/>
        </w:rPr>
      </w:pP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  <w:r>
        <w:rPr>
          <w:rFonts w:ascii="Times New Roman" w:hAnsi="Times New Roman" w:eastAsia="Calibri" w:cs="Times New Roman"/>
          <w:sz w:val="26"/>
          <w:szCs w:val="26"/>
        </w:rPr>
      </w:r>
    </w:p>
    <w:tbl>
      <w:tblPr>
        <w:tblW w:w="15701" w:type="dxa"/>
        <w:tblInd w:w="-28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676"/>
        <w:gridCol w:w="27"/>
        <w:gridCol w:w="2241"/>
        <w:gridCol w:w="26"/>
        <w:gridCol w:w="1105"/>
        <w:gridCol w:w="10"/>
        <w:gridCol w:w="699"/>
        <w:gridCol w:w="141"/>
        <w:gridCol w:w="1134"/>
        <w:gridCol w:w="1134"/>
        <w:gridCol w:w="993"/>
        <w:gridCol w:w="3263"/>
        <w:gridCol w:w="992"/>
        <w:gridCol w:w="851"/>
        <w:gridCol w:w="850"/>
        <w:gridCol w:w="1559"/>
      </w:tblGrid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vMerge w:val="restart"/>
            <w:textDirection w:val="lrTb"/>
            <w:noWrap w:val="false"/>
          </w:tcPr>
          <w:p>
            <w:pPr>
              <w:ind w:right="-38"/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№ п/п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Подпрограммы, цели, задачи,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мероприятия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Срок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41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Объемы и источники финансирования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(тыс. руб.)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4"/>
            <w:shd w:val="clear" w:color="auto" w:fill="auto"/>
            <w:tcW w:w="595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Показатели результативности выполнения программных мероприятий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Соисполнители,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участники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Источник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Запланировано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 отчетный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год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Кассовое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исполнение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освоения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средств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Наименование,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ед. измерения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Запланированное значение на конец отчетного года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Фактическое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значение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Степень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достижения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widowControl w:val="off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(%)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69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1. «Управление муниципальным имуществом» 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Цель.  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Развитие и повышение эффективности управления муниципальным имуществом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Содержание и управление муниципальным имуществом, составляющим муниципальную казну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113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имущества, составляющего муниципальную казну, в том числе: ремонт нежилых помещений при возникновении (устранении) аварийных ситуаций; вскрытии; ограничении доступа в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8406,9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8406,9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7813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7813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  <w:t xml:space="preserve">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92,9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имущества в надлежащем состоянии, %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tcW w:w="992" w:type="dxa"/>
            <w:textDirection w:val="lrTb"/>
            <w:noWrap w:val="false"/>
          </w:tcPr>
          <w:p>
            <w:pPr>
              <w:jc w:val="center"/>
              <w:spacing w:after="0" w:line="274" w:lineRule="exact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3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коммунальных услуг, в том числе: содержание и текущий ремонт имущества, составляющего муниципальную казну (требование п. 2 ст. 539 ГК РФ, ст. 158 ЖК РФ)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56190,6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56190,6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51508,1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51508,1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91,7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коммунальных услуг, в том числе: содержания и текущего ремонта имущества, составляющего муниципальную казну,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 КУИ; администрация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16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 ежемесячных взносов по капитальному ремонту муниципального жилого и нежилого фонда в части муниципальной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11410,5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16429,5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5019,0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11410,0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16429,0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Своевременная оплата ежемесячных взносов по капитальному ремонту муниципального жилого и нежилого фонда в части муниципальной собственности, да/нет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да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1.1.4.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Изготовление технической документации (планов, паспортов и кадастровых паспортов) на жилые и нежилые помещения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1539,6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1539,6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1539,6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1539,6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полученной технической документации на жилые и нежилые помещения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1.1.5.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оценки рыночной стоимости движимого и недвижимого имущества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273,0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273,0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267,0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267,0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97,8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объектов, в отношении которых проведена оценка рыночной стоимости муниципального имущества,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1.1.6.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Проведение дератизации, дезинсекции, дезинфекции подвальных помещений в отдельно стоящих нежилых зданиях, находящихся в муниципальной казне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подвальных помещений в отдельно стоящих нежилых зданиях, находящихся в муниципальной казне, в отношении которых проведены услуги по дератизации, дезинсекции и дезинфекции,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1.1.7.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Поверка счетчиков в отдельно стоящих нежилых зданиях, находящихся в муниципальной казне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90,6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90,6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метрологические услуги по поверке приборов учета,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1.1.8.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Обслуживание кровель нежилых отдельно стоящих зданий, находящихся в муниципальной казне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отдельно стоящих нежилых зданий, находящихся в муниципальной казне, в которых проведены работы по обслуживанию кровель, ед.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1.1.9.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Содержание животных, находящихся в муниципальной собственности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7966,3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7966,3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7934,0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7934,0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животных без владельцев, принятых в муниципальную собственность, голов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92,3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1220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10.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2294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Оплата нотариальных услуг по оформлению выморочного имущества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144,9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126,7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126,7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87,4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87,4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Количество полученных свидетельств о праве на наследство по закону, шт.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Администрация (юридический отдел)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427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5019,0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86079,6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91098,6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5019,0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80697,1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85716,1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94,1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976"/>
        </w:trPr>
        <w:tc>
          <w:tcPr>
            <w:gridSpan w:val="5"/>
            <w:shd w:val="clear" w:color="auto" w:fill="auto"/>
            <w:tcW w:w="407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85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5019,0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86079,6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91098,6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5019,0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80697,1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85716,1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94,1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  <w:t xml:space="preserve">Подпрограмма 2. «Управление земельными ресурсами»</w:t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4"/>
                <w:szCs w:val="24"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Цель</w:t>
            </w:r>
            <w:r>
              <w:rPr>
                <w:rFonts w:ascii="Times New Roman" w:hAnsi="Times New Roman" w:eastAsia="Times New Roman" w:cs="Times New Roman"/>
                <w:lang w:eastAsia="ru-RU"/>
              </w:rPr>
              <w:t xml:space="preserve">. Развитие и повышение эффективности управления земельными ресурсами в Печенгском муниципальном округе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>
          <w:trHeight w:val="70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ероприятие 1. Повышение эффективности управления земельными ресурсами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Выполнение землеустроительных и кадастровых работ по формированию и постановке на государственный кадастровый учет земельных участков под объектами муниципальной собственности (казна)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627,3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467,3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полученной технической документации в отношении земельных участков под объектами муниципальной собственности, с целью постановки на государственный кадастровый учет,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627,3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467,3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74,5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4"/>
        </w:trPr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  <w:t xml:space="preserve">Подпрограмма 3. «Создание безопасных и комфортных условий проживания граждан»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4"/>
                <w:szCs w:val="24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Цель.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lang w:eastAsia="ru-RU"/>
              </w:rPr>
              <w:t xml:space="preserve">Обеспечение безопасным и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1. Переселение граждан из многоквартирных домов, признанных в установленном порядке аварийными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2"/>
            <w:shd w:val="clear" w:color="auto" w:fill="auto"/>
            <w:tcW w:w="70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3.1.1.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7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Организация переселения граждан из аварийных многоквартирных домов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11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граждан, переселенных из аварийных многоквартирных домов, чел.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1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ероприятие 2. Обеспечение благоустроенным жильем граждан, нуждающихся в улучшении жилищных условий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Ремонт пустующих жилых помещений муниципального жилищного фонда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-202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12860,3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12860,3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10486,5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10486,5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отремонтированных пустующих жилых помещений муниципального жилищного фонда,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17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    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семей, улучшивших жилищные условия, ед.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14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93,3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3.2.2.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Обследование жилых помещений и многоквартирных жилых домов на предмет непригодности для проживания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обследованных жилых помещений и многоквартирных жилых домов на предмет непригодности для проживания,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Не менее 1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3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ОС и ЖКХ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>
          <w:trHeight w:val="621"/>
        </w:trPr>
        <w:tc>
          <w:tcPr>
            <w:shd w:val="clear" w:color="auto" w:fill="auto"/>
            <w:tcW w:w="6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3.2.3.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Завершение строительства МКД в г. Заполярный по </w:t>
              <w:br/>
              <w:t xml:space="preserve">ул. Ленинградская, в районе дома 4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2024-2025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86465,9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86465,9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2232,8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2,6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объектов, завершенных строительством,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-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КУИ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основному 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мероприятию 2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12860,3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86465,9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99326,2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10486,5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12719,3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16"/>
            <w:shd w:val="clear" w:color="auto" w:fill="auto"/>
            <w:tcW w:w="15701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  <w:t xml:space="preserve">Основное мероприятие 3. Снос жилых домов и объектов незавершенного строительства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3.3.1.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Разработка проектов организации демонтажа 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и демонтаж (снос) многоквартирных домов, выведенных из состава жилого фонда и непригодных для проживания, в рамках плана социального развития центров экономического роста субъектов Российской Федерации Арктической зоны Российской Федерации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  <w:t xml:space="preserve">2024-2026</w:t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5285,5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2679,2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7965,5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5285,5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222679,2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7965,5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restart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разработанных проектов организации демонтажа 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многоквартирных домов, выведенных из состава жилого фонда и непригодных для проживания,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МБУ «РЭС»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shd w:val="clear" w:color="auto" w:fill="auto"/>
            <w:tcW w:w="67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2268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3"/>
            <w:shd w:val="clear" w:color="auto" w:fill="auto"/>
            <w:tcW w:w="114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vMerge w:val="continue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3263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Количество демонтированных (снесенных) многоквартирных домов, шт.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2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2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85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  <w:t xml:space="preserve">100</w:t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val="en-US" w:eastAsia="ru-RU"/>
              </w:rPr>
            </w:r>
          </w:p>
        </w:tc>
        <w:tc>
          <w:tcPr>
            <w:shd w:val="clear" w:color="auto" w:fill="auto"/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Итого по основному мероприятию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5285,5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2679,2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7965,5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5285,5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2679,2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7965,5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/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подпрограмме 3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5285,5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2679,2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12861,1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86465,9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107291,7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5285,0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2679,2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10487,3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2232,8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20684,8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81,5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2,6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19,3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  <w:tr>
        <w:tblPrEx/>
        <w:trPr>
          <w:trHeight w:val="484"/>
        </w:trPr>
        <w:tc>
          <w:tcPr>
            <w:gridSpan w:val="6"/>
            <w:shd w:val="clear" w:color="auto" w:fill="auto"/>
            <w:tcW w:w="408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lang w:eastAsia="ru-RU"/>
              </w:rPr>
              <w:t xml:space="preserve">Всего по Программе</w:t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lang w:eastAsia="ru-RU"/>
              </w:rPr>
            </w:r>
          </w:p>
        </w:tc>
        <w:tc>
          <w:tcPr>
            <w:gridSpan w:val="2"/>
            <w:shd w:val="clear" w:color="auto" w:fill="auto"/>
            <w:tcW w:w="84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ФБ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ОБ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МБ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ВБС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  <w:p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  <w:t xml:space="preserve">Итого:</w:t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5285,5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7698,2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99568,0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86465,9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199017,6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1134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5285,5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7698,2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91651,7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2232,8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106868,2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shd w:val="clear" w:color="auto" w:fill="auto"/>
            <w:tcW w:w="993" w:type="dxa"/>
            <w:textDirection w:val="lrTb"/>
            <w:noWrap w:val="false"/>
          </w:tcPr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100,0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92,0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2,6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  <w:p>
            <w:pPr>
              <w:jc w:val="right"/>
              <w:spacing w:after="0" w:line="240" w:lineRule="auto"/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  <w:t xml:space="preserve">53,7</w:t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  <w:lang w:eastAsia="ru-RU"/>
              </w:rPr>
            </w:r>
          </w:p>
        </w:tc>
        <w:tc>
          <w:tcPr>
            <w:gridSpan w:val="5"/>
            <w:shd w:val="clear" w:color="auto" w:fill="auto"/>
            <w:tcW w:w="751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pP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  <w:r>
              <w:rPr>
                <w:rFonts w:ascii="Times New Roman" w:hAnsi="Times New Roman" w:eastAsia="Times New Roman" w:cs="Times New Roman"/>
                <w:b/>
                <w:color w:val="000000"/>
                <w:spacing w:val="1"/>
                <w:lang w:eastAsia="ru-RU"/>
              </w:rPr>
            </w:r>
          </w:p>
        </w:tc>
      </w:tr>
    </w:tbl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эффективности муниципальной программы Печенгского муниципального округа «Муниципальное имущес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тво и земельные ресурсы» за 2024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 год: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spacing w:after="0" w:line="240" w:lineRule="auto"/>
        <w:widowControl w:val="off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Оценка – 4.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cs="Times New Roman"/>
          <w:sz w:val="24"/>
          <w:szCs w:val="24"/>
        </w:rPr>
        <w:sectPr>
          <w:footnotePr/>
          <w:endnotePr/>
          <w:type w:val="nextPage"/>
          <w:pgSz w:w="16838" w:h="11906" w:orient="landscape"/>
          <w:pgMar w:top="1134" w:right="1134" w:bottom="850" w:left="1134" w:header="709" w:footer="709" w:gutter="0"/>
          <w:cols w:num="1" w:sep="0" w:space="708" w:equalWidth="1"/>
          <w:docGrid w:linePitch="360"/>
        </w:sectPr>
      </w:pP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 w:cs="Times New Roman"/>
          <w:sz w:val="24"/>
          <w:szCs w:val="24"/>
          <w:lang w:eastAsia="ru-RU"/>
        </w:rPr>
        <w:t xml:space="preserve">риемлемый уровень эффективности муниципальной программы. Необходим более глубокий анализ причин отклонений от плана.  Возможен пересмотр муниципальной программы в части корректировки показателей (индикаторов) и/иди выделении дополнительного финансирования.</w:t>
      </w:r>
      <w:r>
        <w:rPr>
          <w:rFonts w:ascii="Times New Roman" w:hAnsi="Times New Roman" w:cs="Times New Roman"/>
          <w:sz w:val="24"/>
          <w:szCs w:val="24"/>
        </w:rPr>
        <w:br w:type="page" w:clear="all"/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left="5670"/>
        <w:jc w:val="right"/>
        <w:spacing w:after="0" w:line="240" w:lineRule="auto"/>
        <w:tabs>
          <w:tab w:val="left" w:pos="6096" w:leader="none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  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right"/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к сводному отчету</w:t>
      </w:r>
      <w:r>
        <w:rPr>
          <w:rFonts w:ascii="Times New Roman" w:hAnsi="Times New Roman" w:cs="Times New Roman"/>
          <w:bCs/>
          <w:sz w:val="24"/>
          <w:szCs w:val="24"/>
        </w:rPr>
      </w:r>
      <w:r>
        <w:rPr>
          <w:rFonts w:ascii="Times New Roman" w:hAnsi="Times New Roman" w:cs="Times New Roman"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ОТЧЕТ</w:t>
      </w:r>
      <w:r>
        <w:rPr>
          <w:rFonts w:ascii="Times New Roman" w:hAnsi="Times New Roman" w:cs="Times New Roman"/>
          <w:b/>
          <w:bCs/>
          <w:sz w:val="24"/>
          <w:szCs w:val="24"/>
        </w:rPr>
      </w:r>
      <w:r>
        <w:rPr>
          <w:rFonts w:ascii="Times New Roman" w:hAnsi="Times New Roman" w:cs="Times New Roman"/>
          <w:b/>
          <w:bCs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об использовании средств, предусмотренных на реализацию муниципальных программ Печенгского муниципального округа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202</w:t>
      </w:r>
      <w:r>
        <w:rPr>
          <w:rFonts w:ascii="Times New Roman" w:hAnsi="Times New Roman" w:cs="Times New Roman"/>
          <w:sz w:val="24"/>
          <w:szCs w:val="24"/>
        </w:rPr>
        <w:t xml:space="preserve">4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rFonts w:ascii="Times New Roman" w:hAnsi="Times New Roman" w:cs="Times New Roman"/>
          <w:sz w:val="24"/>
          <w:szCs w:val="24"/>
        </w:rPr>
        <w:t xml:space="preserve">(тыс. руб.)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W w:w="9924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1560"/>
        <w:gridCol w:w="3686"/>
        <w:gridCol w:w="1417"/>
        <w:gridCol w:w="1276"/>
        <w:gridCol w:w="1134"/>
        <w:gridCol w:w="851"/>
      </w:tblGrid>
      <w:tr>
        <w:tblPrEx/>
        <w:trPr>
          <w:trHeight w:val="350"/>
          <w:tblHeader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№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п/п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Наименование программ/подпрограмм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Объем финансирования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года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Исполнено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за 202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год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Не освоено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% исполнения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«Образование»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1 976 024,1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1 928 913,9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47 110,2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97,6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дошкольного образования»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798 484,7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794 326,1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4 158,6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6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общего и дополнительного образования детей»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1 090 506,2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1 047 565,0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42 941,2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96,1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«Детский отдых»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12 302,9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12 302,9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4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потенциала участников образовательного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7 506,9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7 506,9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9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«Реализация основополагающего права каждого ребенка жить и воспитываться в семье»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69,5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«Хозяйственно-эксплуатационное обслуживание муниципальных  учреждений муниципального образования»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67 153,9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67 143,5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10,4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71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Муниципальная программа Печенского муниципального округа «Социальная стабильность» на 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91 423,9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88 428,1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2 995,8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96,7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9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«Социальная поддержка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91 423,9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88 428,1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2 995,8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96,7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16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жильем молодых семей»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65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«Культура»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598 233,3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435 649,1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162 584,2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72,8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17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учреждений культуры»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461 330,7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299 031,1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162 299,6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64,8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системы дополнительного образования в сфере культуры и искусства»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117 449,2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117 339,8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109,4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культуры»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19 453,4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19 278,2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175,2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99,1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«Обеспечение общественного порядка и безопасности населения»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30 506,2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28 769,1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1 737,1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94,3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9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безопасности дорожного движения и снижение дорожно-транспортного травматизма»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33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«Профилактика правонарушений»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3 199,8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3 191,1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97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защиты населения и территорий от чрезвычайных ситуаций»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24 470,8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22 742,4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1 728,4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92,9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«Противодействие терроризму и профилактика экстремизма»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2 835,6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2 835,6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23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5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«Экономический потенциал»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1 071,6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1 063,4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«Повышение инвестиционной привлекательности Печенгского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1 071,6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1 063,4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«Взаимодействие с СО НКО»»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«Комфортная среда проживания»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476 342,7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410 674,7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65 668,0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86,2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4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«Охрана окружающей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41 414,2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1 285,8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40 128,4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3,1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425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Ж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илищно-коммунально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е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хозяйств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о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165 867,3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165 030,8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836,5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68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Развитие сферы ритуальных услуг и мест захоронения»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2 331,1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2 129,9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201,2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91,4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«Комплексное благоустройство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и содержание 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городской среды»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199 387,6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186 459,1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12 928,5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93,5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отлова животных без владельцев»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2 776,7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1 934,2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842,5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69,7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«Формирование современной городской среды»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64 565,8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53 834,9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  <w:t xml:space="preserve">10 730,9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83,4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«Муниципальное управление и гражданское общество»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300 080,4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298 655,3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1 425,1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условий для обеспечения муниципального управления»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277 232,8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275 870,6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1 362,2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611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«Развитие информационной и технологической инфраструктуры системы муниципального управления в Печенгском муниципальном округе»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12 267,4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12 225,0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42,4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99,7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8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«Деятельность и развитие муниципальных средств массовой информации Печенгского муниципального округа»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10 580,2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10 559,7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20,5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99,8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8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«Молодежная политика»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31 853,1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30 883,9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969,2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97,0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9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«Укрепление общественного здоровья в Печенгском муниципальном округе» на 2023 - 2024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23 600,0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23 600,0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10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«Физическая культура и спорт»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126 598,6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125 915,5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683,1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54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11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«Муниципальные финансы»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68 338,2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68 259,0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79,2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99,9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429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долгом»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46,1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46,1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100,0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07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«Организация бюджетного процесса»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453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«Обеспечение бухгалтерского обслуживания»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68 292,1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68 212,9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79,2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99,9</w:t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sz w:val="20"/>
                <w:szCs w:val="20"/>
              </w:rPr>
            </w:r>
          </w:p>
        </w:tc>
      </w:tr>
      <w:tr>
        <w:tblPrEx/>
        <w:trPr>
          <w:trHeight w:val="720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12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«Энергосбережение и повышение энергоэффективности»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4 - 2026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645,8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479,6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166,2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74,3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3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«Транспортная система»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255 711,5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250 046,2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5 665,3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97,8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14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Муниципальная программа Печенгского муниципального округа «Муниципальное имущество и земельные ресурсы» на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4 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- 202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 годы, всего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199 017,6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106 686,2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92 149,4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53,7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r>
          </w:p>
        </w:tc>
      </w:tr>
      <w:tr>
        <w:tblPrEx/>
        <w:trPr>
          <w:trHeight w:val="369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муниципальным имуществом»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91 098,6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85 716,1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5 382,5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94,1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2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«Управление земельными ресурсами»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627,3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467,3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160,0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74,5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304"/>
        </w:trPr>
        <w:tc>
          <w:tcPr>
            <w:shd w:val="clear" w:color="000000" w:fill="ffffff"/>
            <w:tcBorders>
              <w:top w:val="none" w:color="000000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подпрограмма 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both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«Создание безопасных и комфортных условия проживания граждан»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107 291,7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20 684,8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86 606,9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none" w:color="000000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19,3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</w:tr>
      <w:tr>
        <w:tblPrEx/>
        <w:trPr>
          <w:trHeight w:val="166"/>
        </w:trPr>
        <w:tc>
          <w:tcPr>
            <w:shd w:val="clear" w:color="000000" w:fill="ffffff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6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368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tabs>
                <w:tab w:val="left" w:pos="993" w:leader="none"/>
              </w:tabs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ИТОГО</w:t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  <w:t xml:space="preserve">:</w:t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  <w:r>
              <w:rPr>
                <w:rFonts w:ascii="Times New Roman" w:hAnsi="Times New Roman" w:cs="Times New Roman"/>
                <w:b/>
                <w:spacing w:val="1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417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4 179 447,0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276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3 798 206,0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1134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  <w:t xml:space="preserve">381 241,0</w:t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color w:val="000000"/>
                <w:sz w:val="20"/>
                <w:szCs w:val="20"/>
              </w:rPr>
            </w:r>
          </w:p>
        </w:tc>
        <w:tc>
          <w:tcPr>
            <w:shd w:val="clear" w:color="000000" w:fill="ffffff"/>
            <w:tcBorders>
              <w:top w:val="single" w:color="auto" w:sz="4" w:space="0"/>
              <w:left w:val="none" w:color="000000" w:sz="4" w:space="0"/>
              <w:bottom w:val="single" w:color="auto" w:sz="4" w:space="0"/>
              <w:right w:val="single" w:color="auto" w:sz="4" w:space="0"/>
            </w:tcBorders>
            <w:tcW w:w="85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  <w:p>
            <w:pPr>
              <w:jc w:val="center"/>
              <w:spacing w:after="0" w:line="240" w:lineRule="auto"/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  <w:t xml:space="preserve">90,9</w:t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  <w:r>
              <w:rPr>
                <w:rFonts w:ascii="Times New Roman CYR" w:hAnsi="Times New Roman CYR" w:cs="Times New Roman CYR"/>
                <w:b/>
                <w:bCs/>
                <w:sz w:val="20"/>
                <w:szCs w:val="20"/>
              </w:rPr>
            </w:r>
          </w:p>
        </w:tc>
      </w:tr>
    </w:tbl>
    <w:p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p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</w:r>
      <w:r>
        <w:rPr>
          <w:rFonts w:ascii="Times New Roman" w:hAnsi="Times New Roman" w:cs="Times New Roman"/>
          <w:sz w:val="20"/>
          <w:szCs w:val="20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SimSun">
    <w:panose1 w:val="02010600030101010101"/>
  </w:font>
  <w:font w:name="Cambria">
    <w:panose1 w:val="02040503050406030204"/>
  </w:font>
  <w:font w:name="Times New Roman CYR">
    <w:panose1 w:val="02020603050405020304"/>
  </w:font>
  <w:font w:name="Garamond">
    <w:panose1 w:val="02020404030301010803"/>
  </w:font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Mangal">
    <w:panose1 w:val="020405030504060302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42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765" w:hanging="360"/>
      </w:pPr>
      <w:rPr>
        <w:rFonts w:hint="default" w:ascii="Times New Roman" w:hAnsi="Times New Roman" w:eastAsia="SimSu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8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20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92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4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6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8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80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525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27" w:hanging="360"/>
      </w:pPr>
      <w:rPr>
        <w:rFonts w:hint="default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2517" w:hanging="945"/>
      </w:pPr>
      <w:rPr>
        <w:rFonts w:ascii="Times New Roman" w:hAnsi="Times New Roman" w:cs="Times New Roman" w:eastAsiaTheme="minorHAnsi"/>
      </w:rPr>
    </w:lvl>
    <w:lvl w:ilvl="1">
      <w:start w:val="1"/>
      <w:numFmt w:val="lowerLetter"/>
      <w:isLgl w:val="false"/>
      <w:suff w:val="tab"/>
      <w:lvlText w:val="%2."/>
      <w:lvlJc w:val="left"/>
      <w:pPr>
        <w:ind w:left="265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37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09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81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53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25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97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692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 w:cs="Wingdings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729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13" w:hanging="360"/>
      </w:pPr>
      <w:rPr>
        <w:rFonts w:ascii="Times New Roman" w:hAnsi="Times New Roman" w:cs="Times New Roman" w:eastAsiaTheme="minorHAnsi"/>
      </w:rPr>
    </w:lvl>
    <w:lvl w:ilvl="1">
      <w:start w:val="1"/>
      <w:numFmt w:val="bullet"/>
      <w:isLgl w:val="false"/>
      <w:suff w:val="tab"/>
      <w:lvlText w:val="o"/>
      <w:lvlJc w:val="left"/>
      <w:pPr>
        <w:ind w:left="2433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153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873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93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313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033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753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473" w:hanging="360"/>
      </w:pPr>
      <w:rPr>
        <w:rFonts w:hint="default" w:ascii="Wingdings" w:hAnsi="Wingdings" w:cs="Wingdings"/>
      </w:r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70" w:hanging="360"/>
      </w:pPr>
      <w:rPr>
        <w:rFonts w:ascii="Times New Roman" w:hAnsi="Times New Roman" w:eastAsiaTheme="minorHAnsi" w:cstheme="minorBidi"/>
      </w:rPr>
    </w:lvl>
    <w:lvl w:ilvl="1">
      <w:start w:val="1"/>
      <w:numFmt w:val="lowerLetter"/>
      <w:isLgl w:val="false"/>
      <w:suff w:val="tab"/>
      <w:lvlText w:val="%2."/>
      <w:lvlJc w:val="left"/>
      <w:pPr>
        <w:ind w:left="249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1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3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5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7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09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1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3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600" w:hanging="108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multiLevelType w:val="hybridMultilevel"/>
    <w:lvl w:ilvl="0">
      <w:start w:val="1"/>
      <w:numFmt w:val="bullet"/>
      <w:isLgl w:val="false"/>
      <w:suff w:val="space"/>
      <w:lvlText w:val="­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16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80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600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2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40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60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8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200" w:hanging="360"/>
      </w:pPr>
      <w:rPr>
        <w:rFonts w:hint="default" w:ascii="Wingdings" w:hAnsi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ascii="Times New Roman" w:hAnsi="Times New Roman" w:eastAsia="Times New Roman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­"/>
      <w:lvlJc w:val="left"/>
      <w:pPr>
        <w:ind w:left="928" w:hanging="360"/>
        <w:tabs>
          <w:tab w:val="num" w:pos="928" w:leader="none"/>
        </w:tabs>
      </w:pPr>
      <w:rPr>
        <w:rFonts w:hint="default"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ind w:left="2340" w:hanging="360"/>
        <w:tabs>
          <w:tab w:val="num" w:pos="23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60" w:hanging="360"/>
        <w:tabs>
          <w:tab w:val="num" w:pos="3060" w:leader="none"/>
        </w:tabs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80" w:hanging="360"/>
        <w:tabs>
          <w:tab w:val="num" w:pos="37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500" w:hanging="360"/>
        <w:tabs>
          <w:tab w:val="num" w:pos="45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220" w:hanging="360"/>
        <w:tabs>
          <w:tab w:val="num" w:pos="52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940" w:hanging="360"/>
        <w:tabs>
          <w:tab w:val="num" w:pos="59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60" w:hanging="360"/>
        <w:tabs>
          <w:tab w:val="num" w:pos="66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80" w:hanging="360"/>
        <w:tabs>
          <w:tab w:val="num" w:pos="7380" w:leader="none"/>
        </w:tabs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2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364" w:hanging="360"/>
      </w:pPr>
      <w:rPr>
        <w:rFonts w:hint="default" w:cs="Times New Roman"/>
      </w:rPr>
    </w:lvl>
    <w:lvl w:ilvl="1">
      <w:start w:val="1"/>
      <w:numFmt w:val="lowerLetter"/>
      <w:isLgl w:val="false"/>
      <w:suff w:val="tab"/>
      <w:lvlText w:val="%2."/>
      <w:lvlJc w:val="left"/>
      <w:pPr>
        <w:ind w:left="2084" w:hanging="360"/>
      </w:pPr>
      <w:rPr>
        <w:rFonts w:cs="Times New Roman"/>
      </w:rPr>
    </w:lvl>
    <w:lvl w:ilvl="2">
      <w:start w:val="1"/>
      <w:numFmt w:val="lowerRoman"/>
      <w:isLgl w:val="false"/>
      <w:suff w:val="tab"/>
      <w:lvlText w:val="%3."/>
      <w:lvlJc w:val="right"/>
      <w:pPr>
        <w:ind w:left="2804" w:hanging="180"/>
      </w:pPr>
      <w:rPr>
        <w:rFonts w:cs="Times New Roman"/>
      </w:rPr>
    </w:lvl>
    <w:lvl w:ilvl="3">
      <w:start w:val="1"/>
      <w:numFmt w:val="decimal"/>
      <w:isLgl w:val="false"/>
      <w:suff w:val="tab"/>
      <w:lvlText w:val="%4."/>
      <w:lvlJc w:val="left"/>
      <w:pPr>
        <w:ind w:left="3524" w:hanging="360"/>
      </w:pPr>
      <w:rPr>
        <w:rFonts w:cs="Times New Roman"/>
      </w:rPr>
    </w:lvl>
    <w:lvl w:ilvl="4">
      <w:start w:val="1"/>
      <w:numFmt w:val="lowerLetter"/>
      <w:isLgl w:val="false"/>
      <w:suff w:val="tab"/>
      <w:lvlText w:val="%5."/>
      <w:lvlJc w:val="left"/>
      <w:pPr>
        <w:ind w:left="4244" w:hanging="360"/>
      </w:pPr>
      <w:rPr>
        <w:rFonts w:cs="Times New Roman"/>
      </w:rPr>
    </w:lvl>
    <w:lvl w:ilvl="5">
      <w:start w:val="1"/>
      <w:numFmt w:val="lowerRoman"/>
      <w:isLgl w:val="false"/>
      <w:suff w:val="tab"/>
      <w:lvlText w:val="%6."/>
      <w:lvlJc w:val="right"/>
      <w:pPr>
        <w:ind w:left="4964" w:hanging="180"/>
      </w:pPr>
      <w:rPr>
        <w:rFonts w:cs="Times New Roman"/>
      </w:rPr>
    </w:lvl>
    <w:lvl w:ilvl="6">
      <w:start w:val="1"/>
      <w:numFmt w:val="decimal"/>
      <w:isLgl w:val="false"/>
      <w:suff w:val="tab"/>
      <w:lvlText w:val="%7."/>
      <w:lvlJc w:val="left"/>
      <w:pPr>
        <w:ind w:left="5684" w:hanging="360"/>
      </w:pPr>
      <w:rPr>
        <w:rFonts w:cs="Times New Roman"/>
      </w:rPr>
    </w:lvl>
    <w:lvl w:ilvl="7">
      <w:start w:val="1"/>
      <w:numFmt w:val="lowerLetter"/>
      <w:isLgl w:val="false"/>
      <w:suff w:val="tab"/>
      <w:lvlText w:val="%8."/>
      <w:lvlJc w:val="left"/>
      <w:pPr>
        <w:ind w:left="6404" w:hanging="360"/>
      </w:pPr>
      <w:rPr>
        <w:rFonts w:cs="Times New Roman"/>
      </w:rPr>
    </w:lvl>
    <w:lvl w:ilvl="8">
      <w:start w:val="1"/>
      <w:numFmt w:val="lowerRoman"/>
      <w:isLgl w:val="false"/>
      <w:suff w:val="tab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38" w:hanging="360"/>
      </w:pPr>
      <w:rPr>
        <w:rFonts w:ascii="Times New Roman" w:hAnsi="Times New Roman" w:eastAsia="Calibri" w:cs="Times New Roman"/>
      </w:rPr>
    </w:lvl>
    <w:lvl w:ilvl="1">
      <w:start w:val="1"/>
      <w:numFmt w:val="bullet"/>
      <w:isLgl w:val="false"/>
      <w:suff w:val="tab"/>
      <w:lvlText w:val="o"/>
      <w:lvlJc w:val="left"/>
      <w:pPr>
        <w:ind w:left="285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578" w:hanging="360"/>
      </w:pPr>
      <w:rPr>
        <w:rFonts w:hint="default" w:ascii="Wingdings" w:hAnsi="Wingdings" w:cs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4298" w:hanging="360"/>
      </w:pPr>
      <w:rPr>
        <w:rFonts w:hint="default" w:ascii="Symbol" w:hAnsi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501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738" w:hanging="360"/>
      </w:pPr>
      <w:rPr>
        <w:rFonts w:hint="default" w:ascii="Wingdings" w:hAnsi="Wingdings" w:cs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6458" w:hanging="360"/>
      </w:pPr>
      <w:rPr>
        <w:rFonts w:hint="default" w:ascii="Symbol" w:hAnsi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717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898" w:hanging="360"/>
      </w:pPr>
      <w:rPr>
        <w:rFonts w:hint="default" w:ascii="Wingdings" w:hAnsi="Wingdings" w:cs="Wingdings"/>
      </w:rPr>
    </w:lvl>
  </w:abstractNum>
  <w:abstractNum w:abstractNumId="2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  <w:strike w:val="0"/>
        <w:color w:val="auto"/>
      </w:rPr>
    </w:lvl>
    <w:lvl w:ilvl="1">
      <w:start w:val="1"/>
      <w:numFmt w:val="decimal"/>
      <w:isLgl/>
      <w:suff w:val="tab"/>
      <w:lvlText w:val="%2."/>
      <w:lvlJc w:val="left"/>
      <w:pPr>
        <w:ind w:left="2073" w:hanging="720"/>
      </w:pPr>
      <w:rPr>
        <w:rFonts w:ascii="Times New Roman" w:hAnsi="Times New Roman" w:eastAsia="Times New Roman" w:cs="Times New Roman"/>
      </w:rPr>
    </w:lvl>
    <w:lvl w:ilvl="2">
      <w:start w:val="1"/>
      <w:numFmt w:val="decimal"/>
      <w:isLgl/>
      <w:suff w:val="tab"/>
      <w:lvlText w:val="%1.%2.%3."/>
      <w:lvlJc w:val="left"/>
      <w:pPr>
        <w:ind w:left="2433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3153" w:hanging="108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3513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4233" w:hanging="144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4953" w:hanging="180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5313" w:hanging="180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6033" w:hanging="2160"/>
      </w:pPr>
      <w:rPr>
        <w:rFonts w:hint="default"/>
      </w:rPr>
    </w:lvl>
  </w:abstractNum>
  <w:abstractNum w:abstractNumId="3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33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108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7" w:hanging="180"/>
      </w:pPr>
    </w:lvl>
  </w:abstractNum>
  <w:abstractNum w:abstractNumId="3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087" w:hanging="360"/>
      </w:pPr>
      <w:rPr>
        <w:rFonts w:ascii="Times New Roman" w:hAnsi="Times New Roman" w:eastAsiaTheme="minorHAnsi" w:cstheme="minorBidi"/>
      </w:rPr>
    </w:lvl>
    <w:lvl w:ilvl="1">
      <w:start w:val="1"/>
      <w:numFmt w:val="bullet"/>
      <w:isLgl w:val="false"/>
      <w:suff w:val="tab"/>
      <w:lvlText w:val="o"/>
      <w:lvlJc w:val="left"/>
      <w:pPr>
        <w:ind w:left="1807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7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7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7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7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7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7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7" w:hanging="360"/>
      </w:pPr>
      <w:rPr>
        <w:rFonts w:hint="default" w:ascii="Wingdings" w:hAnsi="Wingdings"/>
      </w:rPr>
    </w:lvl>
  </w:abstractNum>
  <w:abstractNum w:abstractNumId="3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1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4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4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5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0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4">
    <w:multiLevelType w:val="hybridMultilevel"/>
    <w:lvl w:ilvl="0">
      <w:start w:val="1"/>
      <w:numFmt w:val="none"/>
      <w:isLgl w:val="false"/>
      <w:suff w:val="space"/>
      <w:lvlText w:val="3."/>
      <w:lvlJc w:val="left"/>
      <w:pPr>
        <w:ind w:left="709" w:hanging="360"/>
      </w:p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hint="default" w:ascii="Wingdings" w:hAnsi="Wingdings" w:eastAsia="Wingdings" w:cs="Wingdings"/>
      </w:rPr>
    </w:lvl>
  </w:abstractNum>
  <w:abstractNum w:abstractNumId="6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417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37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857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577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297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017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737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57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177" w:hanging="360"/>
      </w:pPr>
      <w:rPr>
        <w:rFonts w:hint="default" w:ascii="Wingdings" w:hAnsi="Wingdings" w:eastAsia="Wingdings" w:cs="Wingdings"/>
      </w:rPr>
    </w:lvl>
  </w:abstractNum>
  <w:abstractNum w:abstractNumId="6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56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28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00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72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4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16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8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0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320" w:hanging="360"/>
      </w:pPr>
      <w:rPr>
        <w:rFonts w:hint="default" w:ascii="Wingdings" w:hAnsi="Wingdings" w:eastAsia="Wingdings" w:cs="Wingdings"/>
      </w:rPr>
    </w:lvl>
  </w:abstractNum>
  <w:abstractNum w:abstractNumId="7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56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28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00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72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4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16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8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0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320" w:hanging="360"/>
      </w:pPr>
      <w:rPr>
        <w:rFonts w:hint="default" w:ascii="Wingdings" w:hAnsi="Wingdings" w:eastAsia="Wingdings" w:cs="Wingdings"/>
      </w:rPr>
    </w:lvl>
  </w:abstractNum>
  <w:abstractNum w:abstractNumId="7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156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28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300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372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4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516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88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0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7320" w:hanging="360"/>
      </w:pPr>
      <w:rPr>
        <w:rFonts w:hint="default" w:ascii="Wingdings" w:hAnsi="Wingdings" w:eastAsia="Wingdings" w:cs="Wingdings"/>
      </w:rPr>
    </w:lvl>
  </w:abstractNum>
  <w:abstractNum w:abstractNumId="72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3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5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7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8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9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0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1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2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  <w:b w:val="0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4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5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6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7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8">
    <w:multiLevelType w:val="hybridMultilevel"/>
    <w:lvl w:ilvl="0">
      <w:start w:val="1"/>
      <w:numFmt w:val="bullet"/>
      <w:isLgl w:val="false"/>
      <w:suff w:val="space"/>
      <w:lvlText w:val="–"/>
      <w:lvlJc w:val="left"/>
      <w:pPr>
        <w:ind w:left="720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num w:numId="1">
    <w:abstractNumId w:val="31"/>
  </w:num>
  <w:num w:numId="2">
    <w:abstractNumId w:val="27"/>
  </w:num>
  <w:num w:numId="3">
    <w:abstractNumId w:val="1"/>
  </w:num>
  <w:num w:numId="4">
    <w:abstractNumId w:val="15"/>
  </w:num>
  <w:num w:numId="5">
    <w:abstractNumId w:val="28"/>
  </w:num>
  <w:num w:numId="6">
    <w:abstractNumId w:val="11"/>
  </w:num>
  <w:num w:numId="7">
    <w:abstractNumId w:val="8"/>
  </w:num>
  <w:num w:numId="8">
    <w:abstractNumId w:val="19"/>
  </w:num>
  <w:num w:numId="9">
    <w:abstractNumId w:val="34"/>
  </w:num>
  <w:num w:numId="10">
    <w:abstractNumId w:val="5"/>
  </w:num>
  <w:num w:numId="11">
    <w:abstractNumId w:val="12"/>
  </w:num>
  <w:num w:numId="12">
    <w:abstractNumId w:val="2"/>
  </w:num>
  <w:num w:numId="13">
    <w:abstractNumId w:val="21"/>
  </w:num>
  <w:num w:numId="14">
    <w:abstractNumId w:val="6"/>
  </w:num>
  <w:num w:numId="15">
    <w:abstractNumId w:val="26"/>
  </w:num>
  <w:num w:numId="16">
    <w:abstractNumId w:val="10"/>
  </w:num>
  <w:num w:numId="17">
    <w:abstractNumId w:val="14"/>
  </w:num>
  <w:num w:numId="18">
    <w:abstractNumId w:val="22"/>
  </w:num>
  <w:num w:numId="19">
    <w:abstractNumId w:val="13"/>
  </w:num>
  <w:num w:numId="20">
    <w:abstractNumId w:val="29"/>
  </w:num>
  <w:num w:numId="21">
    <w:abstractNumId w:val="7"/>
  </w:num>
  <w:num w:numId="22">
    <w:abstractNumId w:val="17"/>
  </w:num>
  <w:num w:numId="23">
    <w:abstractNumId w:val="3"/>
  </w:num>
  <w:num w:numId="24">
    <w:abstractNumId w:val="20"/>
  </w:num>
  <w:num w:numId="25">
    <w:abstractNumId w:val="35"/>
  </w:num>
  <w:num w:numId="26">
    <w:abstractNumId w:val="33"/>
  </w:num>
  <w:num w:numId="27">
    <w:abstractNumId w:val="16"/>
  </w:num>
  <w:num w:numId="28">
    <w:abstractNumId w:val="0"/>
  </w:num>
  <w:num w:numId="29">
    <w:abstractNumId w:val="9"/>
  </w:num>
  <w:num w:numId="30">
    <w:abstractNumId w:val="18"/>
  </w:num>
  <w:num w:numId="31">
    <w:abstractNumId w:val="30"/>
  </w:num>
  <w:num w:numId="32">
    <w:abstractNumId w:val="23"/>
  </w:num>
  <w:num w:numId="33">
    <w:abstractNumId w:val="32"/>
  </w:num>
  <w:num w:numId="34">
    <w:abstractNumId w:val="4"/>
  </w:num>
  <w:num w:numId="35">
    <w:abstractNumId w:val="25"/>
  </w:num>
  <w:num w:numId="36">
    <w:abstractNumId w:val="36"/>
  </w:num>
  <w:num w:numId="37">
    <w:abstractNumId w:val="24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851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832">
    <w:name w:val="Heading 3 Char"/>
    <w:basedOn w:val="869"/>
    <w:link w:val="862"/>
    <w:uiPriority w:val="9"/>
    <w:rPr>
      <w:rFonts w:ascii="Arial" w:hAnsi="Arial" w:eastAsia="Arial" w:cs="Arial"/>
      <w:sz w:val="30"/>
      <w:szCs w:val="30"/>
    </w:rPr>
  </w:style>
  <w:style w:type="character" w:styleId="833">
    <w:name w:val="Heading 6 Char"/>
    <w:basedOn w:val="869"/>
    <w:link w:val="865"/>
    <w:uiPriority w:val="9"/>
    <w:rPr>
      <w:rFonts w:ascii="Arial" w:hAnsi="Arial" w:eastAsia="Arial" w:cs="Arial"/>
      <w:b/>
      <w:bCs/>
      <w:sz w:val="22"/>
      <w:szCs w:val="22"/>
    </w:rPr>
  </w:style>
  <w:style w:type="character" w:styleId="834">
    <w:name w:val="Heading 7 Char"/>
    <w:basedOn w:val="869"/>
    <w:link w:val="8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35">
    <w:name w:val="Heading 8 Char"/>
    <w:basedOn w:val="869"/>
    <w:link w:val="867"/>
    <w:uiPriority w:val="9"/>
    <w:rPr>
      <w:rFonts w:ascii="Arial" w:hAnsi="Arial" w:eastAsia="Arial" w:cs="Arial"/>
      <w:i/>
      <w:iCs/>
      <w:sz w:val="22"/>
      <w:szCs w:val="22"/>
    </w:rPr>
  </w:style>
  <w:style w:type="character" w:styleId="836">
    <w:name w:val="Heading 9 Char"/>
    <w:basedOn w:val="869"/>
    <w:link w:val="868"/>
    <w:uiPriority w:val="9"/>
    <w:rPr>
      <w:rFonts w:ascii="Arial" w:hAnsi="Arial" w:eastAsia="Arial" w:cs="Arial"/>
      <w:i/>
      <w:iCs/>
      <w:sz w:val="21"/>
      <w:szCs w:val="21"/>
    </w:rPr>
  </w:style>
  <w:style w:type="character" w:styleId="837">
    <w:name w:val="Quote Char"/>
    <w:link w:val="883"/>
    <w:uiPriority w:val="29"/>
    <w:rPr>
      <w:i/>
    </w:rPr>
  </w:style>
  <w:style w:type="character" w:styleId="838">
    <w:name w:val="Intense Quote Char"/>
    <w:link w:val="885"/>
    <w:uiPriority w:val="30"/>
    <w:rPr>
      <w:i/>
    </w:rPr>
  </w:style>
  <w:style w:type="table" w:styleId="839">
    <w:name w:val="Plain Table 1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0">
    <w:name w:val="Plain Table 2"/>
    <w:basedOn w:val="87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41">
    <w:name w:val="Plain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42">
    <w:name w:val="Plain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>
    <w:name w:val="Plain Table 5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44">
    <w:name w:val="Grid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>
    <w:name w:val="Grid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Grid Table 4"/>
    <w:basedOn w:val="87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48">
    <w:name w:val="Grid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49">
    <w:name w:val="Grid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50">
    <w:name w:val="Grid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2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3">
    <w:name w:val="List Table 3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>
    <w:name w:val="List Table 4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56">
    <w:name w:val="List Table 6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57">
    <w:name w:val="List Table 7 Colorful"/>
    <w:basedOn w:val="87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858">
    <w:name w:val="Endnote Text Char"/>
    <w:link w:val="1017"/>
    <w:uiPriority w:val="99"/>
    <w:rPr>
      <w:sz w:val="20"/>
    </w:rPr>
  </w:style>
  <w:style w:type="paragraph" w:styleId="859" w:default="1">
    <w:name w:val="Normal"/>
    <w:qFormat/>
  </w:style>
  <w:style w:type="paragraph" w:styleId="860">
    <w:name w:val="Heading 1"/>
    <w:basedOn w:val="859"/>
    <w:next w:val="859"/>
    <w:link w:val="1106"/>
    <w:uiPriority w:val="9"/>
    <w:qFormat/>
    <w:pPr>
      <w:keepLines/>
      <w:keepNext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861">
    <w:name w:val="Heading 2"/>
    <w:basedOn w:val="859"/>
    <w:next w:val="859"/>
    <w:link w:val="1031"/>
    <w:uiPriority w:val="9"/>
    <w:semiHidden/>
    <w:unhideWhenUsed/>
    <w:qFormat/>
    <w:pPr>
      <w:keepLines/>
      <w:keepNext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862">
    <w:name w:val="Heading 3"/>
    <w:basedOn w:val="859"/>
    <w:next w:val="859"/>
    <w:link w:val="874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863">
    <w:name w:val="Heading 4"/>
    <w:basedOn w:val="859"/>
    <w:next w:val="859"/>
    <w:link w:val="1032"/>
    <w:qFormat/>
    <w:pPr>
      <w:ind w:firstLine="709"/>
      <w:keepNext/>
      <w:spacing w:after="0" w:line="240" w:lineRule="auto"/>
      <w:outlineLvl w:val="3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864">
    <w:name w:val="Heading 5"/>
    <w:basedOn w:val="859"/>
    <w:next w:val="859"/>
    <w:link w:val="1123"/>
    <w:uiPriority w:val="9"/>
    <w:semiHidden/>
    <w:unhideWhenUsed/>
    <w:qFormat/>
    <w:pPr>
      <w:keepLines/>
      <w:keepNext/>
      <w:spacing w:before="200" w:after="0"/>
      <w:outlineLvl w:val="4"/>
    </w:pPr>
    <w:rPr>
      <w:rFonts w:asciiTheme="majorHAnsi" w:hAnsiTheme="majorHAnsi" w:eastAsiaTheme="majorEastAsia" w:cstheme="majorBidi"/>
      <w:color w:val="243f60" w:themeColor="accent1" w:themeShade="7F"/>
    </w:rPr>
  </w:style>
  <w:style w:type="paragraph" w:styleId="865">
    <w:name w:val="Heading 6"/>
    <w:basedOn w:val="859"/>
    <w:next w:val="859"/>
    <w:link w:val="877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866">
    <w:name w:val="Heading 7"/>
    <w:basedOn w:val="859"/>
    <w:next w:val="859"/>
    <w:link w:val="878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867">
    <w:name w:val="Heading 8"/>
    <w:basedOn w:val="859"/>
    <w:next w:val="859"/>
    <w:link w:val="879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868">
    <w:name w:val="Heading 9"/>
    <w:basedOn w:val="859"/>
    <w:next w:val="859"/>
    <w:link w:val="880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869" w:default="1">
    <w:name w:val="Default Paragraph Font"/>
    <w:uiPriority w:val="1"/>
    <w:semiHidden/>
    <w:unhideWhenUsed/>
  </w:style>
  <w:style w:type="table" w:styleId="870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71" w:default="1">
    <w:name w:val="No List"/>
    <w:uiPriority w:val="99"/>
    <w:semiHidden/>
    <w:unhideWhenUsed/>
  </w:style>
  <w:style w:type="character" w:styleId="872" w:customStyle="1">
    <w:name w:val="Heading 1 Char"/>
    <w:basedOn w:val="869"/>
    <w:uiPriority w:val="9"/>
    <w:rPr>
      <w:rFonts w:ascii="Arial" w:hAnsi="Arial" w:eastAsia="Arial" w:cs="Arial"/>
      <w:sz w:val="40"/>
      <w:szCs w:val="40"/>
    </w:rPr>
  </w:style>
  <w:style w:type="character" w:styleId="873" w:customStyle="1">
    <w:name w:val="Heading 2 Char"/>
    <w:basedOn w:val="869"/>
    <w:uiPriority w:val="9"/>
    <w:rPr>
      <w:rFonts w:ascii="Arial" w:hAnsi="Arial" w:eastAsia="Arial" w:cs="Arial"/>
      <w:sz w:val="34"/>
    </w:rPr>
  </w:style>
  <w:style w:type="character" w:styleId="874" w:customStyle="1">
    <w:name w:val="Заголовок 3 Знак"/>
    <w:basedOn w:val="869"/>
    <w:link w:val="862"/>
    <w:uiPriority w:val="9"/>
    <w:rPr>
      <w:rFonts w:ascii="Arial" w:hAnsi="Arial" w:eastAsia="Arial" w:cs="Arial"/>
      <w:sz w:val="30"/>
      <w:szCs w:val="30"/>
    </w:rPr>
  </w:style>
  <w:style w:type="character" w:styleId="875" w:customStyle="1">
    <w:name w:val="Heading 4 Char"/>
    <w:basedOn w:val="869"/>
    <w:uiPriority w:val="9"/>
    <w:rPr>
      <w:rFonts w:ascii="Arial" w:hAnsi="Arial" w:eastAsia="Arial" w:cs="Arial"/>
      <w:b/>
      <w:bCs/>
      <w:sz w:val="26"/>
      <w:szCs w:val="26"/>
    </w:rPr>
  </w:style>
  <w:style w:type="character" w:styleId="876" w:customStyle="1">
    <w:name w:val="Heading 5 Char"/>
    <w:basedOn w:val="869"/>
    <w:uiPriority w:val="9"/>
    <w:rPr>
      <w:rFonts w:ascii="Arial" w:hAnsi="Arial" w:eastAsia="Arial" w:cs="Arial"/>
      <w:b/>
      <w:bCs/>
      <w:sz w:val="24"/>
      <w:szCs w:val="24"/>
    </w:rPr>
  </w:style>
  <w:style w:type="character" w:styleId="877" w:customStyle="1">
    <w:name w:val="Заголовок 6 Знак"/>
    <w:basedOn w:val="869"/>
    <w:link w:val="865"/>
    <w:uiPriority w:val="9"/>
    <w:rPr>
      <w:rFonts w:ascii="Arial" w:hAnsi="Arial" w:eastAsia="Arial" w:cs="Arial"/>
      <w:b/>
      <w:bCs/>
      <w:sz w:val="22"/>
      <w:szCs w:val="22"/>
    </w:rPr>
  </w:style>
  <w:style w:type="character" w:styleId="878" w:customStyle="1">
    <w:name w:val="Заголовок 7 Знак"/>
    <w:basedOn w:val="869"/>
    <w:link w:val="866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879" w:customStyle="1">
    <w:name w:val="Заголовок 8 Знак"/>
    <w:basedOn w:val="869"/>
    <w:link w:val="867"/>
    <w:uiPriority w:val="9"/>
    <w:rPr>
      <w:rFonts w:ascii="Arial" w:hAnsi="Arial" w:eastAsia="Arial" w:cs="Arial"/>
      <w:i/>
      <w:iCs/>
      <w:sz w:val="22"/>
      <w:szCs w:val="22"/>
    </w:rPr>
  </w:style>
  <w:style w:type="character" w:styleId="880" w:customStyle="1">
    <w:name w:val="Заголовок 9 Знак"/>
    <w:basedOn w:val="869"/>
    <w:link w:val="868"/>
    <w:uiPriority w:val="9"/>
    <w:rPr>
      <w:rFonts w:ascii="Arial" w:hAnsi="Arial" w:eastAsia="Arial" w:cs="Arial"/>
      <w:i/>
      <w:iCs/>
      <w:sz w:val="21"/>
      <w:szCs w:val="21"/>
    </w:rPr>
  </w:style>
  <w:style w:type="character" w:styleId="881" w:customStyle="1">
    <w:name w:val="Title Char"/>
    <w:basedOn w:val="869"/>
    <w:uiPriority w:val="10"/>
    <w:rPr>
      <w:sz w:val="48"/>
      <w:szCs w:val="48"/>
    </w:rPr>
  </w:style>
  <w:style w:type="character" w:styleId="882" w:customStyle="1">
    <w:name w:val="Subtitle Char"/>
    <w:basedOn w:val="869"/>
    <w:uiPriority w:val="11"/>
    <w:rPr>
      <w:sz w:val="24"/>
      <w:szCs w:val="24"/>
    </w:rPr>
  </w:style>
  <w:style w:type="paragraph" w:styleId="883">
    <w:name w:val="Quote"/>
    <w:basedOn w:val="859"/>
    <w:next w:val="859"/>
    <w:link w:val="884"/>
    <w:uiPriority w:val="29"/>
    <w:qFormat/>
    <w:pPr>
      <w:ind w:left="720" w:right="720"/>
    </w:pPr>
    <w:rPr>
      <w:i/>
    </w:rPr>
  </w:style>
  <w:style w:type="character" w:styleId="884" w:customStyle="1">
    <w:name w:val="Цитата 2 Знак"/>
    <w:link w:val="883"/>
    <w:uiPriority w:val="29"/>
    <w:rPr>
      <w:i/>
    </w:rPr>
  </w:style>
  <w:style w:type="paragraph" w:styleId="885">
    <w:name w:val="Intense Quote"/>
    <w:basedOn w:val="859"/>
    <w:next w:val="859"/>
    <w:link w:val="88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886" w:customStyle="1">
    <w:name w:val="Выделенная цитата Знак"/>
    <w:link w:val="885"/>
    <w:uiPriority w:val="30"/>
    <w:rPr>
      <w:i/>
    </w:rPr>
  </w:style>
  <w:style w:type="character" w:styleId="887" w:customStyle="1">
    <w:name w:val="Header Char"/>
    <w:basedOn w:val="869"/>
    <w:uiPriority w:val="99"/>
  </w:style>
  <w:style w:type="character" w:styleId="888" w:customStyle="1">
    <w:name w:val="Footer Char"/>
    <w:basedOn w:val="869"/>
    <w:uiPriority w:val="99"/>
  </w:style>
  <w:style w:type="paragraph" w:styleId="889">
    <w:name w:val="Caption"/>
    <w:basedOn w:val="859"/>
    <w:next w:val="859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890" w:customStyle="1">
    <w:name w:val="Caption Char"/>
    <w:uiPriority w:val="99"/>
  </w:style>
  <w:style w:type="table" w:styleId="891" w:customStyle="1">
    <w:name w:val="Table Grid Light"/>
    <w:basedOn w:val="87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892" w:customStyle="1">
    <w:name w:val="Таблица простая 11"/>
    <w:basedOn w:val="870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93" w:customStyle="1">
    <w:name w:val="Таблица простая 21"/>
    <w:basedOn w:val="870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894" w:customStyle="1">
    <w:name w:val="Таблица простая 31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895" w:customStyle="1">
    <w:name w:val="Таблица простая 41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6" w:customStyle="1">
    <w:name w:val="Таблица простая 51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897" w:customStyle="1">
    <w:name w:val="Таблица-сетка 1 светлая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8" w:customStyle="1">
    <w:name w:val="Grid Table 1 Light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99" w:customStyle="1">
    <w:name w:val="Grid Table 1 Light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0" w:customStyle="1">
    <w:name w:val="Grid Table 1 Light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1" w:customStyle="1">
    <w:name w:val="Grid Table 1 Light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2" w:customStyle="1">
    <w:name w:val="Grid Table 1 Light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3" w:customStyle="1">
    <w:name w:val="Grid Table 1 Light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04" w:customStyle="1">
    <w:name w:val="Таблица-сетка 2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5" w:customStyle="1">
    <w:name w:val="Grid Table 2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6" w:customStyle="1">
    <w:name w:val="Grid Table 2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7" w:customStyle="1">
    <w:name w:val="Grid Table 2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8" w:customStyle="1">
    <w:name w:val="Grid Table 2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09" w:customStyle="1">
    <w:name w:val="Grid Table 2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0" w:customStyle="1">
    <w:name w:val="Grid Table 2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1" w:customStyle="1">
    <w:name w:val="Таблица-сетка 3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2" w:customStyle="1">
    <w:name w:val="Grid Table 3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3" w:customStyle="1">
    <w:name w:val="Grid Table 3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4" w:customStyle="1">
    <w:name w:val="Grid Table 3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5" w:customStyle="1">
    <w:name w:val="Grid Table 3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6" w:customStyle="1">
    <w:name w:val="Grid Table 3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7" w:customStyle="1">
    <w:name w:val="Grid Table 3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18" w:customStyle="1">
    <w:name w:val="Таблица-сетка 41"/>
    <w:basedOn w:val="8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919" w:customStyle="1">
    <w:name w:val="Grid Table 4 - Accent 1"/>
    <w:basedOn w:val="8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920" w:customStyle="1">
    <w:name w:val="Grid Table 4 - Accent 2"/>
    <w:basedOn w:val="8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921" w:customStyle="1">
    <w:name w:val="Grid Table 4 - Accent 3"/>
    <w:basedOn w:val="8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922" w:customStyle="1">
    <w:name w:val="Grid Table 4 - Accent 4"/>
    <w:basedOn w:val="8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923" w:customStyle="1">
    <w:name w:val="Grid Table 4 - Accent 5"/>
    <w:basedOn w:val="8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924" w:customStyle="1">
    <w:name w:val="Grid Table 4 - Accent 6"/>
    <w:basedOn w:val="870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925" w:customStyle="1">
    <w:name w:val="Таблица-сетка 5 темная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926" w:customStyle="1">
    <w:name w:val="Grid Table 5 Dark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927" w:customStyle="1">
    <w:name w:val="Grid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928" w:customStyle="1">
    <w:name w:val="Grid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929" w:customStyle="1">
    <w:name w:val="Grid Table 5 Dark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930" w:customStyle="1">
    <w:name w:val="Grid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931" w:customStyle="1">
    <w:name w:val="Grid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932" w:customStyle="1">
    <w:name w:val="Таблица-сетка 6 цветная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933" w:customStyle="1">
    <w:name w:val="Grid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934" w:customStyle="1">
    <w:name w:val="Grid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935" w:customStyle="1">
    <w:name w:val="Grid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936" w:customStyle="1">
    <w:name w:val="Grid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937" w:customStyle="1">
    <w:name w:val="Grid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8" w:customStyle="1">
    <w:name w:val="Grid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939" w:customStyle="1">
    <w:name w:val="Таблица-сетка 7 цветная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0" w:customStyle="1">
    <w:name w:val="Grid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1" w:customStyle="1">
    <w:name w:val="Grid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2" w:customStyle="1">
    <w:name w:val="Grid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3" w:customStyle="1">
    <w:name w:val="Grid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4" w:customStyle="1">
    <w:name w:val="Grid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5" w:customStyle="1">
    <w:name w:val="Grid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46" w:customStyle="1">
    <w:name w:val="Список-таблица 1 светлая1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7" w:customStyle="1">
    <w:name w:val="List Table 1 Light - Accent 1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8" w:customStyle="1">
    <w:name w:val="List Table 1 Light - Accent 2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49" w:customStyle="1">
    <w:name w:val="List Table 1 Light - Accent 3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0" w:customStyle="1">
    <w:name w:val="List Table 1 Light - Accent 4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1" w:customStyle="1">
    <w:name w:val="List Table 1 Light - Accent 5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2" w:customStyle="1">
    <w:name w:val="List Table 1 Light - Accent 6"/>
    <w:basedOn w:val="870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953" w:customStyle="1">
    <w:name w:val="Список-таблица 2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954" w:customStyle="1">
    <w:name w:val="List Table 2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955" w:customStyle="1">
    <w:name w:val="List Table 2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956" w:customStyle="1">
    <w:name w:val="List Table 2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957" w:customStyle="1">
    <w:name w:val="List Table 2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958" w:customStyle="1">
    <w:name w:val="List Table 2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959" w:customStyle="1">
    <w:name w:val="List Table 2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960" w:customStyle="1">
    <w:name w:val="Список-таблица 3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1" w:customStyle="1">
    <w:name w:val="List Table 3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2" w:customStyle="1">
    <w:name w:val="List Table 3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3" w:customStyle="1">
    <w:name w:val="List Table 3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4" w:customStyle="1">
    <w:name w:val="List Table 3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5" w:customStyle="1">
    <w:name w:val="List Table 3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6" w:customStyle="1">
    <w:name w:val="List Table 3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7" w:customStyle="1">
    <w:name w:val="Список-таблица 4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8" w:customStyle="1">
    <w:name w:val="List Table 4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69" w:customStyle="1">
    <w:name w:val="List Table 4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0" w:customStyle="1">
    <w:name w:val="List Table 4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1" w:customStyle="1">
    <w:name w:val="List Table 4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2" w:customStyle="1">
    <w:name w:val="List Table 4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3" w:customStyle="1">
    <w:name w:val="List Table 4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974" w:customStyle="1">
    <w:name w:val="Список-таблица 5 темная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5" w:customStyle="1">
    <w:name w:val="List Table 5 Dark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6" w:customStyle="1">
    <w:name w:val="List Table 5 Dark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7" w:customStyle="1">
    <w:name w:val="List Table 5 Dark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8" w:customStyle="1">
    <w:name w:val="List Table 5 Dark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79" w:customStyle="1">
    <w:name w:val="List Table 5 Dark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0" w:customStyle="1">
    <w:name w:val="List Table 5 Dark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981" w:customStyle="1">
    <w:name w:val="Список-таблица 6 цветная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982" w:customStyle="1">
    <w:name w:val="List Table 6 Colorful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983" w:customStyle="1">
    <w:name w:val="List Table 6 Colorful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984" w:customStyle="1">
    <w:name w:val="List Table 6 Colorful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985" w:customStyle="1">
    <w:name w:val="List Table 6 Colorful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986" w:customStyle="1">
    <w:name w:val="List Table 6 Colorful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987" w:customStyle="1">
    <w:name w:val="List Table 6 Colorful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988" w:customStyle="1">
    <w:name w:val="Список-таблица 7 цветная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89" w:customStyle="1">
    <w:name w:val="List Table 7 Colorful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0" w:customStyle="1">
    <w:name w:val="List Table 7 Colorful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1" w:customStyle="1">
    <w:name w:val="List Table 7 Colorful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2" w:customStyle="1">
    <w:name w:val="List Table 7 Colorful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3" w:customStyle="1">
    <w:name w:val="List Table 7 Colorful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4" w:customStyle="1">
    <w:name w:val="List Table 7 Colorful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995" w:customStyle="1">
    <w:name w:val="Lined - Accent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996" w:customStyle="1">
    <w:name w:val="Lined - Accent 1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997" w:customStyle="1">
    <w:name w:val="Lined - Accent 2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998" w:customStyle="1">
    <w:name w:val="Lined - Accent 3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999" w:customStyle="1">
    <w:name w:val="Lined - Accent 4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00" w:customStyle="1">
    <w:name w:val="Lined - Accent 5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01" w:customStyle="1">
    <w:name w:val="Lined - Accent 6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02" w:customStyle="1">
    <w:name w:val="Bordered &amp; Lined - Accent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1003" w:customStyle="1">
    <w:name w:val="Bordered &amp; Lined - Accent 1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1004" w:customStyle="1">
    <w:name w:val="Bordered &amp; Lined - Accent 2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1005" w:customStyle="1">
    <w:name w:val="Bordered &amp; Lined - Accent 3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1006" w:customStyle="1">
    <w:name w:val="Bordered &amp; Lined - Accent 4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1007" w:customStyle="1">
    <w:name w:val="Bordered &amp; Lined - Accent 5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1008" w:customStyle="1">
    <w:name w:val="Bordered &amp; Lined - Accent 6"/>
    <w:basedOn w:val="870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1009" w:customStyle="1">
    <w:name w:val="Bordered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1010" w:customStyle="1">
    <w:name w:val="Bordered - Accent 1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1011" w:customStyle="1">
    <w:name w:val="Bordered - Accent 2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1012" w:customStyle="1">
    <w:name w:val="Bordered - Accent 3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1013" w:customStyle="1">
    <w:name w:val="Bordered - Accent 4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1014" w:customStyle="1">
    <w:name w:val="Bordered - Accent 5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1015" w:customStyle="1">
    <w:name w:val="Bordered - Accent 6"/>
    <w:basedOn w:val="870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1016" w:customStyle="1">
    <w:name w:val="Footnote Text Char"/>
    <w:uiPriority w:val="99"/>
    <w:rPr>
      <w:sz w:val="18"/>
    </w:rPr>
  </w:style>
  <w:style w:type="paragraph" w:styleId="1017">
    <w:name w:val="endnote text"/>
    <w:basedOn w:val="859"/>
    <w:link w:val="1018"/>
    <w:uiPriority w:val="99"/>
    <w:semiHidden/>
    <w:unhideWhenUsed/>
    <w:pPr>
      <w:spacing w:after="0" w:line="240" w:lineRule="auto"/>
    </w:pPr>
    <w:rPr>
      <w:sz w:val="20"/>
    </w:rPr>
  </w:style>
  <w:style w:type="character" w:styleId="1018" w:customStyle="1">
    <w:name w:val="Текст концевой сноски Знак"/>
    <w:link w:val="1017"/>
    <w:uiPriority w:val="99"/>
    <w:rPr>
      <w:sz w:val="20"/>
    </w:rPr>
  </w:style>
  <w:style w:type="character" w:styleId="1019">
    <w:name w:val="endnote reference"/>
    <w:basedOn w:val="869"/>
    <w:uiPriority w:val="99"/>
    <w:semiHidden/>
    <w:unhideWhenUsed/>
    <w:rPr>
      <w:vertAlign w:val="superscript"/>
    </w:rPr>
  </w:style>
  <w:style w:type="paragraph" w:styleId="1020">
    <w:name w:val="toc 1"/>
    <w:basedOn w:val="859"/>
    <w:next w:val="859"/>
    <w:uiPriority w:val="39"/>
    <w:unhideWhenUsed/>
    <w:pPr>
      <w:spacing w:after="57"/>
    </w:pPr>
  </w:style>
  <w:style w:type="paragraph" w:styleId="1021">
    <w:name w:val="toc 2"/>
    <w:basedOn w:val="859"/>
    <w:next w:val="859"/>
    <w:uiPriority w:val="39"/>
    <w:unhideWhenUsed/>
    <w:pPr>
      <w:ind w:left="283"/>
      <w:spacing w:after="57"/>
    </w:pPr>
  </w:style>
  <w:style w:type="paragraph" w:styleId="1022">
    <w:name w:val="toc 3"/>
    <w:basedOn w:val="859"/>
    <w:next w:val="859"/>
    <w:uiPriority w:val="39"/>
    <w:unhideWhenUsed/>
    <w:pPr>
      <w:ind w:left="567"/>
      <w:spacing w:after="57"/>
    </w:pPr>
  </w:style>
  <w:style w:type="paragraph" w:styleId="1023">
    <w:name w:val="toc 4"/>
    <w:basedOn w:val="859"/>
    <w:next w:val="859"/>
    <w:uiPriority w:val="39"/>
    <w:unhideWhenUsed/>
    <w:pPr>
      <w:ind w:left="850"/>
      <w:spacing w:after="57"/>
    </w:pPr>
  </w:style>
  <w:style w:type="paragraph" w:styleId="1024">
    <w:name w:val="toc 5"/>
    <w:basedOn w:val="859"/>
    <w:next w:val="859"/>
    <w:uiPriority w:val="39"/>
    <w:unhideWhenUsed/>
    <w:pPr>
      <w:ind w:left="1134"/>
      <w:spacing w:after="57"/>
    </w:pPr>
  </w:style>
  <w:style w:type="paragraph" w:styleId="1025">
    <w:name w:val="toc 6"/>
    <w:basedOn w:val="859"/>
    <w:next w:val="859"/>
    <w:uiPriority w:val="39"/>
    <w:unhideWhenUsed/>
    <w:pPr>
      <w:ind w:left="1417"/>
      <w:spacing w:after="57"/>
    </w:pPr>
  </w:style>
  <w:style w:type="paragraph" w:styleId="1026">
    <w:name w:val="toc 7"/>
    <w:basedOn w:val="859"/>
    <w:next w:val="859"/>
    <w:uiPriority w:val="39"/>
    <w:unhideWhenUsed/>
    <w:pPr>
      <w:ind w:left="1701"/>
      <w:spacing w:after="57"/>
    </w:pPr>
  </w:style>
  <w:style w:type="paragraph" w:styleId="1027">
    <w:name w:val="toc 8"/>
    <w:basedOn w:val="859"/>
    <w:next w:val="859"/>
    <w:uiPriority w:val="39"/>
    <w:unhideWhenUsed/>
    <w:pPr>
      <w:ind w:left="1984"/>
      <w:spacing w:after="57"/>
    </w:pPr>
  </w:style>
  <w:style w:type="paragraph" w:styleId="1028">
    <w:name w:val="toc 9"/>
    <w:basedOn w:val="859"/>
    <w:next w:val="859"/>
    <w:uiPriority w:val="39"/>
    <w:unhideWhenUsed/>
    <w:pPr>
      <w:ind w:left="2268"/>
      <w:spacing w:after="57"/>
    </w:pPr>
  </w:style>
  <w:style w:type="paragraph" w:styleId="1029">
    <w:name w:val="TOC Heading"/>
    <w:uiPriority w:val="39"/>
    <w:unhideWhenUsed/>
  </w:style>
  <w:style w:type="paragraph" w:styleId="1030">
    <w:name w:val="table of figures"/>
    <w:basedOn w:val="859"/>
    <w:next w:val="859"/>
    <w:uiPriority w:val="99"/>
    <w:unhideWhenUsed/>
    <w:pPr>
      <w:spacing w:after="0"/>
    </w:pPr>
  </w:style>
  <w:style w:type="character" w:styleId="1031" w:customStyle="1">
    <w:name w:val="Заголовок 2 Знак"/>
    <w:basedOn w:val="869"/>
    <w:link w:val="861"/>
    <w:uiPriority w:val="9"/>
    <w:semiHidden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1032" w:customStyle="1">
    <w:name w:val="Заголовок 4 Знак"/>
    <w:basedOn w:val="869"/>
    <w:link w:val="863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1033">
    <w:name w:val="List Paragraph"/>
    <w:basedOn w:val="859"/>
    <w:link w:val="1119"/>
    <w:uiPriority w:val="34"/>
    <w:qFormat/>
    <w:pPr>
      <w:contextualSpacing/>
      <w:ind w:left="720"/>
    </w:pPr>
  </w:style>
  <w:style w:type="paragraph" w:styleId="1034">
    <w:name w:val="Normal (Web)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35" w:customStyle="1">
    <w:name w:val="c0 c6"/>
  </w:style>
  <w:style w:type="paragraph" w:styleId="1036" w:customStyle="1">
    <w:name w:val="c13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37" w:customStyle="1">
    <w:name w:val="c1"/>
  </w:style>
  <w:style w:type="paragraph" w:styleId="1038" w:customStyle="1">
    <w:name w:val="c3 c2 c4 c10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39" w:customStyle="1">
    <w:name w:val="c8 c0 c6"/>
  </w:style>
  <w:style w:type="paragraph" w:styleId="1040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  <w:lang w:eastAsia="ru-RU"/>
    </w:rPr>
  </w:style>
  <w:style w:type="paragraph" w:styleId="1041">
    <w:name w:val="Body Text Indent 2"/>
    <w:basedOn w:val="859"/>
    <w:link w:val="1042"/>
    <w:pPr>
      <w:ind w:firstLine="709"/>
      <w:jc w:val="both"/>
      <w:spacing w:after="0" w:line="240" w:lineRule="auto"/>
    </w:pPr>
    <w:rPr>
      <w:rFonts w:ascii="Times New Roman" w:hAnsi="Times New Roman" w:eastAsia="Times New Roman" w:cs="Times New Roman"/>
      <w:sz w:val="28"/>
      <w:szCs w:val="20"/>
      <w:lang w:eastAsia="ru-RU"/>
    </w:rPr>
  </w:style>
  <w:style w:type="character" w:styleId="1042" w:customStyle="1">
    <w:name w:val="Основной текст с отступом 2 Знак"/>
    <w:basedOn w:val="869"/>
    <w:link w:val="1041"/>
    <w:rPr>
      <w:rFonts w:ascii="Times New Roman" w:hAnsi="Times New Roman" w:eastAsia="Times New Roman" w:cs="Times New Roman"/>
      <w:sz w:val="28"/>
      <w:szCs w:val="20"/>
      <w:lang w:eastAsia="ru-RU"/>
    </w:rPr>
  </w:style>
  <w:style w:type="paragraph" w:styleId="1043">
    <w:name w:val="Body Text"/>
    <w:basedOn w:val="859"/>
    <w:link w:val="1044"/>
    <w:uiPriority w:val="99"/>
    <w:pPr>
      <w:spacing w:after="120" w:line="240" w:lineRule="auto"/>
    </w:pPr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44" w:customStyle="1">
    <w:name w:val="Основной текст Знак"/>
    <w:basedOn w:val="869"/>
    <w:link w:val="1043"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1045">
    <w:name w:val="Strong"/>
    <w:uiPriority w:val="22"/>
    <w:qFormat/>
    <w:rPr>
      <w:b/>
      <w:bCs/>
    </w:rPr>
  </w:style>
  <w:style w:type="paragraph" w:styleId="1046" w:customStyle="1">
    <w:name w:val="32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table" w:styleId="1047">
    <w:name w:val="Table Grid"/>
    <w:basedOn w:val="870"/>
    <w:uiPriority w:val="59"/>
    <w:pPr>
      <w:ind w:firstLine="709"/>
      <w:jc w:val="both"/>
      <w:spacing w:after="0" w:line="240" w:lineRule="auto"/>
    </w:pPr>
    <w:rPr>
      <w:rFonts w:ascii="Times New Roman" w:hAnsi="Times New Roman" w:cs="Times New Roman"/>
      <w:sz w:val="28"/>
      <w:szCs w:val="28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48">
    <w:name w:val="footnote text"/>
    <w:basedOn w:val="859"/>
    <w:link w:val="1049"/>
    <w:uiPriority w:val="99"/>
    <w:semiHidden/>
    <w:unhideWhenUsed/>
    <w:pPr>
      <w:ind w:firstLine="709"/>
      <w:jc w:val="both"/>
      <w:spacing w:after="0" w:line="240" w:lineRule="auto"/>
    </w:pPr>
    <w:rPr>
      <w:rFonts w:ascii="Times New Roman" w:hAnsi="Times New Roman" w:cs="Times New Roman"/>
      <w:sz w:val="20"/>
      <w:szCs w:val="20"/>
    </w:rPr>
  </w:style>
  <w:style w:type="character" w:styleId="1049" w:customStyle="1">
    <w:name w:val="Текст сноски Знак"/>
    <w:basedOn w:val="869"/>
    <w:link w:val="1048"/>
    <w:uiPriority w:val="99"/>
    <w:semiHidden/>
    <w:rPr>
      <w:rFonts w:ascii="Times New Roman" w:hAnsi="Times New Roman" w:cs="Times New Roman"/>
      <w:sz w:val="20"/>
      <w:szCs w:val="20"/>
    </w:rPr>
  </w:style>
  <w:style w:type="character" w:styleId="1050">
    <w:name w:val="footnote reference"/>
    <w:basedOn w:val="869"/>
    <w:uiPriority w:val="99"/>
    <w:semiHidden/>
    <w:unhideWhenUsed/>
    <w:rPr>
      <w:vertAlign w:val="superscript"/>
    </w:rPr>
  </w:style>
  <w:style w:type="paragraph" w:styleId="1051" w:customStyle="1">
    <w:name w:val="ConsPlusNormal"/>
    <w:next w:val="859"/>
    <w:link w:val="1052"/>
    <w:pPr>
      <w:ind w:firstLine="720"/>
      <w:spacing w:after="0" w:line="240" w:lineRule="auto"/>
      <w:widowControl w:val="off"/>
    </w:pPr>
    <w:rPr>
      <w:rFonts w:ascii="Arial" w:hAnsi="Arial" w:eastAsia="Arial" w:cs="Times New Roman"/>
      <w:sz w:val="20"/>
      <w:szCs w:val="20"/>
    </w:rPr>
  </w:style>
  <w:style w:type="character" w:styleId="1052" w:customStyle="1">
    <w:name w:val="ConsPlusNormal Знак"/>
    <w:link w:val="1051"/>
    <w:rPr>
      <w:rFonts w:ascii="Arial" w:hAnsi="Arial" w:eastAsia="Arial" w:cs="Times New Roman"/>
      <w:sz w:val="20"/>
      <w:szCs w:val="20"/>
    </w:rPr>
  </w:style>
  <w:style w:type="character" w:styleId="1053" w:customStyle="1">
    <w:name w:val="Font Style12"/>
    <w:rPr>
      <w:rFonts w:ascii="Times New Roman" w:hAnsi="Times New Roman" w:cs="Times New Roman"/>
      <w:sz w:val="22"/>
      <w:szCs w:val="22"/>
    </w:rPr>
  </w:style>
  <w:style w:type="paragraph" w:styleId="1054" w:customStyle="1">
    <w:name w:val="Знак Знак9"/>
    <w:basedOn w:val="859"/>
    <w:next w:val="861"/>
    <w:pPr>
      <w:spacing w:after="160" w:line="240" w:lineRule="exact"/>
    </w:pPr>
    <w:rPr>
      <w:rFonts w:ascii="Times New Roman" w:hAnsi="Times New Roman" w:eastAsia="Times New Roman" w:cs="Times New Roman"/>
      <w:sz w:val="24"/>
      <w:szCs w:val="24"/>
      <w:lang w:val="en-US"/>
    </w:rPr>
  </w:style>
  <w:style w:type="paragraph" w:styleId="1055" w:customStyle="1">
    <w:name w:val="Содержимое таблицы"/>
    <w:basedOn w:val="859"/>
    <w:pPr>
      <w:spacing w:after="0" w:line="240" w:lineRule="auto"/>
      <w:widowControl w:val="off"/>
      <w:suppressLineNumbers/>
    </w:pPr>
    <w:rPr>
      <w:rFonts w:ascii="Times New Roman" w:hAnsi="Times New Roman" w:eastAsia="Times New Roman" w:cs="Mangal"/>
      <w:sz w:val="24"/>
      <w:szCs w:val="24"/>
      <w:lang w:eastAsia="hi-IN" w:bidi="hi-IN"/>
    </w:rPr>
  </w:style>
  <w:style w:type="paragraph" w:styleId="1056" w:customStyle="1">
    <w:name w:val="Default"/>
    <w:pPr>
      <w:spacing w:after="0" w:line="240" w:lineRule="auto"/>
    </w:pPr>
    <w:rPr>
      <w:rFonts w:ascii="Times New Roman" w:hAnsi="Times New Roman" w:eastAsia="Times New Roman" w:cs="Times New Roman"/>
      <w:color w:val="000000"/>
      <w:sz w:val="24"/>
      <w:szCs w:val="24"/>
      <w:lang w:eastAsia="ru-RU"/>
    </w:rPr>
  </w:style>
  <w:style w:type="paragraph" w:styleId="1057" w:customStyle="1">
    <w:name w:val="ConsPlusNonformat"/>
    <w:uiPriority w:val="99"/>
    <w:pPr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58">
    <w:name w:val="Body Text Indent"/>
    <w:basedOn w:val="859"/>
    <w:link w:val="1059"/>
    <w:unhideWhenUsed/>
    <w:pPr>
      <w:ind w:left="283"/>
      <w:spacing w:after="120"/>
    </w:pPr>
  </w:style>
  <w:style w:type="character" w:styleId="1059" w:customStyle="1">
    <w:name w:val="Основной текст с отступом Знак"/>
    <w:basedOn w:val="869"/>
    <w:link w:val="1058"/>
  </w:style>
  <w:style w:type="character" w:styleId="1060">
    <w:name w:val="Hyperlink"/>
    <w:uiPriority w:val="99"/>
    <w:rPr>
      <w:strike w:val="0"/>
      <w:color w:val="808080"/>
      <w:u w:val="none"/>
    </w:rPr>
  </w:style>
  <w:style w:type="paragraph" w:styleId="1061">
    <w:name w:val="HTML Bottom of Form"/>
    <w:basedOn w:val="859"/>
    <w:next w:val="859"/>
    <w:link w:val="1062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 w:cs="Arial"/>
      <w:vanish/>
      <w:sz w:val="16"/>
      <w:szCs w:val="16"/>
      <w:lang w:eastAsia="ru-RU"/>
    </w:rPr>
  </w:style>
  <w:style w:type="character" w:styleId="1062" w:customStyle="1">
    <w:name w:val="z-Конец формы Знак"/>
    <w:basedOn w:val="869"/>
    <w:link w:val="1061"/>
    <w:rPr>
      <w:rFonts w:ascii="Arial" w:hAnsi="Arial" w:eastAsia="Times New Roman" w:cs="Arial"/>
      <w:vanish/>
      <w:sz w:val="16"/>
      <w:szCs w:val="16"/>
      <w:lang w:eastAsia="ru-RU"/>
    </w:rPr>
  </w:style>
  <w:style w:type="paragraph" w:styleId="1063" w:customStyle="1">
    <w:name w:val="Обычный (веб)18"/>
    <w:basedOn w:val="859"/>
    <w:pPr>
      <w:jc w:val="both"/>
      <w:spacing w:after="0" w:line="240" w:lineRule="auto"/>
    </w:pPr>
    <w:rPr>
      <w:rFonts w:ascii="Times New Roman" w:hAnsi="Times New Roman" w:eastAsia="Times New Roman" w:cs="Times New Roman"/>
      <w:bCs/>
      <w:color w:val="000000"/>
      <w:sz w:val="28"/>
      <w:szCs w:val="28"/>
      <w:lang w:eastAsia="ar-SA"/>
    </w:rPr>
  </w:style>
  <w:style w:type="paragraph" w:styleId="1064" w:customStyle="1">
    <w:name w:val="ConsPlusCell"/>
    <w:uiPriority w:val="99"/>
    <w:pPr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paragraph" w:styleId="1065" w:customStyle="1">
    <w:name w:val="Стиль0"/>
    <w:pPr>
      <w:jc w:val="both"/>
      <w:spacing w:after="0" w:line="240" w:lineRule="auto"/>
    </w:pPr>
    <w:rPr>
      <w:rFonts w:ascii="Arial" w:hAnsi="Arial" w:eastAsia="Times New Roman" w:cs="Times New Roman"/>
      <w:szCs w:val="20"/>
      <w:lang w:eastAsia="ru-RU"/>
    </w:rPr>
  </w:style>
  <w:style w:type="paragraph" w:styleId="1066">
    <w:name w:val="Header"/>
    <w:basedOn w:val="859"/>
    <w:link w:val="1067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Calibri" w:cs="Times New Roman"/>
      <w:sz w:val="24"/>
      <w:szCs w:val="24"/>
      <w:lang w:eastAsia="ru-RU"/>
    </w:rPr>
  </w:style>
  <w:style w:type="character" w:styleId="1067" w:customStyle="1">
    <w:name w:val="Верхний колонтитул Знак"/>
    <w:basedOn w:val="869"/>
    <w:link w:val="1066"/>
    <w:uiPriority w:val="99"/>
    <w:rPr>
      <w:rFonts w:ascii="Times New Roman" w:hAnsi="Times New Roman" w:eastAsia="Calibri" w:cs="Times New Roman"/>
      <w:sz w:val="24"/>
      <w:szCs w:val="24"/>
      <w:lang w:eastAsia="ru-RU"/>
    </w:rPr>
  </w:style>
  <w:style w:type="paragraph" w:styleId="1068">
    <w:name w:val="Balloon Text"/>
    <w:basedOn w:val="859"/>
    <w:link w:val="1069"/>
    <w:uiPriority w:val="99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1069" w:customStyle="1">
    <w:name w:val="Текст выноски Знак"/>
    <w:basedOn w:val="869"/>
    <w:link w:val="1068"/>
    <w:uiPriority w:val="99"/>
    <w:rPr>
      <w:rFonts w:ascii="Tahoma" w:hAnsi="Tahoma" w:eastAsia="Times New Roman" w:cs="Tahoma"/>
      <w:sz w:val="16"/>
      <w:szCs w:val="16"/>
      <w:lang w:eastAsia="ru-RU"/>
    </w:rPr>
  </w:style>
  <w:style w:type="paragraph" w:styleId="1070" w:customStyle="1">
    <w:name w:val="1"/>
    <w:basedOn w:val="85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71">
    <w:name w:val="Footer"/>
    <w:basedOn w:val="859"/>
    <w:link w:val="1072"/>
    <w:unhideWhenUsed/>
    <w:pPr>
      <w:spacing w:after="0" w:line="240" w:lineRule="auto"/>
      <w:tabs>
        <w:tab w:val="center" w:pos="4677" w:leader="none"/>
        <w:tab w:val="right" w:pos="9355" w:leader="none"/>
      </w:tabs>
    </w:pPr>
    <w:rPr>
      <w:rFonts w:ascii="Calibri" w:hAnsi="Calibri" w:eastAsia="Calibri" w:cs="Times New Roman"/>
    </w:rPr>
  </w:style>
  <w:style w:type="character" w:styleId="1072" w:customStyle="1">
    <w:name w:val="Нижний колонтитул Знак"/>
    <w:basedOn w:val="869"/>
    <w:link w:val="1071"/>
    <w:rPr>
      <w:rFonts w:ascii="Calibri" w:hAnsi="Calibri" w:eastAsia="Calibri" w:cs="Times New Roman"/>
    </w:rPr>
  </w:style>
  <w:style w:type="character" w:styleId="1073" w:customStyle="1">
    <w:name w:val="Font Style13"/>
    <w:uiPriority w:val="99"/>
    <w:rPr>
      <w:rFonts w:ascii="Times New Roman" w:hAnsi="Times New Roman"/>
      <w:sz w:val="24"/>
    </w:rPr>
  </w:style>
  <w:style w:type="paragraph" w:styleId="1074" w:customStyle="1">
    <w:name w:val="Style4"/>
    <w:basedOn w:val="859"/>
    <w:uiPriority w:val="99"/>
    <w:pPr>
      <w:jc w:val="center"/>
      <w:spacing w:after="0" w:line="324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75" w:customStyle="1">
    <w:name w:val="Style7"/>
    <w:basedOn w:val="859"/>
    <w:uiPriority w:val="99"/>
    <w:pPr>
      <w:ind w:firstLine="701"/>
      <w:jc w:val="both"/>
      <w:spacing w:after="0" w:line="322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076" w:customStyle="1">
    <w:name w:val="Знак"/>
    <w:basedOn w:val="859"/>
    <w:uiPriority w:val="9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77">
    <w:name w:val="Body Text Indent 3"/>
    <w:basedOn w:val="859"/>
    <w:link w:val="1078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1078" w:customStyle="1">
    <w:name w:val="Основной текст с отступом 3 Знак"/>
    <w:basedOn w:val="869"/>
    <w:link w:val="1077"/>
    <w:uiPriority w:val="99"/>
    <w:semiHidden/>
    <w:rPr>
      <w:sz w:val="16"/>
      <w:szCs w:val="16"/>
    </w:rPr>
  </w:style>
  <w:style w:type="paragraph" w:styleId="1079" w:customStyle="1">
    <w:name w:val="Знак Знак2"/>
    <w:basedOn w:val="85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080" w:customStyle="1">
    <w:name w:val="Обычный1"/>
    <w:pPr>
      <w:spacing w:after="0" w:line="240" w:lineRule="auto"/>
    </w:pPr>
    <w:rPr>
      <w:rFonts w:ascii="Times New Roman" w:hAnsi="Times New Roman" w:eastAsia="Times New Roman" w:cs="Times New Roman"/>
      <w:sz w:val="24"/>
      <w:szCs w:val="20"/>
      <w:lang w:eastAsia="ru-RU"/>
    </w:rPr>
  </w:style>
  <w:style w:type="paragraph" w:styleId="1081" w:customStyle="1">
    <w:name w:val="ConsNonformat"/>
    <w:uiPriority w:val="99"/>
    <w:pPr>
      <w:ind w:right="19772"/>
      <w:spacing w:after="0" w:line="240" w:lineRule="auto"/>
      <w:widowControl w:val="off"/>
    </w:pPr>
    <w:rPr>
      <w:rFonts w:ascii="Courier New" w:hAnsi="Courier New" w:eastAsia="Times New Roman" w:cs="Courier New"/>
      <w:sz w:val="20"/>
      <w:szCs w:val="20"/>
      <w:lang w:eastAsia="ru-RU"/>
    </w:rPr>
  </w:style>
  <w:style w:type="paragraph" w:styleId="1082" w:customStyle="1">
    <w:name w:val="ConsNormal"/>
    <w:pPr>
      <w:ind w:right="19772" w:firstLine="720"/>
      <w:spacing w:after="0" w:line="240" w:lineRule="auto"/>
      <w:widowControl w:val="off"/>
    </w:pPr>
    <w:rPr>
      <w:rFonts w:ascii="Arial" w:hAnsi="Arial" w:eastAsia="Times New Roman" w:cs="Arial"/>
      <w:sz w:val="20"/>
      <w:szCs w:val="20"/>
      <w:lang w:eastAsia="ru-RU"/>
    </w:rPr>
  </w:style>
  <w:style w:type="character" w:styleId="108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table" w:styleId="1084" w:customStyle="1">
    <w:name w:val="Сетка таблицы1"/>
    <w:basedOn w:val="870"/>
    <w:next w:val="1047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1085">
    <w:name w:val="Message Header"/>
    <w:basedOn w:val="1043"/>
    <w:link w:val="1086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1086" w:customStyle="1">
    <w:name w:val="Шапка Знак"/>
    <w:basedOn w:val="869"/>
    <w:link w:val="1085"/>
    <w:rPr>
      <w:rFonts w:ascii="Garamond" w:hAnsi="Garamond" w:eastAsia="Times New Roman" w:cs="Times New Roman"/>
      <w:caps/>
      <w:sz w:val="18"/>
      <w:szCs w:val="20"/>
    </w:rPr>
  </w:style>
  <w:style w:type="paragraph" w:styleId="1087" w:customStyle="1">
    <w:name w:val="Абзац списка1"/>
    <w:basedOn w:val="859"/>
    <w:link w:val="1088"/>
    <w:pPr>
      <w:ind w:left="720"/>
    </w:pPr>
    <w:rPr>
      <w:rFonts w:ascii="Calibri" w:hAnsi="Calibri" w:eastAsia="Times New Roman" w:cs="Calibri"/>
    </w:rPr>
  </w:style>
  <w:style w:type="character" w:styleId="1088" w:customStyle="1">
    <w:name w:val="List Paragraph Char"/>
    <w:link w:val="1087"/>
    <w:rPr>
      <w:rFonts w:ascii="Calibri" w:hAnsi="Calibri" w:eastAsia="Times New Roman" w:cs="Calibri"/>
    </w:rPr>
  </w:style>
  <w:style w:type="paragraph" w:styleId="1089">
    <w:name w:val="Body Text 2"/>
    <w:basedOn w:val="859"/>
    <w:link w:val="1090"/>
    <w:uiPriority w:val="99"/>
    <w:unhideWhenUsed/>
    <w:pPr>
      <w:spacing w:after="120" w:line="480" w:lineRule="auto"/>
    </w:pPr>
  </w:style>
  <w:style w:type="character" w:styleId="1090" w:customStyle="1">
    <w:name w:val="Основной текст 2 Знак"/>
    <w:basedOn w:val="869"/>
    <w:link w:val="1089"/>
    <w:uiPriority w:val="99"/>
  </w:style>
  <w:style w:type="character" w:styleId="1091" w:customStyle="1">
    <w:name w:val="МОН Знак"/>
    <w:link w:val="1092"/>
    <w:rPr>
      <w:sz w:val="24"/>
    </w:rPr>
  </w:style>
  <w:style w:type="paragraph" w:styleId="1092" w:customStyle="1">
    <w:name w:val="МОН"/>
    <w:basedOn w:val="859"/>
    <w:link w:val="1091"/>
    <w:pPr>
      <w:ind w:firstLine="709"/>
      <w:jc w:val="both"/>
      <w:spacing w:after="0" w:line="360" w:lineRule="auto"/>
    </w:pPr>
    <w:rPr>
      <w:sz w:val="24"/>
    </w:rPr>
  </w:style>
  <w:style w:type="paragraph" w:styleId="1093" w:customStyle="1">
    <w:name w:val="Абзац списка2"/>
    <w:basedOn w:val="859"/>
    <w:pPr>
      <w:ind w:left="720"/>
    </w:pPr>
    <w:rPr>
      <w:rFonts w:ascii="Calibri" w:hAnsi="Calibri" w:eastAsia="Times New Roman" w:cs="Calibri"/>
    </w:rPr>
  </w:style>
  <w:style w:type="character" w:styleId="1094" w:customStyle="1">
    <w:name w:val="c1 c14 c9"/>
  </w:style>
  <w:style w:type="character" w:styleId="1095" w:customStyle="1">
    <w:name w:val="c2 c1"/>
    <w:uiPriority w:val="99"/>
    <w:rPr>
      <w:rFonts w:cs="Times New Roman"/>
    </w:rPr>
  </w:style>
  <w:style w:type="character" w:styleId="1096" w:customStyle="1">
    <w:name w:val="c0"/>
  </w:style>
  <w:style w:type="paragraph" w:styleId="1097" w:customStyle="1">
    <w:name w:val="c5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098" w:customStyle="1">
    <w:name w:val="c2"/>
  </w:style>
  <w:style w:type="paragraph" w:styleId="1099" w:customStyle="1">
    <w:name w:val="Абзац списка3"/>
    <w:basedOn w:val="859"/>
    <w:pPr>
      <w:ind w:left="720"/>
    </w:pPr>
    <w:rPr>
      <w:rFonts w:ascii="Calibri" w:hAnsi="Calibri" w:eastAsia="Calibri" w:cs="Calibri"/>
    </w:rPr>
  </w:style>
  <w:style w:type="paragraph" w:styleId="1100" w:customStyle="1">
    <w:name w:val="Знак Знак21"/>
    <w:basedOn w:val="85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101" w:customStyle="1">
    <w:name w:val="consnormal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1102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character" w:styleId="1103">
    <w:name w:val="Emphasis"/>
    <w:basedOn w:val="869"/>
    <w:qFormat/>
    <w:rPr>
      <w:i/>
      <w:iCs/>
    </w:rPr>
  </w:style>
  <w:style w:type="paragraph" w:styleId="1104">
    <w:name w:val="Title"/>
    <w:basedOn w:val="859"/>
    <w:next w:val="859"/>
    <w:link w:val="1105"/>
    <w:uiPriority w:val="99"/>
    <w:qFormat/>
    <w:pPr>
      <w:spacing w:after="300" w:line="240" w:lineRule="auto"/>
      <w:pBdr>
        <w:bottom w:val="single" w:color="4F81BD" w:sz="8" w:space="4"/>
      </w:pBdr>
    </w:pPr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1105" w:customStyle="1">
    <w:name w:val="Заголовок Знак"/>
    <w:basedOn w:val="869"/>
    <w:link w:val="1104"/>
    <w:uiPriority w:val="99"/>
    <w:rPr>
      <w:rFonts w:ascii="Cambria" w:hAnsi="Cambria" w:eastAsia="Times New Roman" w:cs="Cambria"/>
      <w:color w:val="17365d"/>
      <w:spacing w:val="5"/>
      <w:sz w:val="52"/>
      <w:szCs w:val="52"/>
      <w:lang w:eastAsia="ru-RU"/>
    </w:rPr>
  </w:style>
  <w:style w:type="character" w:styleId="1106" w:customStyle="1">
    <w:name w:val="Заголовок 1 Знак"/>
    <w:basedOn w:val="869"/>
    <w:link w:val="860"/>
    <w:uiPriority w:val="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1107" w:customStyle="1">
    <w:name w:val="Основной текст (2)_"/>
    <w:link w:val="1108"/>
    <w:rPr>
      <w:shd w:val="clear" w:color="auto" w:fill="ffffff"/>
    </w:rPr>
  </w:style>
  <w:style w:type="paragraph" w:styleId="1108" w:customStyle="1">
    <w:name w:val="Основной текст (2)1"/>
    <w:basedOn w:val="859"/>
    <w:link w:val="1107"/>
    <w:pPr>
      <w:jc w:val="center"/>
      <w:spacing w:after="0" w:line="240" w:lineRule="atLeast"/>
      <w:shd w:val="clear" w:color="auto" w:fill="ffffff"/>
      <w:widowControl w:val="off"/>
    </w:pPr>
  </w:style>
  <w:style w:type="character" w:styleId="1109" w:customStyle="1">
    <w:name w:val="Основной текст (2) + 10"/>
    <w:rPr>
      <w:sz w:val="21"/>
      <w:szCs w:val="21"/>
      <w:lang w:bidi="ar-SA"/>
    </w:rPr>
  </w:style>
  <w:style w:type="character" w:styleId="1110" w:customStyle="1">
    <w:name w:val="Основной текст (2)"/>
    <w:rPr>
      <w:sz w:val="22"/>
      <w:szCs w:val="22"/>
      <w:u w:val="single"/>
      <w:lang w:bidi="ar-SA"/>
    </w:rPr>
  </w:style>
  <w:style w:type="character" w:styleId="1111" w:customStyle="1">
    <w:name w:val="Основной текст (2)7"/>
    <w:basedOn w:val="1107"/>
    <w:rPr>
      <w:sz w:val="22"/>
      <w:szCs w:val="22"/>
      <w:shd w:val="clear" w:color="auto" w:fill="ffffff"/>
      <w:lang w:bidi="ar-SA"/>
    </w:rPr>
  </w:style>
  <w:style w:type="paragraph" w:styleId="1112" w:customStyle="1">
    <w:name w:val="style4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13" w:customStyle="1">
    <w:name w:val="style33"/>
    <w:basedOn w:val="85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14" w:customStyle="1">
    <w:name w:val="Style33"/>
    <w:basedOn w:val="859"/>
    <w:pPr>
      <w:ind w:firstLine="240"/>
      <w:jc w:val="both"/>
      <w:spacing w:after="0" w:line="278" w:lineRule="exact"/>
      <w:widowControl w:val="off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1115" w:customStyle="1">
    <w:name w:val="Знак Знак1 Знак Знак Знак Знак Знак Знак"/>
    <w:basedOn w:val="859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1116">
    <w:name w:val="HTML Preformatted"/>
    <w:basedOn w:val="859"/>
    <w:link w:val="1117"/>
    <w:pPr>
      <w:spacing w:after="0" w:line="240" w:lineRule="auto"/>
      <w:widowControl w:val="off"/>
      <w:tabs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eastAsia="Calibri" w:cs="Courier New"/>
      <w:sz w:val="24"/>
      <w:szCs w:val="24"/>
      <w:lang w:eastAsia="ar-SA"/>
    </w:rPr>
  </w:style>
  <w:style w:type="character" w:styleId="1117" w:customStyle="1">
    <w:name w:val="Стандартный HTML Знак"/>
    <w:basedOn w:val="869"/>
    <w:link w:val="1116"/>
    <w:rPr>
      <w:rFonts w:ascii="Courier New" w:hAnsi="Courier New" w:eastAsia="Calibri" w:cs="Courier New"/>
      <w:sz w:val="24"/>
      <w:szCs w:val="24"/>
      <w:lang w:eastAsia="ar-SA"/>
    </w:rPr>
  </w:style>
  <w:style w:type="character" w:styleId="1118" w:customStyle="1">
    <w:name w:val="c4"/>
  </w:style>
  <w:style w:type="character" w:styleId="1119" w:customStyle="1">
    <w:name w:val="Абзац списка Знак"/>
    <w:link w:val="1033"/>
    <w:uiPriority w:val="34"/>
  </w:style>
  <w:style w:type="paragraph" w:styleId="1120" w:customStyle="1">
    <w:name w:val="Знак Знак Знак"/>
    <w:basedOn w:val="859"/>
    <w:pPr>
      <w:spacing w:after="0" w:line="240" w:lineRule="auto"/>
    </w:pPr>
    <w:rPr>
      <w:rFonts w:ascii="Verdana" w:hAnsi="Verdana" w:eastAsia="Times New Roman" w:cs="Verdana"/>
      <w:sz w:val="20"/>
      <w:szCs w:val="20"/>
      <w:lang w:val="en-US"/>
    </w:rPr>
  </w:style>
  <w:style w:type="table" w:styleId="1121" w:customStyle="1">
    <w:name w:val="Сетка таблицы2"/>
    <w:basedOn w:val="870"/>
    <w:next w:val="104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1122" w:customStyle="1">
    <w:name w:val="Сетка таблицы3"/>
    <w:basedOn w:val="870"/>
    <w:next w:val="1047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1123" w:customStyle="1">
    <w:name w:val="Заголовок 5 Знак"/>
    <w:basedOn w:val="869"/>
    <w:link w:val="864"/>
    <w:uiPriority w:val="9"/>
    <w:semiHidden/>
    <w:rPr>
      <w:rFonts w:asciiTheme="majorHAnsi" w:hAnsiTheme="majorHAnsi" w:eastAsiaTheme="majorEastAsia" w:cstheme="majorBidi"/>
      <w:color w:val="243f60" w:themeColor="accent1" w:themeShade="7F"/>
    </w:rPr>
  </w:style>
  <w:style w:type="character" w:styleId="1124" w:customStyle="1">
    <w:name w:val="highlightcolor"/>
    <w:basedOn w:val="869"/>
  </w:style>
  <w:style w:type="numbering" w:styleId="1125" w:customStyle="1">
    <w:name w:val="Нет списка1"/>
    <w:next w:val="871"/>
    <w:uiPriority w:val="99"/>
    <w:semiHidden/>
    <w:unhideWhenUsed/>
  </w:style>
  <w:style w:type="numbering" w:styleId="1126" w:customStyle="1">
    <w:name w:val="Нет списка2"/>
    <w:next w:val="871"/>
    <w:uiPriority w:val="99"/>
    <w:semiHidden/>
    <w:unhideWhenUsed/>
  </w:style>
  <w:style w:type="numbering" w:styleId="1127" w:customStyle="1">
    <w:name w:val="Нет списка3"/>
    <w:next w:val="871"/>
    <w:uiPriority w:val="99"/>
    <w:semiHidden/>
    <w:unhideWhenUsed/>
  </w:style>
  <w:style w:type="numbering" w:styleId="1128" w:customStyle="1">
    <w:name w:val="Нет списка4"/>
    <w:next w:val="871"/>
    <w:uiPriority w:val="99"/>
    <w:semiHidden/>
    <w:unhideWhenUsed/>
  </w:style>
  <w:style w:type="numbering" w:styleId="1129" w:customStyle="1">
    <w:name w:val="Нет списка5"/>
    <w:next w:val="871"/>
    <w:uiPriority w:val="99"/>
    <w:semiHidden/>
    <w:unhideWhenUsed/>
  </w:style>
  <w:style w:type="numbering" w:styleId="1130" w:customStyle="1">
    <w:name w:val="Нет списка6"/>
    <w:next w:val="871"/>
    <w:uiPriority w:val="99"/>
    <w:semiHidden/>
    <w:unhideWhenUsed/>
  </w:style>
  <w:style w:type="numbering" w:styleId="1131" w:customStyle="1">
    <w:name w:val="Нет списка7"/>
    <w:next w:val="871"/>
    <w:uiPriority w:val="99"/>
    <w:semiHidden/>
    <w:unhideWhenUsed/>
  </w:style>
  <w:style w:type="numbering" w:styleId="1132" w:customStyle="1">
    <w:name w:val="Нет списка8"/>
    <w:next w:val="871"/>
    <w:uiPriority w:val="99"/>
    <w:semiHidden/>
    <w:unhideWhenUsed/>
  </w:style>
  <w:style w:type="numbering" w:styleId="1133" w:customStyle="1">
    <w:name w:val="Нет списка9"/>
    <w:next w:val="871"/>
    <w:uiPriority w:val="99"/>
    <w:semiHidden/>
    <w:unhideWhenUsed/>
  </w:style>
  <w:style w:type="numbering" w:styleId="1134" w:customStyle="1">
    <w:name w:val="Нет списка10"/>
    <w:next w:val="871"/>
    <w:uiPriority w:val="99"/>
    <w:semiHidden/>
    <w:unhideWhenUsed/>
  </w:style>
  <w:style w:type="numbering" w:styleId="1135" w:customStyle="1">
    <w:name w:val="Нет списка11"/>
    <w:next w:val="871"/>
    <w:uiPriority w:val="99"/>
    <w:semiHidden/>
    <w:unhideWhenUsed/>
  </w:style>
  <w:style w:type="numbering" w:styleId="1136" w:customStyle="1">
    <w:name w:val="Нет списка12"/>
    <w:next w:val="871"/>
    <w:uiPriority w:val="99"/>
    <w:semiHidden/>
    <w:unhideWhenUsed/>
  </w:style>
  <w:style w:type="numbering" w:styleId="1137" w:customStyle="1">
    <w:name w:val="Нет списка13"/>
    <w:next w:val="871"/>
    <w:uiPriority w:val="99"/>
    <w:semiHidden/>
    <w:unhideWhenUsed/>
  </w:style>
  <w:style w:type="paragraph" w:styleId="1138">
    <w:name w:val="Subtitle"/>
    <w:basedOn w:val="859"/>
    <w:next w:val="859"/>
    <w:link w:val="1139"/>
    <w:uiPriority w:val="11"/>
    <w:qFormat/>
    <w:pPr>
      <w:numPr>
        <w:ilvl w:val="1"/>
      </w:numPr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1139" w:customStyle="1">
    <w:name w:val="Подзаголовок Знак"/>
    <w:basedOn w:val="869"/>
    <w:link w:val="1138"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numbering" w:styleId="1140" w:customStyle="1">
    <w:name w:val="Нет списка14"/>
    <w:next w:val="871"/>
    <w:uiPriority w:val="99"/>
    <w:semiHidden/>
    <w:unhideWhenUsed/>
  </w:style>
  <w:style w:type="numbering" w:styleId="1141" w:customStyle="1">
    <w:name w:val="Нет списка15"/>
    <w:next w:val="871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s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239D1-40C2-47D7-9337-C9B17F460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490</cp:revision>
  <dcterms:created xsi:type="dcterms:W3CDTF">2022-04-07T07:10:00Z</dcterms:created>
  <dcterms:modified xsi:type="dcterms:W3CDTF">2025-04-30T06:53:56Z</dcterms:modified>
</cp:coreProperties>
</file>