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w:t>
      </w:r>
      <w:r>
        <w:rPr>
          <w:b/>
          <w:szCs w:val="20"/>
        </w:rPr>
        <w:t xml:space="preserve"> 06.05.2025</w:t>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759</w:t>
      </w:r>
      <w:r>
        <w:rPr>
          <w:b/>
          <w:szCs w:val="20"/>
        </w:rPr>
      </w:r>
      <w:r>
        <w:rPr>
          <w:b/>
          <w:szCs w:val="20"/>
        </w:rPr>
      </w:r>
    </w:p>
    <w:p>
      <w:pPr>
        <w:jc w:val="center"/>
        <w:rPr>
          <w:b/>
          <w:color w:val="000000"/>
          <w:szCs w:val="20"/>
        </w:rPr>
      </w:pPr>
      <w:r>
        <w:rPr>
          <w:b/>
          <w:color w:val="000000"/>
          <w:szCs w:val="20"/>
        </w:rPr>
        <w:t xml:space="preserve">п.г.т. Никель</w:t>
      </w:r>
      <w:r>
        <w:rPr>
          <w:b/>
          <w:color w:val="000000"/>
          <w:szCs w:val="20"/>
        </w:rPr>
      </w:r>
      <w:r>
        <w:rPr>
          <w:b/>
          <w:color w:val="000000"/>
          <w:szCs w:val="20"/>
        </w:rPr>
      </w:r>
    </w:p>
    <w:p>
      <w:pPr>
        <w:jc w:val="center"/>
        <w:rPr>
          <w:b/>
          <w:bCs/>
          <w:color w:val="000000"/>
          <w:sz w:val="28"/>
          <w:szCs w:val="28"/>
        </w:rPr>
      </w:pPr>
      <w:r>
        <w:rPr>
          <w:b/>
          <w:color w:val="000000"/>
          <w:sz w:val="28"/>
          <w:szCs w:val="20"/>
        </w:rPr>
      </w:r>
      <w:r>
        <w:rPr>
          <w:b/>
          <w:color w:val="000000"/>
          <w:sz w:val="28"/>
          <w:szCs w:val="20"/>
        </w:rPr>
      </w:r>
      <w:r>
        <w:rPr>
          <w:b/>
          <w:bCs/>
          <w:color w:val="000000"/>
          <w:sz w:val="28"/>
          <w:szCs w:val="28"/>
        </w:rPr>
      </w:r>
    </w:p>
    <w:p>
      <w:pPr>
        <w:jc w:val="center"/>
        <w:rPr>
          <w:b/>
          <w:bCs/>
          <w:color w:val="000000"/>
          <w:sz w:val="28"/>
          <w:szCs w:val="28"/>
        </w:rPr>
      </w:pPr>
      <w:r>
        <w:rPr>
          <w:b/>
          <w:color w:val="000000"/>
          <w:sz w:val="28"/>
          <w:szCs w:val="20"/>
        </w:rPr>
      </w:r>
      <w:r>
        <w:rPr>
          <w:b/>
          <w:bCs/>
          <w:color w:val="000000"/>
          <w:sz w:val="28"/>
          <w:szCs w:val="28"/>
        </w:rPr>
      </w:r>
      <w:r>
        <w:rPr>
          <w:b/>
          <w:bCs/>
          <w:color w:val="000000"/>
          <w:sz w:val="28"/>
          <w:szCs w:val="28"/>
        </w:rPr>
      </w:r>
    </w:p>
    <w:p>
      <w:pPr>
        <w:ind w:right="99"/>
        <w:jc w:val="center"/>
        <w:keepNext/>
        <w:widowControl/>
        <w:tabs>
          <w:tab w:val="left" w:pos="9720" w:leader="none"/>
        </w:tabs>
        <w:rPr>
          <w:b/>
          <w:bCs/>
          <w:sz w:val="20"/>
          <w:szCs w:val="20"/>
        </w:rPr>
        <w:outlineLvl w:val="0"/>
      </w:pPr>
      <w:r>
        <w:rPr>
          <w:rFonts w:eastAsiaTheme="minorEastAsia"/>
          <w:b/>
          <w:sz w:val="20"/>
          <w:szCs w:val="20"/>
        </w:rPr>
        <w:t xml:space="preserve">О создании комиссии по рассмотрению заявлений на представление к присвоению</w:t>
      </w:r>
      <w:r>
        <w:rPr>
          <w:rFonts w:eastAsiaTheme="minorEastAsia"/>
          <w:b/>
          <w:sz w:val="20"/>
          <w:szCs w:val="20"/>
        </w:rPr>
        <w:t xml:space="preserve"> звания </w:t>
        <w:br/>
        <w:t xml:space="preserve">«Мать - героиня», о пред</w:t>
      </w:r>
      <w:r>
        <w:rPr>
          <w:rFonts w:eastAsiaTheme="minorEastAsia"/>
          <w:b/>
          <w:sz w:val="20"/>
          <w:szCs w:val="20"/>
        </w:rPr>
        <w:t xml:space="preserve">ставлении к награждению орденом «Родительская слава» </w:t>
        <w:br/>
        <w:t xml:space="preserve">или медалью ордена «Родительская слава» </w:t>
      </w:r>
      <w:r>
        <w:rPr>
          <w:b/>
          <w:bCs/>
          <w:sz w:val="20"/>
          <w:szCs w:val="20"/>
        </w:rPr>
      </w:r>
      <w:r>
        <w:rPr>
          <w:b/>
          <w:bCs/>
          <w:sz w:val="20"/>
          <w:szCs w:val="20"/>
        </w:rPr>
      </w:r>
    </w:p>
    <w:p>
      <w:pPr>
        <w:ind w:right="99"/>
        <w:jc w:val="center"/>
        <w:keepNext/>
        <w:widowControl/>
        <w:tabs>
          <w:tab w:val="left" w:pos="9720" w:leader="none"/>
        </w:tabs>
        <w:rPr>
          <w:b/>
          <w:bCs/>
          <w:sz w:val="20"/>
          <w:szCs w:val="20"/>
        </w:rPr>
        <w:outlineLvl w:val="0"/>
      </w:pPr>
      <w:r>
        <w:rPr>
          <w:b/>
          <w:bCs/>
          <w:sz w:val="20"/>
          <w:szCs w:val="20"/>
        </w:rPr>
      </w:r>
      <w:r>
        <w:rPr>
          <w:b/>
          <w:bCs/>
          <w:sz w:val="20"/>
          <w:szCs w:val="20"/>
        </w:rPr>
      </w:r>
      <w:r>
        <w:rPr>
          <w:b/>
          <w:bCs/>
          <w:sz w:val="20"/>
          <w:szCs w:val="20"/>
        </w:rPr>
      </w:r>
    </w:p>
    <w:p>
      <w:pPr>
        <w:ind w:right="99"/>
        <w:jc w:val="center"/>
        <w:keepNext/>
        <w:widowControl/>
        <w:tabs>
          <w:tab w:val="left" w:pos="9720" w:leader="none"/>
        </w:tabs>
        <w:rPr>
          <w:b/>
          <w:bCs/>
          <w:sz w:val="20"/>
          <w:szCs w:val="20"/>
        </w:rPr>
        <w:outlineLvl w:val="0"/>
      </w:pPr>
      <w:r>
        <w:rPr>
          <w:b/>
          <w:bCs/>
          <w:sz w:val="20"/>
          <w:szCs w:val="20"/>
        </w:rPr>
      </w:r>
      <w:r>
        <w:rPr>
          <w:b/>
          <w:bCs/>
          <w:sz w:val="20"/>
          <w:szCs w:val="20"/>
        </w:rPr>
      </w:r>
      <w:r>
        <w:rPr>
          <w:b/>
          <w:bCs/>
          <w:sz w:val="20"/>
          <w:szCs w:val="20"/>
        </w:rPr>
      </w:r>
    </w:p>
    <w:p>
      <w:pPr>
        <w:ind w:firstLine="709"/>
        <w:jc w:val="both"/>
        <w:widowControl/>
        <w:tabs>
          <w:tab w:val="left" w:pos="700" w:leader="none"/>
        </w:tabs>
      </w:pPr>
      <w:r>
        <w:t xml:space="preserve">Руководствуясь пунктом 15 части 9 статьи 23 Устава Печенгского </w:t>
      </w:r>
      <w:r>
        <w:t xml:space="preserve">муниципального округа, р</w:t>
      </w:r>
      <w:r>
        <w:t xml:space="preserve">ешением Совета депутатов Печенгского муниципального округа от 21.02.202</w:t>
      </w:r>
      <w:r>
        <w:t xml:space="preserve">5</w:t>
        <w:br/>
        <w:t xml:space="preserve"> № 531 «О реализации подпункта «в» пункта 17.1 Положения о государственных наградах Российской Федерации, утвержденного Указом Президента Российской Федерации </w:t>
        <w:br/>
        <w:t xml:space="preserve">от 07.09.2010 № 1099 «О мерах по совершенствованию государственной наградно</w:t>
      </w:r>
      <w:r>
        <w:t xml:space="preserve">й системы Российской Федерации»</w:t>
      </w:r>
      <w:r>
        <w:t xml:space="preserve">»,</w:t>
      </w:r>
      <w:r/>
    </w:p>
    <w:p>
      <w:pPr>
        <w:ind w:firstLine="709"/>
        <w:jc w:val="both"/>
        <w:widowControl/>
        <w:tabs>
          <w:tab w:val="left" w:pos="700" w:leader="none"/>
        </w:tabs>
      </w:pPr>
      <w:r/>
      <w:r/>
    </w:p>
    <w:p>
      <w:pPr>
        <w:jc w:val="both"/>
        <w:widowControl/>
        <w:tabs>
          <w:tab w:val="left" w:pos="700" w:leader="none"/>
        </w:tabs>
        <w:rPr>
          <w:b/>
        </w:rPr>
      </w:pPr>
      <w:r>
        <w:rPr>
          <w:b/>
        </w:rPr>
        <w:t xml:space="preserve">ПОСТАНОВЛЯЮ:</w:t>
      </w:r>
      <w:r>
        <w:rPr>
          <w:b/>
        </w:rPr>
      </w:r>
      <w:r>
        <w:rPr>
          <w:b/>
        </w:rPr>
      </w:r>
    </w:p>
    <w:p>
      <w:pPr>
        <w:ind w:firstLine="709"/>
        <w:jc w:val="both"/>
        <w:widowControl/>
        <w:tabs>
          <w:tab w:val="left" w:pos="700" w:leader="none"/>
        </w:tabs>
        <w:rPr>
          <w:b/>
        </w:rPr>
      </w:pPr>
      <w:r>
        <w:rPr>
          <w:b/>
        </w:rPr>
      </w:r>
      <w:r>
        <w:rPr>
          <w:b/>
        </w:rPr>
      </w:r>
      <w:r>
        <w:rPr>
          <w:b/>
        </w:rPr>
      </w:r>
    </w:p>
    <w:p>
      <w:pPr>
        <w:pStyle w:val="970"/>
        <w:numPr>
          <w:ilvl w:val="0"/>
          <w:numId w:val="29"/>
        </w:numPr>
        <w:ind w:left="0" w:right="0" w:firstLine="709"/>
        <w:jc w:val="both"/>
        <w:rPr>
          <w:rFonts w:eastAsiaTheme="minorEastAsia"/>
        </w:rPr>
      </w:pPr>
      <w:r>
        <w:rPr>
          <w:rFonts w:eastAsiaTheme="minorEastAsia"/>
        </w:rPr>
        <w:t xml:space="preserve">Утвердить </w:t>
      </w:r>
      <w:hyperlink w:tooltip="ПОЛОЖЕНИЕ" w:anchor="Par39" w:history="1">
        <w:r>
          <w:rPr>
            <w:rFonts w:eastAsiaTheme="minorEastAsia"/>
          </w:rPr>
          <w:t xml:space="preserve">Положение</w:t>
        </w:r>
      </w:hyperlink>
      <w:r>
        <w:rPr>
          <w:rFonts w:eastAsiaTheme="minorEastAsia"/>
        </w:rPr>
        <w:t xml:space="preserve"> о комиссии</w:t>
      </w:r>
      <w:r>
        <w:rPr>
          <w:sz w:val="28"/>
          <w:szCs w:val="20"/>
        </w:rPr>
        <w:t xml:space="preserve"> </w:t>
      </w:r>
      <w:r>
        <w:rPr>
          <w:rFonts w:eastAsiaTheme="minorEastAsia"/>
        </w:rPr>
        <w:t xml:space="preserve">по рассмотрению заявлений</w:t>
      </w:r>
      <w:r>
        <w:rPr>
          <w:rFonts w:eastAsiaTheme="minorEastAsia"/>
        </w:rPr>
        <w:t xml:space="preserve"> </w:t>
      </w:r>
      <w:r>
        <w:rPr>
          <w:rFonts w:eastAsiaTheme="minorEastAsia"/>
        </w:rPr>
        <w:t xml:space="preserve">на представление  к присвоению звания «Мать - героиня», о представлении к награждению орденом «Родительская слава» или медалью ордена «Родительская слава», согласно приложению № 1</w:t>
      </w:r>
      <w:r>
        <w:rPr>
          <w:rFonts w:eastAsiaTheme="minorEastAsia"/>
        </w:rPr>
        <w:t xml:space="preserve"> к настоящему постановлению</w:t>
      </w:r>
      <w:r>
        <w:rPr>
          <w:rFonts w:eastAsiaTheme="minorEastAsia"/>
        </w:rPr>
        <w:t xml:space="preserve">.</w:t>
      </w:r>
      <w:r>
        <w:rPr>
          <w:rFonts w:eastAsiaTheme="minorEastAsia"/>
        </w:rPr>
      </w:r>
      <w:r>
        <w:rPr>
          <w:rFonts w:eastAsiaTheme="minorEastAsia"/>
        </w:rPr>
      </w:r>
    </w:p>
    <w:p>
      <w:pPr>
        <w:pStyle w:val="970"/>
        <w:numPr>
          <w:ilvl w:val="0"/>
          <w:numId w:val="29"/>
        </w:numPr>
        <w:ind w:left="0" w:right="0" w:firstLine="709"/>
        <w:jc w:val="both"/>
        <w:rPr>
          <w:rFonts w:eastAsiaTheme="minorEastAsia"/>
        </w:rPr>
      </w:pPr>
      <w:r>
        <w:rPr>
          <w:rFonts w:eastAsiaTheme="minorEastAsia"/>
        </w:rPr>
        <w:t xml:space="preserve">Утвердить состав комиссии</w:t>
      </w:r>
      <w:r>
        <w:t xml:space="preserve"> </w:t>
      </w:r>
      <w:r>
        <w:t xml:space="preserve">по рассмотрению </w:t>
      </w:r>
      <w:r>
        <w:rPr>
          <w:rFonts w:eastAsiaTheme="minorEastAsia"/>
        </w:rPr>
        <w:t xml:space="preserve">на представление </w:t>
      </w:r>
      <w:r>
        <w:rPr>
          <w:rFonts w:eastAsiaTheme="minorEastAsia"/>
        </w:rPr>
        <w:t xml:space="preserve">к присвоению звания «Мать - героиня», о представлении к награждению орденом «Родительская слава» или меда</w:t>
      </w:r>
      <w:r>
        <w:rPr>
          <w:rFonts w:eastAsiaTheme="minorEastAsia"/>
        </w:rPr>
        <w:t xml:space="preserve">лью ордена «Родительская слава»</w:t>
      </w:r>
      <w:r>
        <w:rPr>
          <w:rFonts w:eastAsiaTheme="minorEastAsia"/>
        </w:rPr>
        <w:t xml:space="preserve">, согласно приложению № 2</w:t>
      </w:r>
      <w:r>
        <w:rPr>
          <w:rFonts w:eastAsiaTheme="minorEastAsia"/>
        </w:rPr>
        <w:t xml:space="preserve"> к настоящему постановлению</w:t>
      </w:r>
      <w:r>
        <w:rPr>
          <w:rFonts w:eastAsiaTheme="minorEastAsia"/>
        </w:rPr>
        <w:t xml:space="preserve">.</w:t>
      </w:r>
      <w:r>
        <w:rPr>
          <w:rFonts w:eastAsiaTheme="minorEastAsia"/>
        </w:rPr>
      </w:r>
      <w:r>
        <w:rPr>
          <w:rFonts w:eastAsiaTheme="minorEastAsia"/>
        </w:rPr>
      </w:r>
    </w:p>
    <w:p>
      <w:pPr>
        <w:pStyle w:val="970"/>
        <w:numPr>
          <w:ilvl w:val="0"/>
          <w:numId w:val="29"/>
        </w:numPr>
        <w:ind w:left="0" w:right="0" w:firstLine="709"/>
        <w:jc w:val="both"/>
        <w:rPr>
          <w:rFonts w:eastAsiaTheme="minorEastAsia"/>
        </w:rPr>
      </w:pPr>
      <w:r>
        <w:t xml:space="preserve">Настоящее постановление вступает в силу после его подписания и распространяется на правоотношения, возникшие с 21.02.2025.</w:t>
      </w:r>
      <w:r>
        <w:rPr>
          <w:rFonts w:eastAsiaTheme="minorEastAsia"/>
        </w:rPr>
      </w:r>
      <w:r>
        <w:rPr>
          <w:rFonts w:eastAsiaTheme="minorEastAsia"/>
        </w:rPr>
      </w:r>
    </w:p>
    <w:p>
      <w:pPr>
        <w:pStyle w:val="970"/>
        <w:numPr>
          <w:ilvl w:val="0"/>
          <w:numId w:val="29"/>
        </w:numPr>
        <w:ind w:left="0" w:right="0" w:firstLine="709"/>
        <w:jc w:val="both"/>
        <w:widowControl/>
      </w:pPr>
      <w:r>
        <w:t xml:space="preserve">Настоящее постановление опубликовать газете «Печенга» и разместить на официальном сайте Печенгского муниципального округа </w:t>
      </w:r>
      <w:hyperlink r:id="rId11" w:tooltip="http://pechengamr.gov-murman.ru/" w:history="1">
        <w:r>
          <w:t xml:space="preserve">http://pechengamr.gov-murman.ru/</w:t>
        </w:r>
      </w:hyperlink>
      <w:r>
        <w:t xml:space="preserve">.</w:t>
      </w:r>
      <w:r/>
    </w:p>
    <w:p>
      <w:pPr>
        <w:pStyle w:val="970"/>
        <w:numPr>
          <w:ilvl w:val="0"/>
          <w:numId w:val="29"/>
        </w:numPr>
        <w:ind w:left="0" w:right="0" w:firstLine="709"/>
        <w:jc w:val="both"/>
        <w:widowControl/>
        <w:tabs>
          <w:tab w:val="left" w:pos="9923" w:leader="none"/>
        </w:tabs>
      </w:pPr>
      <w:r>
        <w:t xml:space="preserve">Контроль за исполнением настоящего постановления оставляю за собой.</w:t>
      </w:r>
      <w:r/>
    </w:p>
    <w:p>
      <w:pPr>
        <w:ind w:firstLine="709"/>
        <w:jc w:val="both"/>
      </w:pPr>
      <w:r/>
      <w:r/>
    </w:p>
    <w:p>
      <w:pPr>
        <w:jc w:val="both"/>
      </w:pPr>
      <w:r/>
      <w:r/>
    </w:p>
    <w:p>
      <w:pPr>
        <w:jc w:val="both"/>
        <w:widowControl/>
      </w:pPr>
      <w:r>
        <w:t xml:space="preserve">Глава Печенгского муниципального округа </w:t>
      </w:r>
      <w:r>
        <w:tab/>
      </w:r>
      <w:r>
        <w:tab/>
      </w:r>
      <w:r>
        <w:tab/>
        <w:t xml:space="preserve">                                  А.В. 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Рыжкова А.А., 25151</w:t>
      </w:r>
      <w:r>
        <w:rPr>
          <w:sz w:val="20"/>
          <w:szCs w:val="20"/>
        </w:rPr>
      </w:r>
      <w:r>
        <w:rPr>
          <w:sz w:val="20"/>
          <w:szCs w:val="20"/>
          <w:highlight w:val="none"/>
        </w:rPr>
      </w:r>
    </w:p>
    <w:tbl>
      <w:tblPr>
        <w:tblStyle w:val="989"/>
        <w:tblW w:w="9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pPr>
              <w:jc w:val="center"/>
              <w:widowControl/>
              <w:rPr>
                <w:b/>
                <w:sz w:val="28"/>
                <w:szCs w:val="20"/>
              </w:rPr>
            </w:pPr>
            <w:r>
              <w:rPr>
                <w:b/>
                <w:sz w:val="28"/>
                <w:szCs w:val="20"/>
              </w:rPr>
            </w:r>
            <w:r>
              <w:rPr>
                <w:b/>
                <w:sz w:val="28"/>
                <w:szCs w:val="20"/>
              </w:rPr>
            </w:r>
            <w:r>
              <w:rPr>
                <w:b/>
                <w:sz w:val="28"/>
                <w:szCs w:val="20"/>
              </w:rPr>
            </w:r>
          </w:p>
        </w:tc>
        <w:tc>
          <w:tcPr>
            <w:tcW w:w="2258" w:type="dxa"/>
            <w:textDirection w:val="lrTb"/>
            <w:noWrap w:val="false"/>
          </w:tcPr>
          <w:p>
            <w:pP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tc>
        <w:tc>
          <w:tcPr>
            <w:tcW w:w="4066" w:type="dxa"/>
            <w:textDirection w:val="lrTb"/>
            <w:noWrap w:val="false"/>
          </w:tcPr>
          <w:p>
            <w:pPr>
              <w:widowControl/>
            </w:pPr>
            <w:r>
              <w:t xml:space="preserve">Приложение № 1</w:t>
            </w:r>
            <w:r/>
          </w:p>
          <w:p>
            <w:pPr>
              <w:widowControl/>
            </w:pPr>
            <w:r>
              <w:t xml:space="preserve">к постановлению администрации Печенгского муниципального округа</w:t>
            </w:r>
            <w:r/>
          </w:p>
          <w:p>
            <w:pPr>
              <w:widowControl/>
              <w:rPr>
                <w:b/>
                <w:sz w:val="28"/>
                <w:szCs w:val="20"/>
              </w:rPr>
            </w:pPr>
            <w:r>
              <w:t xml:space="preserve">от 06.05.2025 № 759</w:t>
            </w:r>
            <w:r>
              <w:rPr>
                <w:b/>
                <w:sz w:val="28"/>
                <w:szCs w:val="20"/>
              </w:rPr>
            </w:r>
            <w:r>
              <w:rPr>
                <w:b/>
                <w:sz w:val="28"/>
                <w:szCs w:val="20"/>
              </w:rPr>
            </w:r>
          </w:p>
        </w:tc>
      </w:tr>
    </w:tbl>
    <w:p>
      <w:pPr>
        <w:widowControl/>
        <w:rPr>
          <w:b/>
        </w:rPr>
      </w:pPr>
      <w:r>
        <w:rPr>
          <w:b/>
        </w:rPr>
      </w:r>
      <w:r>
        <w:rPr>
          <w:b/>
        </w:rPr>
      </w:r>
      <w:r>
        <w:rPr>
          <w:b/>
        </w:rPr>
      </w:r>
    </w:p>
    <w:p>
      <w:pPr>
        <w:jc w:val="center"/>
        <w:widowControl/>
        <w:rPr>
          <w:b/>
        </w:rPr>
      </w:pPr>
      <w:r>
        <w:rPr>
          <w:b/>
        </w:rPr>
        <w:t xml:space="preserve">ПОЛОЖЕНИЕ</w:t>
      </w:r>
      <w:r>
        <w:rPr>
          <w:b/>
        </w:rPr>
      </w:r>
      <w:r>
        <w:rPr>
          <w:b/>
        </w:rPr>
      </w:r>
    </w:p>
    <w:p>
      <w:pPr>
        <w:jc w:val="center"/>
        <w:widowControl/>
        <w:rPr>
          <w:b/>
        </w:rPr>
      </w:pPr>
      <w:r>
        <w:rPr>
          <w:b/>
        </w:rPr>
        <w:t xml:space="preserve">о комиссии по рассмотрению заявлений на представление к присвоению звания «Мать - героиня», о представлении к награждению орденом «Родительская слава» или медалью ордена «Родительская слава»</w:t>
      </w:r>
      <w:r>
        <w:rPr>
          <w:b/>
        </w:rPr>
      </w:r>
      <w:r>
        <w:rPr>
          <w:b/>
        </w:rPr>
      </w:r>
    </w:p>
    <w:p>
      <w:pPr>
        <w:jc w:val="center"/>
        <w:widowControl/>
        <w:rPr>
          <w:b/>
        </w:rPr>
      </w:pPr>
      <w:r>
        <w:rPr>
          <w:b/>
        </w:rPr>
      </w:r>
      <w:r>
        <w:rPr>
          <w:b/>
        </w:rPr>
      </w:r>
      <w:r>
        <w:rPr>
          <w:b/>
        </w:rPr>
      </w:r>
    </w:p>
    <w:p>
      <w:pPr>
        <w:ind w:firstLine="709"/>
        <w:jc w:val="center"/>
        <w:widowControl/>
        <w:rPr>
          <w:b/>
        </w:rPr>
      </w:pPr>
      <w:r>
        <w:rPr>
          <w:b/>
        </w:rPr>
        <w:t xml:space="preserve">1. Общие положения</w:t>
      </w:r>
      <w:r>
        <w:rPr>
          <w:b/>
        </w:rPr>
      </w:r>
      <w:r>
        <w:rPr>
          <w:b/>
        </w:rPr>
      </w:r>
    </w:p>
    <w:p>
      <w:pPr>
        <w:ind w:firstLine="709"/>
        <w:jc w:val="center"/>
        <w:widowControl/>
        <w:rPr>
          <w:b/>
        </w:rPr>
      </w:pPr>
      <w:r>
        <w:rPr>
          <w:b/>
        </w:rPr>
      </w:r>
      <w:r>
        <w:rPr>
          <w:b/>
        </w:rPr>
      </w:r>
      <w:r>
        <w:rPr>
          <w:b/>
        </w:rPr>
      </w:r>
    </w:p>
    <w:p>
      <w:pPr>
        <w:pStyle w:val="970"/>
        <w:numPr>
          <w:ilvl w:val="0"/>
          <w:numId w:val="30"/>
        </w:numPr>
        <w:ind w:left="0" w:right="0" w:firstLine="709"/>
        <w:jc w:val="both"/>
        <w:rPr>
          <w:rFonts w:eastAsiaTheme="minorEastAsia"/>
        </w:rPr>
      </w:pPr>
      <w:r>
        <w:rPr>
          <w:rFonts w:eastAsiaTheme="minorEastAsia"/>
        </w:rPr>
        <w:t xml:space="preserve">Настоящее Положение о комиссии</w:t>
      </w:r>
      <w:r>
        <w:rPr>
          <w:sz w:val="28"/>
          <w:szCs w:val="20"/>
        </w:rPr>
        <w:t xml:space="preserve"> </w:t>
      </w:r>
      <w:r>
        <w:rPr>
          <w:rFonts w:eastAsiaTheme="minorEastAsia"/>
        </w:rPr>
        <w:t xml:space="preserve">по рассмотрению заявлений </w:t>
      </w:r>
      <w:r>
        <w:rPr>
          <w:rFonts w:eastAsiaTheme="minorEastAsia"/>
        </w:rPr>
        <w:t xml:space="preserve">на представление </w:t>
      </w:r>
      <w:r>
        <w:rPr>
          <w:rFonts w:eastAsiaTheme="minorEastAsia"/>
        </w:rPr>
        <w:t xml:space="preserve">к присвоению звания «Мать - героиня», о представлении к награждению орденом «Родительская слава» или медалью ордена «Родительская слава»</w:t>
      </w:r>
      <w:r>
        <w:rPr>
          <w:rFonts w:eastAsiaTheme="minorEastAsia"/>
        </w:rPr>
        <w:t xml:space="preserve"> </w:t>
        <w:br/>
        <w:t xml:space="preserve">(далее - Положение) определяет порядок формирования и деятельности комис</w:t>
      </w:r>
      <w:r>
        <w:rPr>
          <w:rFonts w:eastAsiaTheme="minorEastAsia"/>
        </w:rPr>
        <w:t xml:space="preserve">сии по рассмотрению заявлений на представление </w:t>
      </w:r>
      <w:r>
        <w:rPr>
          <w:rFonts w:eastAsiaTheme="minorEastAsia"/>
        </w:rPr>
        <w:t xml:space="preserve">к присвоению звания «Мать-героиня», </w:t>
        <w:br/>
        <w:t xml:space="preserve">о представлении к награждению орденом «Родительская слава» или медалью ордена «Родительская слава»</w:t>
      </w:r>
      <w:r>
        <w:rPr>
          <w:rFonts w:eastAsiaTheme="minorEastAsia"/>
        </w:rPr>
        <w:t xml:space="preserve"> (далее - Комиссия).</w:t>
      </w:r>
      <w:r>
        <w:rPr>
          <w:rFonts w:eastAsiaTheme="minorEastAsia"/>
        </w:rPr>
      </w:r>
      <w:r>
        <w:rPr>
          <w:rFonts w:eastAsiaTheme="minorEastAsia"/>
        </w:rPr>
      </w:r>
    </w:p>
    <w:p>
      <w:pPr>
        <w:pStyle w:val="970"/>
        <w:numPr>
          <w:ilvl w:val="0"/>
          <w:numId w:val="31"/>
        </w:numPr>
        <w:ind w:left="0" w:right="0" w:firstLine="709"/>
        <w:jc w:val="both"/>
        <w:rPr>
          <w:rFonts w:eastAsiaTheme="minorEastAsia"/>
        </w:rPr>
      </w:pPr>
      <w:r>
        <w:rPr>
          <w:rFonts w:eastAsiaTheme="minorEastAsia"/>
        </w:rPr>
        <w:t xml:space="preserve">Комиссия является постоянно действующим консультативным органом и действует на общественных началах.</w:t>
      </w:r>
      <w:r>
        <w:rPr>
          <w:rFonts w:eastAsiaTheme="minorEastAsia"/>
        </w:rPr>
      </w:r>
      <w:r>
        <w:rPr>
          <w:rFonts w:eastAsiaTheme="minorEastAsia"/>
        </w:rPr>
      </w:r>
    </w:p>
    <w:p>
      <w:pPr>
        <w:pStyle w:val="970"/>
        <w:numPr>
          <w:ilvl w:val="0"/>
          <w:numId w:val="32"/>
        </w:numPr>
        <w:ind w:left="0" w:right="0" w:firstLine="709"/>
        <w:jc w:val="both"/>
        <w:rPr>
          <w:rFonts w:eastAsiaTheme="minorEastAsia"/>
        </w:rPr>
      </w:pPr>
      <w:r>
        <w:t xml:space="preserve">Целью создания Комиссии является:</w:t>
      </w:r>
      <w:r>
        <w:rPr>
          <w:rFonts w:eastAsiaTheme="minorEastAsia"/>
        </w:rPr>
      </w:r>
      <w:r>
        <w:rPr>
          <w:rFonts w:eastAsiaTheme="minorEastAsia"/>
        </w:rPr>
      </w:r>
    </w:p>
    <w:p>
      <w:pPr>
        <w:pStyle w:val="970"/>
        <w:numPr>
          <w:ilvl w:val="0"/>
          <w:numId w:val="33"/>
        </w:numPr>
        <w:ind w:left="0" w:right="0" w:firstLine="709"/>
        <w:jc w:val="both"/>
      </w:pPr>
      <w:r>
        <w:t xml:space="preserve">предварительное рассмотрение материалов о присвоени</w:t>
      </w:r>
      <w:r>
        <w:t xml:space="preserve">и звания «Мать - героиня», о пред</w:t>
      </w:r>
      <w:r>
        <w:t xml:space="preserve">ставлении к награждению орде</w:t>
      </w:r>
      <w:r>
        <w:t xml:space="preserve">ном «Р</w:t>
      </w:r>
      <w:r>
        <w:t xml:space="preserve">одительская слава» или медалью ордена «Родительская слава</w:t>
      </w:r>
      <w:r>
        <w:t xml:space="preserve">»</w:t>
      </w:r>
      <w:r>
        <w:t xml:space="preserve">, представленных для рассмотрения Главе Печенгского муниципального округа;</w:t>
      </w:r>
      <w:r/>
    </w:p>
    <w:p>
      <w:pPr>
        <w:pStyle w:val="970"/>
        <w:numPr>
          <w:ilvl w:val="0"/>
          <w:numId w:val="33"/>
        </w:numPr>
        <w:ind w:left="0" w:right="0" w:firstLine="709"/>
        <w:jc w:val="both"/>
      </w:pPr>
      <w:r>
        <w:t xml:space="preserve">изучение поступивших документов о награждении на соответствие требованиям, установленным Указами Президента Российской Федерации от 07.09.2010 № 109</w:t>
      </w:r>
      <w:r>
        <w:t xml:space="preserve">9</w:t>
      </w:r>
      <w:r>
        <w:t xml:space="preserve"> </w:t>
        <w:br/>
        <w:t xml:space="preserve">«О мерах по совершенствованию государственной наградной системы Российской Федерации» (ред. 10.05.2024), от 15.08.2022 № 558 «О некоторых вопросах совершенствования государственной наградной системы Российской Федерации», методическим рекомендациям о пор</w:t>
      </w:r>
      <w:r>
        <w:t xml:space="preserve">я</w:t>
      </w:r>
      <w:r>
        <w:t xml:space="preserve">дке оформления и предоставления документов </w:t>
        <w:br/>
        <w:t xml:space="preserve">о награждении государственными наградами Российской Федерации (письмо Управления Президента Российской Федерации по государственным наградам администрации Президента Российской Федерации от 04.04.2012 № АК-3560);</w:t>
      </w:r>
      <w:r/>
    </w:p>
    <w:p>
      <w:pPr>
        <w:pStyle w:val="970"/>
        <w:numPr>
          <w:ilvl w:val="0"/>
          <w:numId w:val="33"/>
        </w:numPr>
        <w:ind w:left="0" w:right="0" w:firstLine="709"/>
        <w:jc w:val="both"/>
      </w:pPr>
      <w:r>
        <w:t xml:space="preserve">представление Главе Печенгского муниципального округа рекомендаций по результатам рассмотрения материалов о присвоени</w:t>
      </w:r>
      <w:r>
        <w:t xml:space="preserve">и звания «Мать - героиня», </w:t>
        <w:br/>
        <w:t xml:space="preserve">о пред</w:t>
      </w:r>
      <w:r>
        <w:t xml:space="preserve">ст</w:t>
      </w:r>
      <w:r>
        <w:t xml:space="preserve">авлении к награждению орденом «Р</w:t>
      </w:r>
      <w:r>
        <w:t xml:space="preserve">одительская слава» или медалью ордена «Родительская слава</w:t>
      </w:r>
      <w:r>
        <w:t xml:space="preserve">»</w:t>
      </w:r>
      <w:r>
        <w:t xml:space="preserve">, представленных для рассмотрения Главе Печенгского муниципального округа.</w:t>
      </w:r>
      <w:r/>
    </w:p>
    <w:p>
      <w:pPr>
        <w:pStyle w:val="970"/>
        <w:numPr>
          <w:ilvl w:val="0"/>
          <w:numId w:val="34"/>
        </w:numPr>
        <w:ind w:left="0" w:right="0" w:firstLine="709"/>
        <w:jc w:val="both"/>
      </w:pPr>
      <w:r>
        <w:t xml:space="preserve">Комиссия в своей деятельности руководствуется Конст</w:t>
      </w:r>
      <w:r>
        <w:t xml:space="preserve">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Правительства Российской Федерации и Правительства Мурманской области, а также настоящим Положением.</w:t>
      </w:r>
      <w:r/>
    </w:p>
    <w:p>
      <w:pPr>
        <w:ind w:left="0" w:right="0" w:firstLine="709"/>
        <w:jc w:val="both"/>
      </w:pPr>
      <w:r/>
      <w:r/>
    </w:p>
    <w:p>
      <w:pPr>
        <w:ind w:firstLine="709"/>
        <w:jc w:val="center"/>
        <w:rPr>
          <w:b/>
        </w:rPr>
      </w:pPr>
      <w:r>
        <w:rPr>
          <w:b/>
        </w:rPr>
        <w:t xml:space="preserve">2. Порядок создания Комиссии</w:t>
      </w:r>
      <w:r>
        <w:rPr>
          <w:b/>
        </w:rPr>
      </w:r>
      <w:r>
        <w:rPr>
          <w:b/>
        </w:rPr>
      </w:r>
    </w:p>
    <w:p>
      <w:pPr>
        <w:ind w:firstLine="709"/>
        <w:jc w:val="center"/>
        <w:rPr>
          <w:b/>
        </w:rPr>
      </w:pPr>
      <w:r>
        <w:rPr>
          <w:b/>
        </w:rPr>
      </w:r>
      <w:r>
        <w:rPr>
          <w:b/>
        </w:rPr>
      </w:r>
      <w:r>
        <w:rPr>
          <w:b/>
        </w:rPr>
      </w:r>
    </w:p>
    <w:p>
      <w:pPr>
        <w:pStyle w:val="970"/>
        <w:numPr>
          <w:ilvl w:val="0"/>
          <w:numId w:val="35"/>
        </w:numPr>
        <w:ind w:left="0" w:right="0" w:firstLine="709"/>
        <w:jc w:val="both"/>
      </w:pPr>
      <w:r>
        <w:t xml:space="preserve">Решение о создании Комиссии принимается Главой Печенгского муниципального округа в форме постановления администрации Печенгского муниципального округа, которым утверждается персональный состав Комиссии. Порядок </w:t>
      </w:r>
      <w:r>
        <w:t xml:space="preserve">работы Комиссии регламентируется настоящим Положением.</w:t>
      </w:r>
      <w:r/>
    </w:p>
    <w:p>
      <w:pPr>
        <w:pStyle w:val="970"/>
        <w:numPr>
          <w:ilvl w:val="0"/>
          <w:numId w:val="36"/>
        </w:numPr>
        <w:ind w:left="0" w:right="0" w:firstLine="709"/>
        <w:jc w:val="both"/>
      </w:pPr>
      <w:r>
        <w:t xml:space="preserve">В состав Комиссии включаются представители:</w:t>
      </w:r>
      <w:r/>
    </w:p>
    <w:p>
      <w:pPr>
        <w:pStyle w:val="970"/>
        <w:numPr>
          <w:ilvl w:val="0"/>
          <w:numId w:val="37"/>
        </w:numPr>
        <w:ind w:left="0" w:right="0" w:firstLine="709"/>
        <w:jc w:val="both"/>
      </w:pPr>
      <w:r>
        <w:t xml:space="preserve">Сов</w:t>
      </w:r>
      <w:r>
        <w:t xml:space="preserve">ета д</w:t>
      </w:r>
      <w:r>
        <w:t xml:space="preserve">епутатов Печенгского</w:t>
      </w:r>
      <w:r>
        <w:t xml:space="preserve"> муниципального </w:t>
      </w:r>
      <w:r>
        <w:t xml:space="preserve">округа;</w:t>
      </w:r>
      <w:r/>
    </w:p>
    <w:p>
      <w:pPr>
        <w:pStyle w:val="970"/>
        <w:numPr>
          <w:ilvl w:val="0"/>
          <w:numId w:val="37"/>
        </w:numPr>
        <w:ind w:left="0" w:right="0" w:firstLine="709"/>
        <w:jc w:val="both"/>
      </w:pPr>
      <w:r>
        <w:t xml:space="preserve">структурных подразделений администрации Печенгского муниципального округа;</w:t>
      </w:r>
      <w:r/>
    </w:p>
    <w:p>
      <w:pPr>
        <w:pStyle w:val="970"/>
        <w:numPr>
          <w:ilvl w:val="0"/>
          <w:numId w:val="37"/>
        </w:numPr>
        <w:ind w:left="0" w:right="0" w:firstLine="709"/>
        <w:jc w:val="both"/>
      </w:pPr>
      <w:r>
        <w:t xml:space="preserve">муниципальных учреждений Печенгского </w:t>
      </w:r>
      <w:r>
        <w:t xml:space="preserve">муниципального </w:t>
      </w:r>
      <w:r>
        <w:t xml:space="preserve">округа.</w:t>
      </w:r>
      <w:r/>
    </w:p>
    <w:p>
      <w:pPr>
        <w:ind w:firstLine="709"/>
        <w:jc w:val="both"/>
      </w:pPr>
      <w:r/>
      <w:r/>
    </w:p>
    <w:p>
      <w:pPr>
        <w:ind w:firstLine="709"/>
        <w:jc w:val="center"/>
        <w:rPr>
          <w:b/>
        </w:rPr>
      </w:pPr>
      <w:r>
        <w:rPr>
          <w:b/>
        </w:rPr>
        <w:t xml:space="preserve">3. Состав Комиссии и ее полномочия</w:t>
      </w:r>
      <w:r>
        <w:rPr>
          <w:b/>
        </w:rPr>
      </w:r>
      <w:r>
        <w:rPr>
          <w:b/>
        </w:rPr>
      </w:r>
    </w:p>
    <w:p>
      <w:pPr>
        <w:ind w:firstLine="709"/>
        <w:jc w:val="center"/>
        <w:rPr>
          <w:b/>
        </w:rPr>
      </w:pPr>
      <w:r>
        <w:rPr>
          <w:b/>
        </w:rPr>
      </w:r>
      <w:r>
        <w:rPr>
          <w:b/>
        </w:rPr>
      </w:r>
      <w:r>
        <w:rPr>
          <w:b/>
        </w:rPr>
      </w:r>
    </w:p>
    <w:p>
      <w:pPr>
        <w:pStyle w:val="970"/>
        <w:numPr>
          <w:ilvl w:val="0"/>
          <w:numId w:val="38"/>
        </w:numPr>
        <w:ind w:left="0" w:right="0" w:firstLine="709"/>
        <w:jc w:val="both"/>
      </w:pPr>
      <w:r>
        <w:t xml:space="preserve">Комиссия состоит из председателя Комиссии, заместителя председателя Комиссии, секретаря и других членов Комиссии.</w:t>
      </w:r>
      <w:r/>
    </w:p>
    <w:p>
      <w:pPr>
        <w:pStyle w:val="970"/>
        <w:numPr>
          <w:ilvl w:val="0"/>
          <w:numId w:val="39"/>
        </w:numPr>
        <w:ind w:left="0" w:right="0" w:firstLine="709"/>
        <w:jc w:val="both"/>
      </w:pPr>
      <w:r>
        <w:t xml:space="preserve">Организует работу Комиссии председатель Комиссии, а в его отсутствие - заместитель председателя Комиссии.</w:t>
      </w:r>
      <w:r/>
    </w:p>
    <w:p>
      <w:pPr>
        <w:pStyle w:val="970"/>
        <w:numPr>
          <w:ilvl w:val="0"/>
          <w:numId w:val="40"/>
        </w:numPr>
        <w:ind w:left="0" w:right="0" w:firstLine="709"/>
        <w:jc w:val="both"/>
      </w:pPr>
      <w:r>
        <w:t xml:space="preserve">Председатель Комиссии:</w:t>
      </w:r>
      <w:r/>
    </w:p>
    <w:p>
      <w:pPr>
        <w:pStyle w:val="970"/>
        <w:numPr>
          <w:ilvl w:val="0"/>
          <w:numId w:val="41"/>
        </w:numPr>
        <w:ind w:left="0" w:right="0" w:firstLine="709"/>
        <w:jc w:val="both"/>
      </w:pPr>
      <w:r>
        <w:t xml:space="preserve">осуществляет руководство деятельностью Комиссии; </w:t>
      </w:r>
      <w:r/>
    </w:p>
    <w:p>
      <w:pPr>
        <w:pStyle w:val="970"/>
        <w:numPr>
          <w:ilvl w:val="0"/>
          <w:numId w:val="41"/>
        </w:numPr>
        <w:ind w:left="0" w:right="0" w:firstLine="709"/>
        <w:jc w:val="both"/>
      </w:pPr>
      <w:r>
        <w:t xml:space="preserve">дает поручения членам Комиссии по вопросам, входящим в компетенцию Комиссии;</w:t>
      </w:r>
      <w:r/>
    </w:p>
    <w:p>
      <w:pPr>
        <w:pStyle w:val="970"/>
        <w:numPr>
          <w:ilvl w:val="0"/>
          <w:numId w:val="41"/>
        </w:numPr>
        <w:ind w:left="0" w:right="0" w:firstLine="709"/>
        <w:jc w:val="both"/>
      </w:pPr>
      <w:r>
        <w:t xml:space="preserve">представляет Комиссию по вопросам, относящимся к ее компетенции.</w:t>
      </w:r>
      <w:r/>
    </w:p>
    <w:p>
      <w:pPr>
        <w:ind w:firstLine="708"/>
        <w:jc w:val="both"/>
      </w:pPr>
      <w:r>
        <w:t xml:space="preserve">3.4. Заместитель Председателя Комиссии:</w:t>
      </w:r>
      <w:r/>
    </w:p>
    <w:p>
      <w:pPr>
        <w:pStyle w:val="970"/>
        <w:numPr>
          <w:ilvl w:val="0"/>
          <w:numId w:val="42"/>
        </w:numPr>
        <w:ind w:left="0" w:right="0" w:firstLine="709"/>
        <w:jc w:val="both"/>
      </w:pPr>
      <w:r>
        <w:t xml:space="preserve">инициирует проведение заседаний Комиссии (по мере необходимости); </w:t>
      </w:r>
      <w:r/>
    </w:p>
    <w:p>
      <w:pPr>
        <w:pStyle w:val="970"/>
        <w:numPr>
          <w:ilvl w:val="0"/>
          <w:numId w:val="42"/>
        </w:numPr>
        <w:ind w:left="0" w:right="0" w:firstLine="709"/>
        <w:jc w:val="both"/>
      </w:pPr>
      <w:r>
        <w:t xml:space="preserve">информирует членов Комиссии и лиц, привлеченных к участию в работе Комиссии, о повестке заседания Комиссии, дате, месте и времени его проведения;</w:t>
      </w:r>
      <w:r/>
    </w:p>
    <w:p>
      <w:pPr>
        <w:pStyle w:val="970"/>
        <w:numPr>
          <w:ilvl w:val="0"/>
          <w:numId w:val="42"/>
        </w:numPr>
        <w:ind w:left="0" w:right="0" w:firstLine="709"/>
        <w:jc w:val="both"/>
      </w:pPr>
      <w:r>
        <w:t xml:space="preserve">организует контроль за выполнением решений, принятых Комиссией;</w:t>
      </w:r>
      <w:r/>
    </w:p>
    <w:p>
      <w:pPr>
        <w:pStyle w:val="970"/>
        <w:numPr>
          <w:ilvl w:val="0"/>
          <w:numId w:val="42"/>
        </w:numPr>
        <w:ind w:left="0" w:right="0" w:firstLine="709"/>
        <w:jc w:val="both"/>
      </w:pPr>
      <w:r>
        <w:t xml:space="preserve">осуществляет иные полномочия, необходимые для выполнения задач, возложенных на Комиссию.</w:t>
      </w:r>
      <w:r/>
    </w:p>
    <w:p>
      <w:pPr>
        <w:pStyle w:val="970"/>
        <w:numPr>
          <w:ilvl w:val="0"/>
          <w:numId w:val="43"/>
        </w:numPr>
        <w:ind w:left="0" w:right="0" w:firstLine="709"/>
        <w:jc w:val="both"/>
      </w:pPr>
      <w:r>
        <w:t xml:space="preserve">Члены Комиссии:</w:t>
      </w:r>
      <w:r/>
    </w:p>
    <w:p>
      <w:pPr>
        <w:pStyle w:val="970"/>
        <w:numPr>
          <w:ilvl w:val="0"/>
          <w:numId w:val="44"/>
        </w:numPr>
        <w:ind w:left="0" w:right="0" w:firstLine="709"/>
        <w:jc w:val="both"/>
      </w:pPr>
      <w:r>
        <w:t xml:space="preserve">запрашивают и получают в уста</w:t>
      </w:r>
      <w:r>
        <w:t xml:space="preserve">новленном порядке от органов государственной власти, органов местного самоуправления муниципальных образований Мурманской области, организаций, должностных лиц и граждан необходимые для осуществления деятельности Комиссии материалы, документы и информацию;</w:t>
      </w:r>
      <w:r/>
    </w:p>
    <w:p>
      <w:pPr>
        <w:pStyle w:val="970"/>
        <w:numPr>
          <w:ilvl w:val="0"/>
          <w:numId w:val="44"/>
        </w:numPr>
        <w:ind w:left="0" w:right="0" w:firstLine="709"/>
        <w:jc w:val="both"/>
      </w:pPr>
      <w:r>
        <w:t xml:space="preserve">выполняют поручения председателя Комиссии;</w:t>
      </w:r>
      <w:r/>
    </w:p>
    <w:p>
      <w:pPr>
        <w:pStyle w:val="970"/>
        <w:numPr>
          <w:ilvl w:val="0"/>
          <w:numId w:val="44"/>
        </w:numPr>
        <w:ind w:left="0" w:right="0" w:firstLine="709"/>
        <w:jc w:val="both"/>
      </w:pPr>
      <w:r>
        <w:t xml:space="preserve">принимают участие в подготовке материалов к заседаниям Комиссии;</w:t>
      </w:r>
      <w:r/>
    </w:p>
    <w:p>
      <w:pPr>
        <w:pStyle w:val="970"/>
        <w:numPr>
          <w:ilvl w:val="0"/>
          <w:numId w:val="44"/>
        </w:numPr>
        <w:ind w:left="0" w:right="0" w:firstLine="709"/>
        <w:jc w:val="both"/>
      </w:pPr>
      <w:r>
        <w:t xml:space="preserve">участвуют в заседа</w:t>
      </w:r>
      <w:r>
        <w:t xml:space="preserve">ниях Комиссии, а в случае невозможности присутствия на заседании Комиссии заблаговременно представляют секретарю Комиссии свое мнение по рассматриваемым вопросам в письменной форме, которое оглашается на заседании Комиссии и приобщается к решению Комиссии;</w:t>
      </w:r>
      <w:r/>
    </w:p>
    <w:p>
      <w:pPr>
        <w:pStyle w:val="970"/>
        <w:numPr>
          <w:ilvl w:val="0"/>
          <w:numId w:val="44"/>
        </w:numPr>
        <w:ind w:left="0" w:right="0" w:firstLine="709"/>
        <w:jc w:val="both"/>
      </w:pPr>
      <w:r>
        <w:t xml:space="preserve">выражают свое особое мнение в письменной форме в случае несогласия с принятым Комиссией решением;</w:t>
      </w:r>
      <w:r/>
    </w:p>
    <w:p>
      <w:pPr>
        <w:pStyle w:val="970"/>
        <w:numPr>
          <w:ilvl w:val="0"/>
          <w:numId w:val="44"/>
        </w:numPr>
        <w:ind w:left="0" w:right="0" w:firstLine="709"/>
        <w:jc w:val="both"/>
      </w:pPr>
      <w:r>
        <w:t xml:space="preserve">принимают меры, необходимые для выполнения решений Комиссии.</w:t>
      </w:r>
      <w:r/>
    </w:p>
    <w:p>
      <w:pPr>
        <w:pStyle w:val="970"/>
        <w:numPr>
          <w:ilvl w:val="0"/>
          <w:numId w:val="45"/>
        </w:numPr>
        <w:ind w:left="0" w:right="0" w:firstLine="709"/>
        <w:jc w:val="both"/>
      </w:pPr>
      <w:r>
        <w:t xml:space="preserve">Секретарь Комиссии:</w:t>
      </w:r>
      <w:r/>
    </w:p>
    <w:p>
      <w:pPr>
        <w:pStyle w:val="970"/>
        <w:numPr>
          <w:ilvl w:val="0"/>
          <w:numId w:val="46"/>
        </w:numPr>
        <w:ind w:left="0" w:right="0" w:firstLine="709"/>
        <w:jc w:val="both"/>
      </w:pPr>
      <w:r>
        <w:t xml:space="preserve">организует проведение заседаний Комиссии;</w:t>
      </w:r>
      <w:r/>
    </w:p>
    <w:p>
      <w:pPr>
        <w:pStyle w:val="970"/>
        <w:numPr>
          <w:ilvl w:val="0"/>
          <w:numId w:val="46"/>
        </w:numPr>
        <w:ind w:left="0" w:right="0" w:firstLine="709"/>
        <w:jc w:val="both"/>
      </w:pPr>
      <w:r>
        <w:t xml:space="preserve">ведет делопроизводство Комиссии.</w:t>
      </w:r>
      <w:r/>
    </w:p>
    <w:p>
      <w:pPr>
        <w:ind w:firstLine="708"/>
        <w:jc w:val="both"/>
      </w:pPr>
      <w:r>
        <w:t xml:space="preserve">В случае отсутствия секретаря Комиссии его полномочия выполняет другой член Комиссии по решению председателя Комиссии.</w:t>
      </w:r>
      <w:r/>
    </w:p>
    <w:p>
      <w:pPr>
        <w:ind w:firstLine="708"/>
        <w:jc w:val="both"/>
      </w:pPr>
      <w:r/>
      <w:r/>
    </w:p>
    <w:p>
      <w:pPr>
        <w:ind w:firstLine="708"/>
        <w:jc w:val="center"/>
        <w:rPr>
          <w:b/>
        </w:rPr>
      </w:pPr>
      <w:r>
        <w:rPr>
          <w:b/>
        </w:rPr>
        <w:t xml:space="preserve">4. Организация и порядок работы Комиссии</w:t>
      </w:r>
      <w:r>
        <w:rPr>
          <w:b/>
        </w:rPr>
      </w:r>
      <w:r>
        <w:rPr>
          <w:b/>
        </w:rPr>
      </w:r>
    </w:p>
    <w:p>
      <w:pPr>
        <w:jc w:val="both"/>
        <w:rPr>
          <w:rFonts w:eastAsiaTheme="minorEastAsia"/>
        </w:rPr>
      </w:pPr>
      <w:r>
        <w:rPr>
          <w:rFonts w:eastAsiaTheme="minorEastAsia"/>
        </w:rPr>
      </w:r>
      <w:r>
        <w:rPr>
          <w:rFonts w:eastAsiaTheme="minorEastAsia"/>
        </w:rPr>
      </w:r>
      <w:r>
        <w:rPr>
          <w:rFonts w:eastAsiaTheme="minorEastAsia"/>
        </w:rPr>
      </w:r>
    </w:p>
    <w:p>
      <w:pPr>
        <w:ind w:firstLine="708"/>
        <w:jc w:val="both"/>
        <w:rPr>
          <w:rFonts w:eastAsiaTheme="minorEastAsia"/>
        </w:rPr>
      </w:pPr>
      <w:r>
        <w:rPr>
          <w:rFonts w:eastAsiaTheme="minorEastAsia"/>
        </w:rPr>
        <w:t xml:space="preserve">4.1. Заседания Комиссии проводятся по мере необходимости.</w:t>
      </w:r>
      <w:r>
        <w:rPr>
          <w:rFonts w:eastAsiaTheme="minorEastAsia"/>
        </w:rPr>
      </w:r>
      <w:r>
        <w:rPr>
          <w:rFonts w:eastAsiaTheme="minorEastAsia"/>
        </w:rPr>
      </w:r>
    </w:p>
    <w:p>
      <w:pPr>
        <w:ind w:firstLine="708"/>
        <w:jc w:val="both"/>
        <w:rPr>
          <w:rFonts w:eastAsiaTheme="minorEastAsia"/>
        </w:rPr>
      </w:pPr>
      <w:r>
        <w:rPr>
          <w:rFonts w:eastAsiaTheme="minorEastAsia"/>
        </w:rPr>
        <w:t xml:space="preserve">4.2. Решение о дате заседания Комиссии принимается председателем Комиссии.</w:t>
      </w:r>
      <w:r>
        <w:rPr>
          <w:rFonts w:eastAsiaTheme="minorEastAsia"/>
        </w:rPr>
      </w:r>
      <w:r>
        <w:rPr>
          <w:rFonts w:eastAsiaTheme="minorEastAsia"/>
        </w:rPr>
      </w:r>
    </w:p>
    <w:p>
      <w:pPr>
        <w:ind w:firstLine="708"/>
        <w:jc w:val="both"/>
        <w:rPr>
          <w:rFonts w:eastAsiaTheme="minorEastAsia"/>
        </w:rPr>
      </w:pPr>
      <w:r>
        <w:rPr>
          <w:rFonts w:eastAsiaTheme="minorEastAsia"/>
        </w:rPr>
        <w:t xml:space="preserve">Не позднее, чем за три дня до даты проведения заседания Комиссии, секретарь Комиссии направляет членам Комиссии уведомление о дате заседания Комиссии, проект повестки, копии документов, представляемых на рассмотрение Комиссии.</w:t>
      </w:r>
      <w:r>
        <w:rPr>
          <w:rFonts w:eastAsiaTheme="minorEastAsia"/>
        </w:rPr>
      </w:r>
      <w:r>
        <w:rPr>
          <w:rFonts w:eastAsiaTheme="minorEastAsia"/>
        </w:rPr>
      </w:r>
    </w:p>
    <w:p>
      <w:pPr>
        <w:ind w:firstLine="708"/>
        <w:jc w:val="both"/>
      </w:pPr>
      <w:r>
        <w:t xml:space="preserve">4.3. Решения Комиссии принимают</w:t>
      </w:r>
      <w:r>
        <w:t xml:space="preserve">ся большинством голосов членов К</w:t>
      </w:r>
      <w:r>
        <w:t xml:space="preserve">омиссии.</w:t>
      </w:r>
      <w:r/>
    </w:p>
    <w:p>
      <w:pPr>
        <w:ind w:firstLine="708"/>
        <w:jc w:val="both"/>
      </w:pPr>
      <w:r>
        <w:t xml:space="preserve">При равенстве голосов членов К</w:t>
      </w:r>
      <w:r>
        <w:t xml:space="preserve">омиссии решающ</w:t>
      </w:r>
      <w:r>
        <w:t xml:space="preserve">им является голос председателя К</w:t>
      </w:r>
      <w:r>
        <w:t xml:space="preserve">омиссии. В случае несогл</w:t>
      </w:r>
      <w:r>
        <w:t xml:space="preserve">асия с принятым решением члены К</w:t>
      </w:r>
      <w:r>
        <w:t xml:space="preserve">омиссии вправе выразить свое особое мнение в письменной ф</w:t>
      </w:r>
      <w:r>
        <w:t xml:space="preserve">орме и приложить его к решению К</w:t>
      </w:r>
      <w:r>
        <w:t xml:space="preserve">омиссии.</w:t>
      </w:r>
      <w:r/>
    </w:p>
    <w:p>
      <w:pPr>
        <w:ind w:firstLine="708"/>
        <w:jc w:val="both"/>
      </w:pPr>
      <w:r>
        <w:t xml:space="preserve">4.4. Члены Комиссии имеют равное право голоса при обсуждении рассматриваемых на заседаниях вопросов и принятии по ним решений.</w:t>
      </w:r>
      <w:r/>
    </w:p>
    <w:p>
      <w:pPr>
        <w:pStyle w:val="970"/>
        <w:numPr>
          <w:ilvl w:val="0"/>
          <w:numId w:val="47"/>
        </w:numPr>
        <w:ind w:left="0" w:right="0" w:firstLine="709"/>
        <w:jc w:val="both"/>
      </w:pPr>
      <w:r>
        <w:t xml:space="preserve">Заседание Комиссии считается правомочным, если на нем присутствуют не менее половины от общего числа</w:t>
      </w:r>
      <w:r>
        <w:t xml:space="preserve"> членов К</w:t>
      </w:r>
      <w:r>
        <w:t xml:space="preserve">омиссии.</w:t>
      </w:r>
      <w:r/>
    </w:p>
    <w:p>
      <w:pPr>
        <w:ind w:firstLine="708"/>
        <w:jc w:val="both"/>
      </w:pPr>
      <w:r>
        <w:t xml:space="preserve">4.6. По ре</w:t>
      </w:r>
      <w:r>
        <w:t xml:space="preserve">зультатам проведения заседания К</w:t>
      </w:r>
      <w:r>
        <w:t xml:space="preserve">омиссии оформляется протокол.</w:t>
      </w:r>
      <w:r/>
    </w:p>
    <w:p>
      <w:pPr>
        <w:ind w:firstLine="708"/>
        <w:jc w:val="both"/>
      </w:pPr>
      <w:r>
        <w:t xml:space="preserve">Протокол оформляется в течение пяти рабочих дней со дня проведения заседания. Проток</w:t>
      </w:r>
      <w:r>
        <w:t xml:space="preserve">ол подписывается всеми членами К</w:t>
      </w:r>
      <w:r>
        <w:t xml:space="preserve">омиссии</w:t>
      </w:r>
      <w:r>
        <w:t xml:space="preserve">, присутствующими на заседании К</w:t>
      </w:r>
      <w:r>
        <w:t xml:space="preserve">омиссии.</w:t>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ind w:firstLine="708"/>
        <w:jc w:val="both"/>
      </w:pPr>
      <w:r/>
      <w:r/>
    </w:p>
    <w:p>
      <w:pPr>
        <w:jc w:val="both"/>
        <w:rPr>
          <w:rFonts w:eastAsiaTheme="minorEastAsia"/>
        </w:rPr>
      </w:pPr>
      <w:r>
        <w:rPr>
          <w:rFonts w:eastAsiaTheme="minorEastAsia"/>
        </w:rPr>
      </w:r>
      <w:r>
        <w:rPr>
          <w:rFonts w:eastAsiaTheme="minorEastAsia"/>
        </w:rPr>
      </w:r>
      <w:r>
        <w:rPr>
          <w:rFonts w:eastAsiaTheme="minorEastAsia"/>
        </w:rPr>
      </w:r>
    </w:p>
    <w:tbl>
      <w:tblPr>
        <w:tblStyle w:val="989"/>
        <w:tblW w:w="9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pPr>
              <w:jc w:val="center"/>
              <w:widowControl/>
              <w:rPr>
                <w:b/>
                <w:sz w:val="28"/>
                <w:szCs w:val="20"/>
              </w:rPr>
            </w:pPr>
            <w:r>
              <w:rPr>
                <w:b/>
                <w:sz w:val="28"/>
                <w:szCs w:val="20"/>
              </w:rPr>
            </w:r>
            <w:r>
              <w:rPr>
                <w:b/>
                <w:sz w:val="28"/>
                <w:szCs w:val="20"/>
              </w:rPr>
            </w:r>
            <w:r>
              <w:rPr>
                <w:b/>
                <w:sz w:val="28"/>
                <w:szCs w:val="20"/>
              </w:rPr>
            </w:r>
          </w:p>
        </w:tc>
        <w:tc>
          <w:tcPr>
            <w:tcW w:w="2258" w:type="dxa"/>
            <w:textDirection w:val="lrTb"/>
            <w:noWrap w:val="false"/>
          </w:tcPr>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tc>
        <w:tc>
          <w:tcPr>
            <w:tcW w:w="4066" w:type="dxa"/>
            <w:textDirection w:val="lrTb"/>
            <w:noWrap w:val="false"/>
          </w:tcPr>
          <w:p>
            <w:pPr>
              <w:widowControl/>
            </w:pPr>
            <w:r/>
            <w:r/>
          </w:p>
          <w:p>
            <w:pPr>
              <w:widowControl/>
            </w:pPr>
            <w:r>
              <w:t xml:space="preserve">Приложение № 2</w:t>
            </w:r>
            <w:r/>
          </w:p>
          <w:p>
            <w:pPr>
              <w:widowControl/>
            </w:pPr>
            <w:r>
              <w:t xml:space="preserve">к постановлению администрации Печенгского муниципального округа</w:t>
            </w:r>
            <w:r/>
          </w:p>
          <w:p>
            <w:pPr>
              <w:widowControl/>
              <w:rPr>
                <w:b/>
                <w:sz w:val="28"/>
                <w:szCs w:val="20"/>
              </w:rPr>
            </w:pPr>
            <w:r>
              <w:t xml:space="preserve">от 06.05.2025 № 759</w:t>
            </w:r>
            <w:r>
              <w:rPr>
                <w:b/>
                <w:sz w:val="28"/>
                <w:szCs w:val="20"/>
              </w:rPr>
            </w:r>
            <w:r>
              <w:rPr>
                <w:b/>
                <w:sz w:val="28"/>
                <w:szCs w:val="20"/>
              </w:rPr>
            </w:r>
          </w:p>
        </w:tc>
      </w:tr>
    </w:tbl>
    <w:p>
      <w:pPr>
        <w:jc w:val="center"/>
        <w:widowControl/>
        <w:rPr>
          <w:b/>
        </w:rPr>
      </w:pPr>
      <w:r>
        <w:rPr>
          <w:b/>
        </w:rPr>
        <w:t xml:space="preserve">СОСТАВ</w:t>
      </w:r>
      <w:r>
        <w:rPr>
          <w:b/>
        </w:rPr>
      </w:r>
      <w:r>
        <w:rPr>
          <w:b/>
        </w:rPr>
      </w:r>
    </w:p>
    <w:p>
      <w:pPr>
        <w:jc w:val="center"/>
        <w:widowControl/>
        <w:rPr>
          <w:rFonts w:eastAsiaTheme="minorEastAsia"/>
        </w:rPr>
      </w:pPr>
      <w:r>
        <w:t xml:space="preserve">комиссии по </w:t>
      </w:r>
      <w:r>
        <w:rPr>
          <w:rFonts w:eastAsiaTheme="minorEastAsia"/>
        </w:rPr>
        <w:t xml:space="preserve">рассмотрению заявлений на представление  к присвоению звания </w:t>
        <w:br/>
        <w:t xml:space="preserve">«Мать - героиня», о предост</w:t>
      </w:r>
      <w:r>
        <w:rPr>
          <w:rFonts w:eastAsiaTheme="minorEastAsia"/>
        </w:rPr>
        <w:t xml:space="preserve">авлении к награждению орденом «Р</w:t>
      </w:r>
      <w:r>
        <w:rPr>
          <w:rFonts w:eastAsiaTheme="minorEastAsia"/>
        </w:rPr>
        <w:t xml:space="preserve">одительская слава» или медалью ордена «Родительская слава»</w:t>
      </w:r>
      <w:r>
        <w:rPr>
          <w:rFonts w:eastAsiaTheme="minorEastAsia"/>
        </w:rPr>
      </w:r>
      <w:r>
        <w:rPr>
          <w:rFonts w:eastAsiaTheme="minorEastAsia"/>
        </w:rPr>
      </w:r>
    </w:p>
    <w:p>
      <w:pPr>
        <w:jc w:val="center"/>
        <w:widowControl/>
      </w:pPr>
      <w:r/>
      <w:r/>
    </w:p>
    <w:tbl>
      <w:tblPr>
        <w:tblStyle w:val="989"/>
        <w:tblW w:w="94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2660"/>
        <w:gridCol w:w="425"/>
        <w:gridCol w:w="6379"/>
      </w:tblGrid>
      <w:tr>
        <w:tblPrEx/>
        <w:trPr/>
        <w:tc>
          <w:tcPr>
            <w:tcW w:w="2660" w:type="dxa"/>
            <w:textDirection w:val="lrTb"/>
            <w:noWrap w:val="false"/>
          </w:tcPr>
          <w:p>
            <w:pPr>
              <w:jc w:val="both"/>
            </w:pPr>
            <w:r>
              <w:t xml:space="preserve">Самойлов Сергей Анатольевич</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начальник юридического отдела</w:t>
            </w:r>
            <w:r>
              <w:t xml:space="preserve"> администрации Печенгского муниципального округа</w:t>
            </w:r>
            <w:r>
              <w:t xml:space="preserve">, председатель комиссии;</w:t>
            </w:r>
            <w:r/>
          </w:p>
          <w:p>
            <w:pPr>
              <w:jc w:val="both"/>
            </w:pPr>
            <w:r/>
            <w:r/>
          </w:p>
        </w:tc>
      </w:tr>
      <w:tr>
        <w:tblPrEx/>
        <w:trPr/>
        <w:tc>
          <w:tcPr>
            <w:tcW w:w="2660" w:type="dxa"/>
            <w:textDirection w:val="lrTb"/>
            <w:noWrap w:val="false"/>
          </w:tcPr>
          <w:p>
            <w:pPr>
              <w:jc w:val="both"/>
              <w:rPr>
                <w:sz w:val="20"/>
              </w:rPr>
            </w:pPr>
            <w:r>
              <w:rPr>
                <w:sz w:val="20"/>
              </w:rPr>
            </w:r>
            <w:r>
              <w:rPr>
                <w:sz w:val="20"/>
              </w:rPr>
            </w:r>
            <w:r>
              <w:rPr>
                <w:sz w:val="20"/>
              </w:rPr>
            </w:r>
          </w:p>
        </w:tc>
        <w:tc>
          <w:tcPr>
            <w:tcW w:w="425" w:type="dxa"/>
            <w:textDirection w:val="lrTb"/>
            <w:noWrap w:val="false"/>
          </w:tcPr>
          <w:p>
            <w:pPr>
              <w:jc w:val="both"/>
              <w:rPr>
                <w:sz w:val="20"/>
              </w:rPr>
            </w:pPr>
            <w:r>
              <w:rPr>
                <w:sz w:val="20"/>
              </w:rPr>
            </w:r>
            <w:r>
              <w:rPr>
                <w:sz w:val="20"/>
              </w:rPr>
            </w:r>
            <w:r>
              <w:rPr>
                <w:sz w:val="20"/>
              </w:rPr>
            </w:r>
          </w:p>
        </w:tc>
        <w:tc>
          <w:tcPr>
            <w:tcW w:w="6379" w:type="dxa"/>
            <w:textDirection w:val="lrTb"/>
            <w:noWrap w:val="false"/>
          </w:tcPr>
          <w:p>
            <w:pPr>
              <w:jc w:val="both"/>
              <w:rPr>
                <w:sz w:val="20"/>
              </w:rPr>
            </w:pPr>
            <w:r>
              <w:rPr>
                <w:sz w:val="20"/>
              </w:rPr>
            </w:r>
            <w:r>
              <w:rPr>
                <w:sz w:val="20"/>
              </w:rPr>
            </w:r>
            <w:r>
              <w:rPr>
                <w:sz w:val="20"/>
              </w:rPr>
            </w:r>
          </w:p>
        </w:tc>
      </w:tr>
      <w:tr>
        <w:tblPrEx/>
        <w:trPr/>
        <w:tc>
          <w:tcPr>
            <w:tcW w:w="2660" w:type="dxa"/>
            <w:textDirection w:val="lrTb"/>
            <w:noWrap w:val="false"/>
          </w:tcPr>
          <w:p>
            <w:pPr>
              <w:jc w:val="both"/>
            </w:pPr>
            <w:r>
              <w:t xml:space="preserve">Морозова Марина Евгеньевна</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заведующий сектором муниципальной службы и кадров</w:t>
            </w:r>
            <w:r>
              <w:t xml:space="preserve"> администрации Печенгского муниципального округа</w:t>
            </w:r>
            <w:r>
              <w:t xml:space="preserve">, заместитель председателя комиссии;</w:t>
            </w:r>
            <w:r/>
          </w:p>
          <w:p>
            <w:pPr>
              <w:jc w:val="both"/>
            </w:pPr>
            <w:r/>
            <w:r/>
          </w:p>
        </w:tc>
      </w:tr>
      <w:tr>
        <w:tblPrEx/>
        <w:trPr/>
        <w:tc>
          <w:tcPr>
            <w:tcW w:w="2660" w:type="dxa"/>
            <w:textDirection w:val="lrTb"/>
            <w:noWrap w:val="false"/>
          </w:tcPr>
          <w:p>
            <w:pPr>
              <w:jc w:val="both"/>
              <w:rPr>
                <w:sz w:val="20"/>
              </w:rPr>
            </w:pPr>
            <w:r>
              <w:rPr>
                <w:sz w:val="20"/>
              </w:rPr>
            </w:r>
            <w:r>
              <w:rPr>
                <w:sz w:val="20"/>
              </w:rPr>
            </w:r>
            <w:r>
              <w:rPr>
                <w:sz w:val="20"/>
              </w:rPr>
            </w:r>
          </w:p>
        </w:tc>
        <w:tc>
          <w:tcPr>
            <w:tcW w:w="425" w:type="dxa"/>
            <w:textDirection w:val="lrTb"/>
            <w:noWrap w:val="false"/>
          </w:tcPr>
          <w:p>
            <w:pPr>
              <w:jc w:val="both"/>
              <w:rPr>
                <w:sz w:val="20"/>
              </w:rPr>
            </w:pPr>
            <w:r>
              <w:rPr>
                <w:sz w:val="20"/>
              </w:rPr>
            </w:r>
            <w:r>
              <w:rPr>
                <w:sz w:val="20"/>
              </w:rPr>
            </w:r>
            <w:r>
              <w:rPr>
                <w:sz w:val="20"/>
              </w:rPr>
            </w:r>
          </w:p>
        </w:tc>
        <w:tc>
          <w:tcPr>
            <w:tcW w:w="6379" w:type="dxa"/>
            <w:textDirection w:val="lrTb"/>
            <w:noWrap w:val="false"/>
          </w:tcPr>
          <w:p>
            <w:pPr>
              <w:jc w:val="both"/>
              <w:rPr>
                <w:sz w:val="20"/>
              </w:rPr>
            </w:pPr>
            <w:r>
              <w:rPr>
                <w:sz w:val="20"/>
              </w:rPr>
            </w:r>
            <w:r>
              <w:rPr>
                <w:sz w:val="20"/>
              </w:rPr>
            </w:r>
            <w:r>
              <w:rPr>
                <w:sz w:val="20"/>
              </w:rPr>
            </w:r>
          </w:p>
        </w:tc>
      </w:tr>
      <w:tr>
        <w:tblPrEx/>
        <w:trPr/>
        <w:tc>
          <w:tcPr>
            <w:tcW w:w="2660" w:type="dxa"/>
            <w:textDirection w:val="lrTb"/>
            <w:noWrap w:val="false"/>
          </w:tcPr>
          <w:p>
            <w:pPr>
              <w:jc w:val="both"/>
            </w:pPr>
            <w:r>
              <w:t xml:space="preserve">Кудряшова Елена Владимировна</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начальник отдела работы с населением  МКУ «Управление по обеспечению деятельности администрации Печенгского муниципального округа», секретарь комиссии;</w:t>
            </w:r>
            <w:r/>
          </w:p>
        </w:tc>
      </w:tr>
      <w:tr>
        <w:tblPrEx/>
        <w:trPr/>
        <w:tc>
          <w:tcPr>
            <w:gridSpan w:val="3"/>
            <w:tcW w:w="9464" w:type="dxa"/>
            <w:textDirection w:val="lrTb"/>
            <w:noWrap w:val="false"/>
          </w:tcPr>
          <w:p>
            <w:pPr>
              <w:jc w:val="both"/>
              <w:rPr>
                <w:b/>
              </w:rPr>
            </w:pPr>
            <w:r>
              <w:rPr>
                <w:b/>
              </w:rPr>
              <w:t xml:space="preserve">Члены Комиссии:</w:t>
            </w:r>
            <w:r>
              <w:rPr>
                <w:b/>
              </w:rPr>
            </w:r>
            <w:r>
              <w:rPr>
                <w:b/>
              </w:rPr>
            </w:r>
          </w:p>
          <w:p>
            <w:pPr>
              <w:jc w:val="both"/>
              <w:rPr>
                <w:b/>
              </w:rPr>
            </w:pPr>
            <w:r>
              <w:rPr>
                <w:b/>
              </w:rPr>
            </w:r>
            <w:r>
              <w:rPr>
                <w:b/>
              </w:rPr>
            </w:r>
            <w:r>
              <w:rPr>
                <w:b/>
              </w:rPr>
            </w:r>
          </w:p>
        </w:tc>
      </w:tr>
      <w:tr>
        <w:tblPrEx/>
        <w:trPr/>
        <w:tc>
          <w:tcPr>
            <w:tcW w:w="2660" w:type="dxa"/>
            <w:textDirection w:val="lrTb"/>
            <w:noWrap w:val="false"/>
          </w:tcPr>
          <w:p>
            <w:pPr>
              <w:jc w:val="both"/>
            </w:pPr>
            <w:r/>
            <w:r/>
          </w:p>
        </w:tc>
        <w:tc>
          <w:tcPr>
            <w:tcW w:w="425" w:type="dxa"/>
            <w:textDirection w:val="lrTb"/>
            <w:noWrap w:val="false"/>
          </w:tcPr>
          <w:p>
            <w:pPr>
              <w:jc w:val="both"/>
            </w:pPr>
            <w:r/>
            <w:r/>
          </w:p>
        </w:tc>
        <w:tc>
          <w:tcPr>
            <w:tcW w:w="6379" w:type="dxa"/>
            <w:textDirection w:val="lrTb"/>
            <w:noWrap w:val="false"/>
          </w:tcPr>
          <w:p>
            <w:pPr>
              <w:jc w:val="both"/>
            </w:pPr>
            <w:r/>
            <w:r/>
          </w:p>
        </w:tc>
      </w:tr>
      <w:tr>
        <w:tblPrEx/>
        <w:trPr/>
        <w:tc>
          <w:tcPr>
            <w:tcW w:w="2660" w:type="dxa"/>
            <w:textDirection w:val="lrTb"/>
            <w:noWrap w:val="false"/>
          </w:tcPr>
          <w:p>
            <w:pPr>
              <w:jc w:val="both"/>
            </w:pPr>
            <w:r>
              <w:t xml:space="preserve">Большакова Ольга Витальевна </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начальник отдела культуры, спорта и молодежной политики администрации Печенгского муниципального округа;</w:t>
            </w:r>
            <w:r/>
          </w:p>
          <w:p>
            <w:pPr>
              <w:jc w:val="both"/>
            </w:pPr>
            <w:r/>
            <w:r/>
          </w:p>
        </w:tc>
      </w:tr>
      <w:tr>
        <w:tblPrEx/>
        <w:trPr/>
        <w:tc>
          <w:tcPr>
            <w:tcW w:w="2660" w:type="dxa"/>
            <w:textDirection w:val="lrTb"/>
            <w:noWrap w:val="false"/>
          </w:tcPr>
          <w:p>
            <w:pPr>
              <w:jc w:val="both"/>
            </w:pPr>
            <w:r>
              <w:t xml:space="preserve">Головина Зоя Александровна</w:t>
            </w:r>
            <w:r/>
          </w:p>
          <w:p>
            <w:pPr>
              <w:jc w:val="both"/>
            </w:pPr>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главный специалист сектора по охране прав детей отдела образования администрации Печенгского мун</w:t>
            </w:r>
            <w:r>
              <w:t xml:space="preserve">и</w:t>
            </w:r>
            <w:r>
              <w:t xml:space="preserve">ципального округа;</w:t>
            </w:r>
            <w:r/>
          </w:p>
          <w:p>
            <w:pPr>
              <w:jc w:val="both"/>
            </w:pPr>
            <w:r/>
            <w:r/>
          </w:p>
        </w:tc>
      </w:tr>
      <w:tr>
        <w:tblPrEx/>
        <w:trPr/>
        <w:tc>
          <w:tcPr>
            <w:tcW w:w="2660" w:type="dxa"/>
            <w:textDirection w:val="lrTb"/>
            <w:noWrap w:val="false"/>
          </w:tcPr>
          <w:p>
            <w:pPr>
              <w:jc w:val="both"/>
            </w:pPr>
            <w:r>
              <w:t xml:space="preserve">Горбунова Людмила Сергеевна</w:t>
            </w:r>
            <w:r/>
          </w:p>
        </w:tc>
        <w:tc>
          <w:tcPr>
            <w:tcW w:w="425" w:type="dxa"/>
            <w:textDirection w:val="lrTb"/>
            <w:noWrap w:val="false"/>
          </w:tcPr>
          <w:p>
            <w:pPr>
              <w:jc w:val="both"/>
              <w:rPr>
                <w:sz w:val="20"/>
              </w:rPr>
            </w:pPr>
            <w:r>
              <w:rPr>
                <w:sz w:val="20"/>
              </w:rPr>
              <w:t xml:space="preserve">-</w:t>
            </w:r>
            <w:r>
              <w:rPr>
                <w:sz w:val="20"/>
              </w:rPr>
            </w:r>
            <w:r>
              <w:rPr>
                <w:sz w:val="20"/>
              </w:rPr>
            </w:r>
          </w:p>
        </w:tc>
        <w:tc>
          <w:tcPr>
            <w:tcW w:w="6379" w:type="dxa"/>
            <w:textDirection w:val="lrTb"/>
            <w:noWrap w:val="false"/>
          </w:tcPr>
          <w:p>
            <w:pPr>
              <w:jc w:val="both"/>
            </w:pPr>
            <w:r>
              <w:t xml:space="preserve">главный специалист</w:t>
            </w:r>
            <w:r>
              <w:t xml:space="preserve"> сектора договорной, претензионно-исковой работы</w:t>
            </w:r>
            <w:r>
              <w:t xml:space="preserve"> юридического отдела администрации Печенгского муниципального округа; </w:t>
            </w:r>
            <w:r/>
          </w:p>
          <w:p>
            <w:pPr>
              <w:jc w:val="both"/>
              <w:rPr>
                <w:sz w:val="20"/>
              </w:rPr>
            </w:pPr>
            <w:r>
              <w:rPr>
                <w:sz w:val="20"/>
              </w:rPr>
            </w:r>
            <w:r>
              <w:rPr>
                <w:sz w:val="20"/>
              </w:rPr>
            </w:r>
            <w:r>
              <w:rPr>
                <w:sz w:val="20"/>
              </w:rPr>
            </w:r>
          </w:p>
        </w:tc>
      </w:tr>
      <w:tr>
        <w:tblPrEx/>
        <w:trPr/>
        <w:tc>
          <w:tcPr>
            <w:tcW w:w="2660" w:type="dxa"/>
            <w:textDirection w:val="lrTb"/>
            <w:noWrap w:val="false"/>
          </w:tcPr>
          <w:p>
            <w:pPr>
              <w:jc w:val="both"/>
            </w:pPr>
            <w:r>
              <w:t xml:space="preserve">Рыжкова Анастасия </w:t>
            </w:r>
            <w:r/>
          </w:p>
          <w:p>
            <w:pPr>
              <w:jc w:val="both"/>
            </w:pPr>
            <w:r>
              <w:t xml:space="preserve">Алексеевна</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руководитель МКУ «Управление по обеспечению деятельности администрации Печенгского муниципального округа»;</w:t>
            </w:r>
            <w:r/>
          </w:p>
        </w:tc>
      </w:tr>
      <w:tr>
        <w:tblPrEx/>
        <w:trPr/>
        <w:tc>
          <w:tcPr>
            <w:tcW w:w="2660" w:type="dxa"/>
            <w:textDirection w:val="lrTb"/>
            <w:noWrap w:val="false"/>
          </w:tcPr>
          <w:p>
            <w:pPr>
              <w:jc w:val="both"/>
            </w:pPr>
            <w:r/>
            <w:r/>
          </w:p>
          <w:p>
            <w:pPr>
              <w:jc w:val="both"/>
            </w:pPr>
            <w:r>
              <w:t xml:space="preserve">Жуков Руслан Андреевич</w:t>
            </w:r>
            <w:r/>
          </w:p>
        </w:tc>
        <w:tc>
          <w:tcPr>
            <w:tcW w:w="425" w:type="dxa"/>
            <w:textDirection w:val="lrTb"/>
            <w:noWrap w:val="false"/>
          </w:tcPr>
          <w:p>
            <w:pPr>
              <w:jc w:val="both"/>
            </w:pPr>
            <w:r/>
            <w:r/>
          </w:p>
          <w:p>
            <w:pPr>
              <w:jc w:val="both"/>
            </w:pPr>
            <w:r>
              <w:t xml:space="preserve">-</w:t>
            </w:r>
            <w:r/>
          </w:p>
        </w:tc>
        <w:tc>
          <w:tcPr>
            <w:tcW w:w="6379" w:type="dxa"/>
            <w:textDirection w:val="lrTb"/>
            <w:noWrap w:val="false"/>
          </w:tcPr>
          <w:p>
            <w:pPr>
              <w:jc w:val="both"/>
            </w:pPr>
            <w:r/>
            <w:r/>
          </w:p>
          <w:p>
            <w:pPr>
              <w:jc w:val="both"/>
            </w:pPr>
            <w:r>
              <w:t xml:space="preserve">депутат Совета депутатов Печенгского муниципального округа (по согласованию);</w:t>
            </w:r>
            <w:r/>
          </w:p>
          <w:p>
            <w:pPr>
              <w:jc w:val="both"/>
            </w:pPr>
            <w:r/>
            <w:r/>
          </w:p>
        </w:tc>
      </w:tr>
      <w:tr>
        <w:tblPrEx/>
        <w:trPr/>
        <w:tc>
          <w:tcPr>
            <w:tcW w:w="2660" w:type="dxa"/>
            <w:textDirection w:val="lrTb"/>
            <w:noWrap w:val="false"/>
          </w:tcPr>
          <w:p>
            <w:pPr>
              <w:jc w:val="both"/>
            </w:pPr>
            <w:r/>
            <w:r/>
          </w:p>
        </w:tc>
        <w:tc>
          <w:tcPr>
            <w:tcW w:w="425" w:type="dxa"/>
            <w:textDirection w:val="lrTb"/>
            <w:noWrap w:val="false"/>
          </w:tcPr>
          <w:p>
            <w:pPr>
              <w:jc w:val="both"/>
            </w:pPr>
            <w:r/>
            <w:r/>
          </w:p>
        </w:tc>
        <w:tc>
          <w:tcPr>
            <w:tcW w:w="6379" w:type="dxa"/>
            <w:textDirection w:val="lrTb"/>
            <w:noWrap w:val="false"/>
          </w:tcPr>
          <w:p>
            <w:pPr>
              <w:jc w:val="both"/>
            </w:pPr>
            <w:r/>
            <w:r/>
          </w:p>
        </w:tc>
      </w:tr>
      <w:tr>
        <w:tblPrEx/>
        <w:trPr/>
        <w:tc>
          <w:tcPr>
            <w:tcW w:w="2660" w:type="dxa"/>
            <w:textDirection w:val="lrTb"/>
            <w:noWrap w:val="false"/>
          </w:tcPr>
          <w:p>
            <w:pPr>
              <w:jc w:val="both"/>
            </w:pPr>
            <w:r>
              <w:t xml:space="preserve">Якоби Виталий Викторович</w:t>
            </w:r>
            <w:r/>
          </w:p>
        </w:tc>
        <w:tc>
          <w:tcPr>
            <w:tcW w:w="425" w:type="dxa"/>
            <w:textDirection w:val="lrTb"/>
            <w:noWrap w:val="false"/>
          </w:tcPr>
          <w:p>
            <w:pPr>
              <w:jc w:val="both"/>
            </w:pPr>
            <w:r>
              <w:t xml:space="preserve">-</w:t>
            </w:r>
            <w:r/>
          </w:p>
        </w:tc>
        <w:tc>
          <w:tcPr>
            <w:tcW w:w="6379" w:type="dxa"/>
            <w:textDirection w:val="lrTb"/>
            <w:noWrap w:val="false"/>
          </w:tcPr>
          <w:p>
            <w:pPr>
              <w:jc w:val="both"/>
            </w:pPr>
            <w:r>
              <w:t xml:space="preserve">депутат Совета депутатов Печенгского муниципального округа (по согласованию).</w:t>
            </w:r>
            <w:r/>
          </w:p>
        </w:tc>
      </w:tr>
      <w:tr>
        <w:tblPrEx/>
        <w:trPr/>
        <w:tc>
          <w:tcPr>
            <w:tcW w:w="2660" w:type="dxa"/>
            <w:textDirection w:val="lrTb"/>
            <w:noWrap w:val="false"/>
          </w:tcPr>
          <w:p>
            <w:pPr>
              <w:jc w:val="both"/>
            </w:pPr>
            <w:r/>
            <w:r/>
          </w:p>
        </w:tc>
        <w:tc>
          <w:tcPr>
            <w:tcW w:w="425" w:type="dxa"/>
            <w:textDirection w:val="lrTb"/>
            <w:noWrap w:val="false"/>
          </w:tcPr>
          <w:p>
            <w:pPr>
              <w:jc w:val="both"/>
            </w:pPr>
            <w:r/>
            <w:r/>
          </w:p>
        </w:tc>
        <w:tc>
          <w:tcPr>
            <w:tcW w:w="6379" w:type="dxa"/>
            <w:textDirection w:val="lrTb"/>
            <w:noWrap w:val="false"/>
          </w:tcPr>
          <w:p>
            <w:pPr>
              <w:jc w:val="both"/>
            </w:pPr>
            <w:r/>
            <w:r/>
          </w:p>
        </w:tc>
      </w:tr>
      <w:tr>
        <w:tblPrEx/>
        <w:trPr/>
        <w:tc>
          <w:tcPr>
            <w:tcW w:w="2660" w:type="dxa"/>
            <w:textDirection w:val="lrTb"/>
            <w:noWrap w:val="false"/>
          </w:tcPr>
          <w:p>
            <w:pPr>
              <w:jc w:val="both"/>
            </w:pPr>
            <w:r/>
            <w:r/>
          </w:p>
        </w:tc>
        <w:tc>
          <w:tcPr>
            <w:tcW w:w="425" w:type="dxa"/>
            <w:textDirection w:val="lrTb"/>
            <w:noWrap w:val="false"/>
          </w:tcPr>
          <w:p>
            <w:pPr>
              <w:jc w:val="both"/>
            </w:pPr>
            <w:r/>
            <w:r/>
          </w:p>
        </w:tc>
        <w:tc>
          <w:tcPr>
            <w:tcW w:w="6379" w:type="dxa"/>
            <w:textDirection w:val="lrTb"/>
            <w:noWrap w:val="false"/>
          </w:tcPr>
          <w:p>
            <w:pPr>
              <w:jc w:val="both"/>
            </w:pPr>
            <w:r/>
            <w:r/>
          </w:p>
        </w:tc>
      </w:tr>
      <w:tr>
        <w:tblPrEx/>
        <w:trPr>
          <w:trHeight w:val="276"/>
        </w:trPr>
        <w:tc>
          <w:tcPr>
            <w:tcW w:w="2660" w:type="dxa"/>
            <w:textDirection w:val="lrTb"/>
            <w:noWrap w:val="false"/>
          </w:tcPr>
          <w:p>
            <w:pPr>
              <w:jc w:val="both"/>
            </w:pPr>
            <w:r/>
            <w:r/>
          </w:p>
        </w:tc>
        <w:tc>
          <w:tcPr>
            <w:tcW w:w="425" w:type="dxa"/>
            <w:textDirection w:val="lrTb"/>
            <w:noWrap w:val="false"/>
          </w:tcPr>
          <w:p>
            <w:pPr>
              <w:jc w:val="both"/>
            </w:pPr>
            <w:r/>
            <w:r/>
          </w:p>
        </w:tc>
        <w:tc>
          <w:tcPr>
            <w:tcW w:w="6379" w:type="dxa"/>
            <w:textDirection w:val="lrTb"/>
            <w:noWrap w:val="false"/>
          </w:tcPr>
          <w:p>
            <w:pPr>
              <w:jc w:val="both"/>
            </w:pPr>
            <w:r/>
            <w:r/>
          </w:p>
        </w:tc>
      </w:tr>
    </w:tbl>
    <w:p>
      <w:pPr>
        <w:jc w:val="center"/>
        <w:widowControl/>
      </w:pPr>
      <w:r/>
      <w:r/>
    </w:p>
    <w:p>
      <w:pPr>
        <w:widowControl/>
      </w:p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3">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5">
    <w:multiLevelType w:val="hybridMultilevel"/>
    <w:lvl w:ilvl="0">
      <w:start w:val="1"/>
      <w:numFmt w:val="decimal"/>
      <w:isLgl w:val="false"/>
      <w:suff w:val="tab"/>
      <w:lvlText w:val="%1."/>
      <w:lvlJc w:val="left"/>
      <w:pPr>
        <w:ind w:left="720" w:hanging="360"/>
      </w:pPr>
      <w:rPr>
        <w:rFonts w:hint="default"/>
        <w:b w:val="0"/>
      </w:rPr>
    </w:lvl>
    <w:lvl w:ilvl="1">
      <w:start w:val="1"/>
      <w:numFmt w:val="decimal"/>
      <w:isLgl/>
      <w:suff w:val="tab"/>
      <w:lvlText w:val="%1.%2."/>
      <w:lvlJc w:val="left"/>
      <w:pPr>
        <w:ind w:left="1080" w:hanging="360"/>
      </w:pPr>
      <w:rPr>
        <w:rFonts w:hint="default"/>
      </w:rPr>
    </w:lvl>
    <w:lvl w:ilvl="2">
      <w:start w:val="1"/>
      <w:numFmt w:val="decimal"/>
      <w:isLgl/>
      <w:suff w:val="tab"/>
      <w:lvlText w:val="%1.%2.%3."/>
      <w:lvlJc w:val="left"/>
      <w:pPr>
        <w:ind w:left="1800" w:hanging="720"/>
      </w:pPr>
      <w:rPr>
        <w:rFonts w:hint="default"/>
      </w:rPr>
    </w:lvl>
    <w:lvl w:ilvl="3">
      <w:start w:val="1"/>
      <w:numFmt w:val="decimal"/>
      <w:isLgl/>
      <w:suff w:val="tab"/>
      <w:lvlText w:val="%1.%2.%3.%4."/>
      <w:lvlJc w:val="left"/>
      <w:pPr>
        <w:ind w:left="2160" w:hanging="720"/>
      </w:pPr>
      <w:rPr>
        <w:rFonts w:hint="default"/>
      </w:rPr>
    </w:lvl>
    <w:lvl w:ilvl="4">
      <w:start w:val="1"/>
      <w:numFmt w:val="decimal"/>
      <w:isLgl/>
      <w:suff w:val="tab"/>
      <w:lvlText w:val="%1.%2.%3.%4.%5."/>
      <w:lvlJc w:val="left"/>
      <w:pPr>
        <w:ind w:left="2880" w:hanging="1080"/>
      </w:pPr>
      <w:rPr>
        <w:rFonts w:hint="default"/>
      </w:rPr>
    </w:lvl>
    <w:lvl w:ilvl="5">
      <w:start w:val="1"/>
      <w:numFmt w:val="decimal"/>
      <w:isLgl/>
      <w:suff w:val="tab"/>
      <w:lvlText w:val="%1.%2.%3.%4.%5.%6."/>
      <w:lvlJc w:val="left"/>
      <w:pPr>
        <w:ind w:left="3240" w:hanging="1080"/>
      </w:pPr>
      <w:rPr>
        <w:rFonts w:hint="default"/>
      </w:rPr>
    </w:lvl>
    <w:lvl w:ilvl="6">
      <w:start w:val="1"/>
      <w:numFmt w:val="decimal"/>
      <w:isLgl/>
      <w:suff w:val="tab"/>
      <w:lvlText w:val="%1.%2.%3.%4.%5.%6.%7."/>
      <w:lvlJc w:val="left"/>
      <w:pPr>
        <w:ind w:left="3960" w:hanging="1440"/>
      </w:pPr>
      <w:rPr>
        <w:rFonts w:hint="default"/>
      </w:rPr>
    </w:lvl>
    <w:lvl w:ilvl="7">
      <w:start w:val="1"/>
      <w:numFmt w:val="decimal"/>
      <w:isLgl/>
      <w:suff w:val="tab"/>
      <w:lvlText w:val="%1.%2.%3.%4.%5.%6.%7.%8."/>
      <w:lvlJc w:val="left"/>
      <w:pPr>
        <w:ind w:left="4320" w:hanging="1440"/>
      </w:pPr>
      <w:rPr>
        <w:rFonts w:hint="default"/>
      </w:rPr>
    </w:lvl>
    <w:lvl w:ilvl="8">
      <w:start w:val="1"/>
      <w:numFmt w:val="decimal"/>
      <w:isLgl/>
      <w:suff w:val="tab"/>
      <w:lvlText w:val="%1.%2.%3.%4.%5.%6.%7.%8.%9."/>
      <w:lvlJc w:val="left"/>
      <w:pPr>
        <w:ind w:left="5040" w:hanging="1800"/>
      </w:pPr>
      <w:rPr>
        <w:rFonts w:hint="default"/>
      </w:rPr>
    </w:lvl>
  </w:abstractNum>
  <w:abstractNum w:abstractNumId="16">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9">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7">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none"/>
      <w:isLgl w:val="false"/>
      <w:suff w:val="space"/>
      <w:lvlText w:val="1.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1.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0">
    <w:multiLevelType w:val="hybridMultilevel"/>
    <w:lvl w:ilvl="0">
      <w:start w:val="1"/>
      <w:numFmt w:val="none"/>
      <w:isLgl w:val="false"/>
      <w:suff w:val="space"/>
      <w:lvlText w:val="1.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1">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none"/>
      <w:isLgl w:val="false"/>
      <w:suff w:val="space"/>
      <w:lvlText w:val="1.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3">
    <w:multiLevelType w:val="hybridMultilevel"/>
    <w:lvl w:ilvl="0">
      <w:start w:val="1"/>
      <w:numFmt w:val="none"/>
      <w:isLgl w:val="false"/>
      <w:suff w:val="space"/>
      <w:lvlText w:val="2.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4">
    <w:multiLevelType w:val="hybridMultilevel"/>
    <w:lvl w:ilvl="0">
      <w:start w:val="1"/>
      <w:numFmt w:val="none"/>
      <w:isLgl w:val="false"/>
      <w:suff w:val="space"/>
      <w:lvlText w:val="2.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5">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none"/>
      <w:isLgl w:val="false"/>
      <w:suff w:val="space"/>
      <w:lvlText w:val="3.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7">
    <w:multiLevelType w:val="hybridMultilevel"/>
    <w:lvl w:ilvl="0">
      <w:start w:val="1"/>
      <w:numFmt w:val="none"/>
      <w:isLgl w:val="false"/>
      <w:suff w:val="space"/>
      <w:lvlText w:val="3.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8">
    <w:multiLevelType w:val="hybridMultilevel"/>
    <w:lvl w:ilvl="0">
      <w:start w:val="1"/>
      <w:numFmt w:val="none"/>
      <w:isLgl w:val="false"/>
      <w:suff w:val="space"/>
      <w:lvlText w:val="3.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9">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none"/>
      <w:isLgl w:val="false"/>
      <w:suff w:val="space"/>
      <w:lvlText w:val="3.5."/>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42">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none"/>
      <w:isLgl w:val="false"/>
      <w:suff w:val="space"/>
      <w:lvlText w:val="3.6."/>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44">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none"/>
      <w:isLgl w:val="false"/>
      <w:suff w:val="space"/>
      <w:lvlText w:val="4.5."/>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num w:numId="1">
    <w:abstractNumId w:val="2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4"/>
  </w:num>
  <w:num w:numId="3">
    <w:abstractNumId w:val="5"/>
  </w:num>
  <w:num w:numId="4">
    <w:abstractNumId w:val="22"/>
  </w:num>
  <w:num w:numId="5">
    <w:abstractNumId w:val="0"/>
  </w:num>
  <w:num w:numId="6">
    <w:abstractNumId w:val="7"/>
  </w:num>
  <w:num w:numId="7">
    <w:abstractNumId w:val="17"/>
  </w:num>
  <w:num w:numId="8">
    <w:abstractNumId w:val="18"/>
  </w:num>
  <w:num w:numId="9">
    <w:abstractNumId w:val="8"/>
  </w:num>
  <w:num w:numId="10">
    <w:abstractNumId w:val="13"/>
  </w:num>
  <w:num w:numId="11">
    <w:abstractNumId w:val="26"/>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3"/>
  </w:num>
  <w:num w:numId="15">
    <w:abstractNumId w:val="3"/>
  </w:num>
  <w:num w:numId="16">
    <w:abstractNumId w:val="6"/>
  </w:num>
  <w:num w:numId="17">
    <w:abstractNumId w:val="21"/>
  </w:num>
  <w:num w:numId="18">
    <w:abstractNumId w:val="9"/>
  </w:num>
  <w:num w:numId="19">
    <w:abstractNumId w:val="4"/>
  </w:num>
  <w:num w:numId="20">
    <w:abstractNumId w:val="25"/>
  </w:num>
  <w:num w:numId="21">
    <w:abstractNumId w:val="11"/>
  </w:num>
  <w:num w:numId="22">
    <w:abstractNumId w:val="16"/>
  </w:num>
  <w:num w:numId="23">
    <w:abstractNumId w:val="12"/>
  </w:num>
  <w:num w:numId="24">
    <w:abstractNumId w:val="2"/>
  </w:num>
  <w:num w:numId="25">
    <w:abstractNumId w:val="19"/>
  </w:num>
  <w:num w:numId="26">
    <w:abstractNumId w:val="1"/>
  </w:num>
  <w:num w:numId="27">
    <w:abstractNumId w:val="14"/>
  </w:num>
  <w:num w:numId="28">
    <w:abstractNumId w:val="15"/>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basedOn w:val="793"/>
    <w:link w:val="784"/>
    <w:uiPriority w:val="9"/>
    <w:rPr>
      <w:rFonts w:ascii="Arial" w:hAnsi="Arial" w:eastAsia="Arial" w:cs="Arial"/>
      <w:sz w:val="40"/>
      <w:szCs w:val="40"/>
    </w:rPr>
  </w:style>
  <w:style w:type="character" w:styleId="748">
    <w:name w:val="Heading 2 Char"/>
    <w:basedOn w:val="793"/>
    <w:link w:val="785"/>
    <w:uiPriority w:val="9"/>
    <w:rPr>
      <w:rFonts w:ascii="Arial" w:hAnsi="Arial" w:eastAsia="Arial" w:cs="Arial"/>
      <w:sz w:val="34"/>
    </w:rPr>
  </w:style>
  <w:style w:type="character" w:styleId="749">
    <w:name w:val="Heading 3 Char"/>
    <w:basedOn w:val="793"/>
    <w:link w:val="786"/>
    <w:uiPriority w:val="9"/>
    <w:rPr>
      <w:rFonts w:ascii="Arial" w:hAnsi="Arial" w:eastAsia="Arial" w:cs="Arial"/>
      <w:sz w:val="30"/>
      <w:szCs w:val="30"/>
    </w:rPr>
  </w:style>
  <w:style w:type="character" w:styleId="750">
    <w:name w:val="Heading 4 Char"/>
    <w:basedOn w:val="793"/>
    <w:link w:val="787"/>
    <w:uiPriority w:val="9"/>
    <w:rPr>
      <w:rFonts w:ascii="Arial" w:hAnsi="Arial" w:eastAsia="Arial" w:cs="Arial"/>
      <w:b/>
      <w:bCs/>
      <w:sz w:val="26"/>
      <w:szCs w:val="26"/>
    </w:rPr>
  </w:style>
  <w:style w:type="character" w:styleId="751">
    <w:name w:val="Heading 5 Char"/>
    <w:basedOn w:val="793"/>
    <w:link w:val="788"/>
    <w:uiPriority w:val="9"/>
    <w:rPr>
      <w:rFonts w:ascii="Arial" w:hAnsi="Arial" w:eastAsia="Arial" w:cs="Arial"/>
      <w:b/>
      <w:bCs/>
      <w:sz w:val="24"/>
      <w:szCs w:val="24"/>
    </w:rPr>
  </w:style>
  <w:style w:type="character" w:styleId="752">
    <w:name w:val="Heading 6 Char"/>
    <w:basedOn w:val="793"/>
    <w:link w:val="789"/>
    <w:uiPriority w:val="9"/>
    <w:rPr>
      <w:rFonts w:ascii="Arial" w:hAnsi="Arial" w:eastAsia="Arial" w:cs="Arial"/>
      <w:b/>
      <w:bCs/>
      <w:sz w:val="22"/>
      <w:szCs w:val="22"/>
    </w:rPr>
  </w:style>
  <w:style w:type="character" w:styleId="753">
    <w:name w:val="Heading 7 Char"/>
    <w:basedOn w:val="793"/>
    <w:link w:val="790"/>
    <w:uiPriority w:val="9"/>
    <w:rPr>
      <w:rFonts w:ascii="Arial" w:hAnsi="Arial" w:eastAsia="Arial" w:cs="Arial"/>
      <w:b/>
      <w:bCs/>
      <w:i/>
      <w:iCs/>
      <w:sz w:val="22"/>
      <w:szCs w:val="22"/>
    </w:rPr>
  </w:style>
  <w:style w:type="character" w:styleId="754">
    <w:name w:val="Heading 8 Char"/>
    <w:basedOn w:val="793"/>
    <w:link w:val="791"/>
    <w:uiPriority w:val="9"/>
    <w:rPr>
      <w:rFonts w:ascii="Arial" w:hAnsi="Arial" w:eastAsia="Arial" w:cs="Arial"/>
      <w:i/>
      <w:iCs/>
      <w:sz w:val="22"/>
      <w:szCs w:val="22"/>
    </w:rPr>
  </w:style>
  <w:style w:type="character" w:styleId="755">
    <w:name w:val="Heading 9 Char"/>
    <w:basedOn w:val="793"/>
    <w:link w:val="792"/>
    <w:uiPriority w:val="9"/>
    <w:rPr>
      <w:rFonts w:ascii="Arial" w:hAnsi="Arial" w:eastAsia="Arial" w:cs="Arial"/>
      <w:i/>
      <w:iCs/>
      <w:sz w:val="21"/>
      <w:szCs w:val="21"/>
    </w:rPr>
  </w:style>
  <w:style w:type="character" w:styleId="756">
    <w:name w:val="Title Char"/>
    <w:basedOn w:val="793"/>
    <w:link w:val="806"/>
    <w:uiPriority w:val="10"/>
    <w:rPr>
      <w:sz w:val="48"/>
      <w:szCs w:val="48"/>
    </w:rPr>
  </w:style>
  <w:style w:type="character" w:styleId="757">
    <w:name w:val="Subtitle Char"/>
    <w:basedOn w:val="793"/>
    <w:link w:val="808"/>
    <w:uiPriority w:val="11"/>
    <w:rPr>
      <w:sz w:val="24"/>
      <w:szCs w:val="24"/>
    </w:rPr>
  </w:style>
  <w:style w:type="character" w:styleId="758">
    <w:name w:val="Quote Char"/>
    <w:link w:val="810"/>
    <w:uiPriority w:val="29"/>
    <w:rPr>
      <w:i/>
    </w:rPr>
  </w:style>
  <w:style w:type="character" w:styleId="759">
    <w:name w:val="Intense Quote Char"/>
    <w:link w:val="812"/>
    <w:uiPriority w:val="30"/>
    <w:rPr>
      <w:i/>
    </w:rPr>
  </w:style>
  <w:style w:type="character" w:styleId="760">
    <w:name w:val="Header Char"/>
    <w:basedOn w:val="793"/>
    <w:link w:val="977"/>
    <w:uiPriority w:val="99"/>
  </w:style>
  <w:style w:type="character" w:styleId="761">
    <w:name w:val="Caption Char"/>
    <w:basedOn w:val="974"/>
    <w:link w:val="815"/>
    <w:uiPriority w:val="99"/>
  </w:style>
  <w:style w:type="table" w:styleId="762">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Footnote Text Char"/>
    <w:link w:val="943"/>
    <w:uiPriority w:val="99"/>
    <w:rPr>
      <w:sz w:val="18"/>
    </w:rPr>
  </w:style>
  <w:style w:type="character" w:styleId="782">
    <w:name w:val="Endnote Text Char"/>
    <w:link w:val="946"/>
    <w:uiPriority w:val="99"/>
    <w:rPr>
      <w:sz w:val="20"/>
    </w:rPr>
  </w:style>
  <w:style w:type="paragraph" w:styleId="783" w:default="1">
    <w:name w:val="Normal"/>
    <w:qFormat/>
    <w:pPr>
      <w:widowControl w:val="off"/>
    </w:pPr>
    <w:rPr>
      <w:rFonts w:ascii="Times New Roman" w:hAnsi="Times New Roman" w:eastAsia="Times New Roman"/>
      <w:sz w:val="24"/>
      <w:szCs w:val="24"/>
    </w:rPr>
  </w:style>
  <w:style w:type="paragraph" w:styleId="784">
    <w:name w:val="Heading 1"/>
    <w:basedOn w:val="783"/>
    <w:next w:val="783"/>
    <w:link w:val="796"/>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797"/>
    <w:qFormat/>
    <w:pPr>
      <w:jc w:val="center"/>
      <w:keepNext/>
      <w:widowControl/>
      <w:outlineLvl w:val="1"/>
    </w:pPr>
    <w:rPr>
      <w:b/>
      <w:sz w:val="44"/>
    </w:rPr>
  </w:style>
  <w:style w:type="paragraph" w:styleId="786">
    <w:name w:val="Heading 3"/>
    <w:basedOn w:val="783"/>
    <w:next w:val="783"/>
    <w:link w:val="798"/>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799"/>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00"/>
    <w:uiPriority w:val="9"/>
    <w:unhideWhenUsed/>
    <w:qFormat/>
    <w:pPr>
      <w:keepLines/>
      <w:keepNext/>
      <w:spacing w:before="320" w:after="200"/>
      <w:outlineLvl w:val="4"/>
    </w:pPr>
    <w:rPr>
      <w:rFonts w:ascii="Arial" w:hAnsi="Arial" w:eastAsia="Arial" w:cs="Arial"/>
      <w:b/>
      <w:bCs/>
    </w:rPr>
  </w:style>
  <w:style w:type="paragraph" w:styleId="789">
    <w:name w:val="Heading 6"/>
    <w:basedOn w:val="783"/>
    <w:next w:val="783"/>
    <w:link w:val="801"/>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03"/>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04"/>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Заголовок 1 Знак"/>
    <w:basedOn w:val="793"/>
    <w:link w:val="784"/>
    <w:uiPriority w:val="9"/>
    <w:rPr>
      <w:rFonts w:ascii="Arial" w:hAnsi="Arial" w:eastAsia="Arial" w:cs="Arial"/>
      <w:sz w:val="40"/>
      <w:szCs w:val="40"/>
    </w:rPr>
  </w:style>
  <w:style w:type="character" w:styleId="797" w:customStyle="1">
    <w:name w:val="Заголовок 2 Знак"/>
    <w:basedOn w:val="793"/>
    <w:link w:val="785"/>
    <w:uiPriority w:val="9"/>
    <w:rPr>
      <w:rFonts w:ascii="Arial" w:hAnsi="Arial" w:eastAsia="Arial" w:cs="Arial"/>
      <w:sz w:val="34"/>
    </w:rPr>
  </w:style>
  <w:style w:type="character" w:styleId="798" w:customStyle="1">
    <w:name w:val="Заголовок 3 Знак"/>
    <w:basedOn w:val="793"/>
    <w:link w:val="786"/>
    <w:uiPriority w:val="9"/>
    <w:rPr>
      <w:rFonts w:ascii="Arial" w:hAnsi="Arial" w:eastAsia="Arial" w:cs="Arial"/>
      <w:sz w:val="30"/>
      <w:szCs w:val="30"/>
    </w:rPr>
  </w:style>
  <w:style w:type="character" w:styleId="799" w:customStyle="1">
    <w:name w:val="Заголовок 4 Знак"/>
    <w:basedOn w:val="793"/>
    <w:link w:val="787"/>
    <w:uiPriority w:val="9"/>
    <w:rPr>
      <w:rFonts w:ascii="Arial" w:hAnsi="Arial" w:eastAsia="Arial" w:cs="Arial"/>
      <w:b/>
      <w:bCs/>
      <w:sz w:val="26"/>
      <w:szCs w:val="26"/>
    </w:rPr>
  </w:style>
  <w:style w:type="character" w:styleId="800" w:customStyle="1">
    <w:name w:val="Заголовок 5 Знак"/>
    <w:basedOn w:val="793"/>
    <w:link w:val="788"/>
    <w:uiPriority w:val="9"/>
    <w:rPr>
      <w:rFonts w:ascii="Arial" w:hAnsi="Arial" w:eastAsia="Arial" w:cs="Arial"/>
      <w:b/>
      <w:bCs/>
      <w:sz w:val="24"/>
      <w:szCs w:val="24"/>
    </w:rPr>
  </w:style>
  <w:style w:type="character" w:styleId="801" w:customStyle="1">
    <w:name w:val="Заголовок 6 Знак"/>
    <w:basedOn w:val="793"/>
    <w:link w:val="789"/>
    <w:uiPriority w:val="9"/>
    <w:rPr>
      <w:rFonts w:ascii="Arial" w:hAnsi="Arial" w:eastAsia="Arial" w:cs="Arial"/>
      <w:b/>
      <w:bCs/>
      <w:sz w:val="22"/>
      <w:szCs w:val="22"/>
    </w:rPr>
  </w:style>
  <w:style w:type="character" w:styleId="802" w:customStyle="1">
    <w:name w:val="Заголовок 7 Знак"/>
    <w:basedOn w:val="793"/>
    <w:link w:val="790"/>
    <w:uiPriority w:val="9"/>
    <w:rPr>
      <w:rFonts w:ascii="Arial" w:hAnsi="Arial" w:eastAsia="Arial" w:cs="Arial"/>
      <w:b/>
      <w:bCs/>
      <w:i/>
      <w:iCs/>
      <w:sz w:val="22"/>
      <w:szCs w:val="22"/>
    </w:rPr>
  </w:style>
  <w:style w:type="character" w:styleId="803" w:customStyle="1">
    <w:name w:val="Заголовок 8 Знак"/>
    <w:basedOn w:val="793"/>
    <w:link w:val="791"/>
    <w:uiPriority w:val="9"/>
    <w:rPr>
      <w:rFonts w:ascii="Arial" w:hAnsi="Arial" w:eastAsia="Arial" w:cs="Arial"/>
      <w:i/>
      <w:iCs/>
      <w:sz w:val="22"/>
      <w:szCs w:val="22"/>
    </w:rPr>
  </w:style>
  <w:style w:type="character" w:styleId="804" w:customStyle="1">
    <w:name w:val="Заголовок 9 Знак"/>
    <w:basedOn w:val="793"/>
    <w:link w:val="792"/>
    <w:uiPriority w:val="9"/>
    <w:rPr>
      <w:rFonts w:ascii="Arial" w:hAnsi="Arial" w:eastAsia="Arial" w:cs="Arial"/>
      <w:i/>
      <w:iCs/>
      <w:sz w:val="21"/>
      <w:szCs w:val="21"/>
    </w:rPr>
  </w:style>
  <w:style w:type="paragraph" w:styleId="805">
    <w:name w:val="No Spacing"/>
    <w:uiPriority w:val="1"/>
    <w:qFormat/>
  </w:style>
  <w:style w:type="paragraph" w:styleId="806">
    <w:name w:val="Title"/>
    <w:basedOn w:val="783"/>
    <w:next w:val="783"/>
    <w:link w:val="807"/>
    <w:uiPriority w:val="10"/>
    <w:qFormat/>
    <w:pPr>
      <w:contextualSpacing/>
      <w:spacing w:before="300" w:after="200"/>
    </w:pPr>
    <w:rPr>
      <w:sz w:val="48"/>
      <w:szCs w:val="48"/>
    </w:rPr>
  </w:style>
  <w:style w:type="character" w:styleId="807" w:customStyle="1">
    <w:name w:val="Заголовок Знак"/>
    <w:basedOn w:val="793"/>
    <w:link w:val="806"/>
    <w:uiPriority w:val="10"/>
    <w:rPr>
      <w:sz w:val="48"/>
      <w:szCs w:val="48"/>
    </w:rPr>
  </w:style>
  <w:style w:type="paragraph" w:styleId="808">
    <w:name w:val="Subtitle"/>
    <w:basedOn w:val="783"/>
    <w:next w:val="783"/>
    <w:link w:val="809"/>
    <w:uiPriority w:val="11"/>
    <w:qFormat/>
    <w:pPr>
      <w:spacing w:before="200" w:after="200"/>
    </w:pPr>
  </w:style>
  <w:style w:type="character" w:styleId="809" w:customStyle="1">
    <w:name w:val="Подзаголовок Знак"/>
    <w:basedOn w:val="793"/>
    <w:link w:val="808"/>
    <w:uiPriority w:val="11"/>
    <w:rPr>
      <w:sz w:val="24"/>
      <w:szCs w:val="24"/>
    </w:rPr>
  </w:style>
  <w:style w:type="paragraph" w:styleId="810">
    <w:name w:val="Quote"/>
    <w:basedOn w:val="783"/>
    <w:next w:val="783"/>
    <w:link w:val="811"/>
    <w:uiPriority w:val="29"/>
    <w:qFormat/>
    <w:pPr>
      <w:ind w:left="720" w:right="720"/>
    </w:pPr>
    <w:rPr>
      <w:i/>
    </w:rPr>
  </w:style>
  <w:style w:type="character" w:styleId="811" w:customStyle="1">
    <w:name w:val="Цитата 2 Знак"/>
    <w:link w:val="810"/>
    <w:uiPriority w:val="29"/>
    <w:rPr>
      <w:i/>
    </w:rPr>
  </w:style>
  <w:style w:type="paragraph" w:styleId="812">
    <w:name w:val="Intense Quote"/>
    <w:basedOn w:val="783"/>
    <w:next w:val="783"/>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Выделенная цитата Знак"/>
    <w:link w:val="812"/>
    <w:uiPriority w:val="30"/>
    <w:rPr>
      <w:i/>
    </w:rPr>
  </w:style>
  <w:style w:type="character" w:styleId="814" w:customStyle="1">
    <w:name w:val="Верхний колонтитул Знак"/>
    <w:basedOn w:val="793"/>
    <w:link w:val="977"/>
    <w:uiPriority w:val="99"/>
  </w:style>
  <w:style w:type="paragraph" w:styleId="815">
    <w:name w:val="Footer"/>
    <w:basedOn w:val="783"/>
    <w:link w:val="817"/>
    <w:uiPriority w:val="99"/>
    <w:unhideWhenUsed/>
    <w:pPr>
      <w:tabs>
        <w:tab w:val="center" w:pos="7143" w:leader="none"/>
        <w:tab w:val="right" w:pos="14287" w:leader="none"/>
      </w:tabs>
    </w:pPr>
  </w:style>
  <w:style w:type="character" w:styleId="816" w:customStyle="1">
    <w:name w:val="Footer Char"/>
    <w:basedOn w:val="793"/>
    <w:uiPriority w:val="99"/>
  </w:style>
  <w:style w:type="character" w:styleId="817" w:customStyle="1">
    <w:name w:val="Нижний колонтитул Знак"/>
    <w:link w:val="815"/>
    <w:uiPriority w:val="99"/>
  </w:style>
  <w:style w:type="table" w:styleId="818" w:customStyle="1">
    <w:name w:val="Table Grid Light"/>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9" w:customStyle="1">
    <w:name w:val="Таблица простая 11"/>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Таблица простая 21"/>
    <w:basedOn w:val="7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Таблица простая 31"/>
    <w:basedOn w:val="79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Таблица простая 41"/>
    <w:basedOn w:val="79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Таблица простая 51"/>
    <w:basedOn w:val="79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Таблица-сетка 1 светлая1"/>
    <w:basedOn w:val="79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9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9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9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9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9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9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Таблица-сетка 21"/>
    <w:basedOn w:val="79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9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9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9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9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9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9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Таблица-сетка 31"/>
    <w:basedOn w:val="79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9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9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9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9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9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9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Таблица-сетка 41"/>
    <w:basedOn w:val="79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9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basedOn w:val="79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basedOn w:val="79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basedOn w:val="79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9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9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Таблица-сетка 5 темная1"/>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9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Таблица-сетка 6 цветная1"/>
    <w:basedOn w:val="79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0" w:customStyle="1">
    <w:name w:val="Grid Table 6 Colorful - Accent 1"/>
    <w:basedOn w:val="79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basedOn w:val="79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2" w:customStyle="1">
    <w:name w:val="Grid Table 6 Colorful - Accent 3"/>
    <w:basedOn w:val="79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3" w:customStyle="1">
    <w:name w:val="Grid Table 6 Colorful - Accent 4"/>
    <w:basedOn w:val="79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basedOn w:val="79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basedOn w:val="79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Таблица-сетка 7 цветная1"/>
    <w:basedOn w:val="79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67" w:customStyle="1">
    <w:name w:val="Grid Table 7 Colorful - Accent 1"/>
    <w:basedOn w:val="79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68" w:customStyle="1">
    <w:name w:val="Grid Table 7 Colorful - Accent 2"/>
    <w:basedOn w:val="79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9" w:customStyle="1">
    <w:name w:val="Grid Table 7 Colorful - Accent 3"/>
    <w:basedOn w:val="79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70" w:customStyle="1">
    <w:name w:val="Grid Table 7 Colorful - Accent 4"/>
    <w:basedOn w:val="79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1" w:customStyle="1">
    <w:name w:val="Grid Table 7 Colorful - Accent 5"/>
    <w:basedOn w:val="79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72" w:customStyle="1">
    <w:name w:val="Grid Table 7 Colorful - Accent 6"/>
    <w:basedOn w:val="79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73" w:customStyle="1">
    <w:name w:val="Список-таблица 1 светлая1"/>
    <w:basedOn w:val="79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9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9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9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9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9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9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Список-таблица 21"/>
    <w:basedOn w:val="79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basedOn w:val="79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9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basedOn w:val="79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9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9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9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Список-таблица 31"/>
    <w:basedOn w:val="79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9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9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9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9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9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9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Список-таблица 41"/>
    <w:basedOn w:val="79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9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9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9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9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9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9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Список-таблица 5 темная1"/>
    <w:basedOn w:val="79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9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9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9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9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9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9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Список-таблица 6 цветная1"/>
    <w:basedOn w:val="79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basedOn w:val="79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0" w:customStyle="1">
    <w:name w:val="List Table 6 Colorful - Accent 2"/>
    <w:basedOn w:val="79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1" w:customStyle="1">
    <w:name w:val="List Table 6 Colorful - Accent 3"/>
    <w:basedOn w:val="79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2" w:customStyle="1">
    <w:name w:val="List Table 6 Colorful - Accent 4"/>
    <w:basedOn w:val="79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basedOn w:val="79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basedOn w:val="79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Список-таблица 7 цветная1"/>
    <w:basedOn w:val="79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16" w:customStyle="1">
    <w:name w:val="List Table 7 Colorful - Accent 1"/>
    <w:basedOn w:val="79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17" w:customStyle="1">
    <w:name w:val="List Table 7 Colorful - Accent 2"/>
    <w:basedOn w:val="79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18" w:customStyle="1">
    <w:name w:val="List Table 7 Colorful - Accent 3"/>
    <w:basedOn w:val="79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19" w:customStyle="1">
    <w:name w:val="List Table 7 Colorful - Accent 4"/>
    <w:basedOn w:val="79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0" w:customStyle="1">
    <w:name w:val="List Table 7 Colorful - Accent 5"/>
    <w:basedOn w:val="79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21" w:customStyle="1">
    <w:name w:val="List Table 7 Colorful - Accent 6"/>
    <w:basedOn w:val="79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22" w:customStyle="1">
    <w:name w:val="Lined - Accent"/>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9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9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basedOn w:val="79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basedOn w:val="79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basedOn w:val="79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basedOn w:val="79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9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9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9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basedOn w:val="79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9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basedOn w:val="79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basedOn w:val="79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9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9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43">
    <w:name w:val="footnote text"/>
    <w:basedOn w:val="783"/>
    <w:link w:val="944"/>
    <w:uiPriority w:val="99"/>
    <w:semiHidden/>
    <w:unhideWhenUsed/>
    <w:pPr>
      <w:spacing w:after="40"/>
    </w:pPr>
    <w:rPr>
      <w:sz w:val="18"/>
    </w:rPr>
  </w:style>
  <w:style w:type="character" w:styleId="944" w:customStyle="1">
    <w:name w:val="Текст сноски Знак"/>
    <w:link w:val="943"/>
    <w:uiPriority w:val="99"/>
    <w:rPr>
      <w:sz w:val="18"/>
    </w:rPr>
  </w:style>
  <w:style w:type="character" w:styleId="945">
    <w:name w:val="footnote reference"/>
    <w:basedOn w:val="793"/>
    <w:uiPriority w:val="99"/>
    <w:unhideWhenUsed/>
    <w:rPr>
      <w:vertAlign w:val="superscript"/>
    </w:rPr>
  </w:style>
  <w:style w:type="paragraph" w:styleId="946">
    <w:name w:val="endnote text"/>
    <w:basedOn w:val="783"/>
    <w:link w:val="947"/>
    <w:uiPriority w:val="99"/>
    <w:semiHidden/>
    <w:unhideWhenUsed/>
    <w:rPr>
      <w:sz w:val="20"/>
    </w:rPr>
  </w:style>
  <w:style w:type="character" w:styleId="947" w:customStyle="1">
    <w:name w:val="Текст концевой сноски Знак"/>
    <w:link w:val="946"/>
    <w:uiPriority w:val="99"/>
    <w:rPr>
      <w:sz w:val="20"/>
    </w:rPr>
  </w:style>
  <w:style w:type="character" w:styleId="948">
    <w:name w:val="endnote reference"/>
    <w:basedOn w:val="793"/>
    <w:uiPriority w:val="99"/>
    <w:semiHidden/>
    <w:unhideWhenUsed/>
    <w:rPr>
      <w:vertAlign w:val="superscript"/>
    </w:rPr>
  </w:style>
  <w:style w:type="paragraph" w:styleId="949">
    <w:name w:val="toc 1"/>
    <w:basedOn w:val="783"/>
    <w:next w:val="783"/>
    <w:uiPriority w:val="39"/>
    <w:unhideWhenUsed/>
    <w:pPr>
      <w:spacing w:after="57"/>
    </w:pPr>
  </w:style>
  <w:style w:type="paragraph" w:styleId="950">
    <w:name w:val="toc 2"/>
    <w:basedOn w:val="783"/>
    <w:next w:val="783"/>
    <w:uiPriority w:val="39"/>
    <w:unhideWhenUsed/>
    <w:pPr>
      <w:ind w:left="283"/>
      <w:spacing w:after="57"/>
    </w:pPr>
  </w:style>
  <w:style w:type="paragraph" w:styleId="951">
    <w:name w:val="toc 3"/>
    <w:basedOn w:val="783"/>
    <w:next w:val="783"/>
    <w:uiPriority w:val="39"/>
    <w:unhideWhenUsed/>
    <w:pPr>
      <w:ind w:left="567"/>
      <w:spacing w:after="57"/>
    </w:pPr>
  </w:style>
  <w:style w:type="paragraph" w:styleId="952">
    <w:name w:val="toc 4"/>
    <w:basedOn w:val="783"/>
    <w:next w:val="783"/>
    <w:uiPriority w:val="39"/>
    <w:unhideWhenUsed/>
    <w:pPr>
      <w:ind w:left="850"/>
      <w:spacing w:after="57"/>
    </w:pPr>
  </w:style>
  <w:style w:type="paragraph" w:styleId="953">
    <w:name w:val="toc 5"/>
    <w:basedOn w:val="783"/>
    <w:next w:val="783"/>
    <w:uiPriority w:val="39"/>
    <w:unhideWhenUsed/>
    <w:pPr>
      <w:ind w:left="1134"/>
      <w:spacing w:after="57"/>
    </w:pPr>
  </w:style>
  <w:style w:type="paragraph" w:styleId="954">
    <w:name w:val="toc 6"/>
    <w:basedOn w:val="783"/>
    <w:next w:val="783"/>
    <w:uiPriority w:val="39"/>
    <w:unhideWhenUsed/>
    <w:pPr>
      <w:ind w:left="1417"/>
      <w:spacing w:after="57"/>
    </w:pPr>
  </w:style>
  <w:style w:type="paragraph" w:styleId="955">
    <w:name w:val="toc 7"/>
    <w:basedOn w:val="783"/>
    <w:next w:val="783"/>
    <w:uiPriority w:val="39"/>
    <w:unhideWhenUsed/>
    <w:pPr>
      <w:ind w:left="1701"/>
      <w:spacing w:after="57"/>
    </w:pPr>
  </w:style>
  <w:style w:type="paragraph" w:styleId="956">
    <w:name w:val="toc 8"/>
    <w:basedOn w:val="783"/>
    <w:next w:val="783"/>
    <w:uiPriority w:val="39"/>
    <w:unhideWhenUsed/>
    <w:pPr>
      <w:ind w:left="1984"/>
      <w:spacing w:after="57"/>
    </w:pPr>
  </w:style>
  <w:style w:type="paragraph" w:styleId="957">
    <w:name w:val="toc 9"/>
    <w:basedOn w:val="783"/>
    <w:next w:val="783"/>
    <w:uiPriority w:val="39"/>
    <w:unhideWhenUsed/>
    <w:pPr>
      <w:ind w:left="2268"/>
      <w:spacing w:after="57"/>
    </w:pPr>
  </w:style>
  <w:style w:type="paragraph" w:styleId="958">
    <w:name w:val="TOC Heading"/>
    <w:uiPriority w:val="39"/>
    <w:unhideWhenUsed/>
  </w:style>
  <w:style w:type="paragraph" w:styleId="959">
    <w:name w:val="table of figures"/>
    <w:basedOn w:val="783"/>
    <w:next w:val="783"/>
    <w:uiPriority w:val="99"/>
    <w:unhideWhenUsed/>
  </w:style>
  <w:style w:type="paragraph" w:styleId="960" w:customStyle="1">
    <w:name w:val="Style5"/>
    <w:basedOn w:val="783"/>
    <w:uiPriority w:val="99"/>
    <w:pPr>
      <w:spacing w:line="307" w:lineRule="exact"/>
    </w:pPr>
  </w:style>
  <w:style w:type="paragraph" w:styleId="961" w:customStyle="1">
    <w:name w:val="Style6"/>
    <w:basedOn w:val="783"/>
    <w:uiPriority w:val="99"/>
    <w:pPr>
      <w:ind w:firstLine="749"/>
      <w:spacing w:line="302" w:lineRule="exact"/>
    </w:pPr>
  </w:style>
  <w:style w:type="paragraph" w:styleId="962" w:customStyle="1">
    <w:name w:val="Style7"/>
    <w:basedOn w:val="783"/>
    <w:uiPriority w:val="99"/>
    <w:pPr>
      <w:jc w:val="both"/>
      <w:spacing w:line="298" w:lineRule="exact"/>
    </w:pPr>
  </w:style>
  <w:style w:type="paragraph" w:styleId="963" w:customStyle="1">
    <w:name w:val="Style8"/>
    <w:basedOn w:val="783"/>
    <w:uiPriority w:val="99"/>
  </w:style>
  <w:style w:type="paragraph" w:styleId="964" w:customStyle="1">
    <w:name w:val="Style9"/>
    <w:basedOn w:val="783"/>
    <w:uiPriority w:val="99"/>
    <w:pPr>
      <w:ind w:hanging="125"/>
      <w:spacing w:line="298" w:lineRule="exact"/>
    </w:pPr>
  </w:style>
  <w:style w:type="paragraph" w:styleId="965" w:customStyle="1">
    <w:name w:val="Style10"/>
    <w:basedOn w:val="783"/>
    <w:uiPriority w:val="99"/>
    <w:pPr>
      <w:ind w:firstLine="720"/>
      <w:jc w:val="both"/>
      <w:spacing w:line="288" w:lineRule="exact"/>
    </w:pPr>
  </w:style>
  <w:style w:type="paragraph" w:styleId="966" w:customStyle="1">
    <w:name w:val="Style11"/>
    <w:basedOn w:val="783"/>
    <w:uiPriority w:val="99"/>
  </w:style>
  <w:style w:type="paragraph" w:styleId="967" w:customStyle="1">
    <w:name w:val="Style12"/>
    <w:basedOn w:val="783"/>
    <w:uiPriority w:val="99"/>
    <w:pPr>
      <w:jc w:val="both"/>
      <w:spacing w:line="302" w:lineRule="exact"/>
    </w:pPr>
  </w:style>
  <w:style w:type="character" w:styleId="968" w:customStyle="1">
    <w:name w:val="Font Style18"/>
    <w:uiPriority w:val="99"/>
    <w:rPr>
      <w:rFonts w:ascii="Times New Roman" w:hAnsi="Times New Roman" w:cs="Times New Roman"/>
      <w:b/>
      <w:bCs/>
      <w:sz w:val="16"/>
      <w:szCs w:val="16"/>
    </w:rPr>
  </w:style>
  <w:style w:type="character" w:styleId="969" w:customStyle="1">
    <w:name w:val="Font Style19"/>
    <w:uiPriority w:val="99"/>
    <w:rPr>
      <w:rFonts w:ascii="Times New Roman" w:hAnsi="Times New Roman" w:cs="Times New Roman"/>
      <w:sz w:val="24"/>
      <w:szCs w:val="24"/>
    </w:rPr>
  </w:style>
  <w:style w:type="paragraph" w:styleId="970">
    <w:name w:val="List Paragraph"/>
    <w:basedOn w:val="783"/>
    <w:uiPriority w:val="34"/>
    <w:qFormat/>
    <w:pPr>
      <w:contextualSpacing/>
      <w:ind w:left="720"/>
    </w:pPr>
  </w:style>
  <w:style w:type="paragraph" w:styleId="971" w:customStyle="1">
    <w:name w:val="Style2"/>
    <w:basedOn w:val="783"/>
    <w:uiPriority w:val="99"/>
  </w:style>
  <w:style w:type="character" w:styleId="972" w:customStyle="1">
    <w:name w:val="Font Style13"/>
    <w:uiPriority w:val="99"/>
    <w:rPr>
      <w:rFonts w:ascii="Times New Roman" w:hAnsi="Times New Roman" w:cs="Times New Roman"/>
      <w:sz w:val="26"/>
      <w:szCs w:val="26"/>
    </w:rPr>
  </w:style>
  <w:style w:type="table" w:styleId="973">
    <w:name w:val="Table Grid"/>
    <w:basedOn w:val="79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4">
    <w:name w:val="Caption"/>
    <w:basedOn w:val="783"/>
    <w:next w:val="783"/>
    <w:qFormat/>
    <w:pPr>
      <w:jc w:val="center"/>
      <w:widowControl/>
    </w:pPr>
    <w:rPr>
      <w:b/>
      <w:sz w:val="32"/>
      <w:szCs w:val="20"/>
    </w:rPr>
  </w:style>
  <w:style w:type="character" w:styleId="975">
    <w:name w:val="Hyperlink"/>
    <w:rPr>
      <w:color w:val="0000ff"/>
      <w:u w:val="single"/>
    </w:rPr>
  </w:style>
  <w:style w:type="paragraph" w:styleId="97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83"/>
    <w:pPr>
      <w:jc w:val="right"/>
      <w:spacing w:after="160" w:line="240" w:lineRule="exact"/>
    </w:pPr>
    <w:rPr>
      <w:sz w:val="20"/>
      <w:szCs w:val="20"/>
      <w:lang w:val="en-GB" w:eastAsia="en-US"/>
    </w:rPr>
  </w:style>
  <w:style w:type="paragraph" w:styleId="977">
    <w:name w:val="Header"/>
    <w:basedOn w:val="783"/>
    <w:link w:val="814"/>
    <w:pPr>
      <w:widowControl/>
      <w:tabs>
        <w:tab w:val="center" w:pos="4677" w:leader="none"/>
        <w:tab w:val="right" w:pos="9355" w:leader="none"/>
      </w:tabs>
    </w:pPr>
    <w:rPr>
      <w:sz w:val="28"/>
      <w:szCs w:val="20"/>
    </w:rPr>
  </w:style>
  <w:style w:type="paragraph" w:styleId="978">
    <w:name w:val="Body Text Indent 2"/>
    <w:basedOn w:val="783"/>
    <w:link w:val="981"/>
    <w:pPr>
      <w:ind w:firstLine="851"/>
      <w:jc w:val="both"/>
      <w:widowControl/>
    </w:pPr>
    <w:rPr>
      <w:sz w:val="28"/>
      <w:szCs w:val="20"/>
    </w:rPr>
  </w:style>
  <w:style w:type="paragraph" w:styleId="979">
    <w:name w:val="Body Text"/>
    <w:basedOn w:val="783"/>
    <w:link w:val="980"/>
    <w:pPr>
      <w:spacing w:after="120"/>
      <w:widowControl/>
    </w:pPr>
    <w:rPr>
      <w:sz w:val="20"/>
      <w:szCs w:val="20"/>
    </w:rPr>
  </w:style>
  <w:style w:type="character" w:styleId="980" w:customStyle="1">
    <w:name w:val="Основной текст Знак"/>
    <w:link w:val="979"/>
    <w:rPr>
      <w:lang w:val="ru-RU" w:eastAsia="ru-RU" w:bidi="ar-SA"/>
    </w:rPr>
  </w:style>
  <w:style w:type="character" w:styleId="981" w:customStyle="1">
    <w:name w:val="Основной текст с отступом 2 Знак"/>
    <w:link w:val="978"/>
    <w:rPr>
      <w:sz w:val="28"/>
      <w:lang w:bidi="ar-SA"/>
    </w:rPr>
  </w:style>
  <w:style w:type="paragraph" w:styleId="982">
    <w:name w:val="Normal (Web)"/>
    <w:basedOn w:val="783"/>
    <w:pPr>
      <w:spacing w:before="100" w:beforeAutospacing="1" w:after="100" w:afterAutospacing="1"/>
      <w:widowControl/>
    </w:pPr>
  </w:style>
  <w:style w:type="paragraph" w:styleId="983">
    <w:name w:val="Body Text Indent"/>
    <w:basedOn w:val="783"/>
    <w:pPr>
      <w:ind w:left="283"/>
      <w:spacing w:after="120"/>
    </w:pPr>
  </w:style>
  <w:style w:type="paragraph" w:styleId="984">
    <w:name w:val="Balloon Text"/>
    <w:basedOn w:val="783"/>
    <w:link w:val="985"/>
    <w:uiPriority w:val="99"/>
    <w:semiHidden/>
    <w:unhideWhenUsed/>
    <w:rPr>
      <w:rFonts w:ascii="Tahoma" w:hAnsi="Tahoma" w:cs="Tahoma"/>
      <w:sz w:val="16"/>
      <w:szCs w:val="16"/>
    </w:rPr>
  </w:style>
  <w:style w:type="character" w:styleId="985" w:customStyle="1">
    <w:name w:val="Текст выноски Знак"/>
    <w:link w:val="984"/>
    <w:uiPriority w:val="99"/>
    <w:semiHidden/>
    <w:rPr>
      <w:rFonts w:ascii="Tahoma" w:hAnsi="Tahoma" w:eastAsia="Times New Roman" w:cs="Tahoma"/>
      <w:sz w:val="16"/>
      <w:szCs w:val="16"/>
    </w:rPr>
  </w:style>
  <w:style w:type="paragraph" w:styleId="986" w:customStyle="1">
    <w:name w:val="ConsPlusNormal"/>
    <w:rPr>
      <w:rFonts w:ascii="Times New Roman" w:hAnsi="Times New Roman"/>
      <w:b/>
      <w:bCs/>
    </w:rPr>
  </w:style>
  <w:style w:type="paragraph" w:styleId="987" w:customStyle="1">
    <w:name w:val="Знак Знак1 Знак Знак Знак Знак Знак Знак Знак Знак Знак Знак Знак Знак Знак Знак"/>
    <w:basedOn w:val="783"/>
    <w:pPr>
      <w:spacing w:after="160" w:line="240" w:lineRule="exact"/>
      <w:widowControl/>
    </w:pPr>
    <w:rPr>
      <w:rFonts w:ascii="Verdana" w:hAnsi="Verdana" w:cs="Verdana"/>
      <w:sz w:val="20"/>
      <w:szCs w:val="20"/>
      <w:lang w:val="en-US" w:eastAsia="en-US"/>
    </w:rPr>
  </w:style>
  <w:style w:type="paragraph" w:styleId="988" w:customStyle="1">
    <w:name w:val="ConsPlusTitle"/>
    <w:pPr>
      <w:widowControl w:val="off"/>
    </w:pPr>
    <w:rPr>
      <w:rFonts w:eastAsia="Times New Roman" w:cs="Calibri"/>
      <w:b/>
      <w:sz w:val="22"/>
    </w:rPr>
  </w:style>
  <w:style w:type="table" w:styleId="989" w:customStyle="1">
    <w:name w:val="Сетка таблицы1"/>
    <w:basedOn w:val="794"/>
    <w:next w:val="973"/>
    <w:uiPriority w:val="59"/>
    <w:rPr>
      <w:rFonts w:ascii="Times New Roman" w:hAnsi="Times New Roman"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EFE5B-62DC-4449-A9C6-922A7D43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2025-04-29T13:49:00Z</dcterms:created>
  <dcterms:modified xsi:type="dcterms:W3CDTF">2025-05-07T07:54:42Z</dcterms:modified>
</cp:coreProperties>
</file>