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2661920</wp:posOffset>
                </wp:positionH>
                <wp:positionV relativeFrom="paragraph">
                  <wp:posOffset>3175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09.60pt;mso-position-horizontal:absolute;mso-position-vertical-relative:text;margin-top:0.2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28.04.2025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№ </w:t>
      </w:r>
      <w:r>
        <w:rPr>
          <w:b/>
          <w:sz w:val="24"/>
        </w:rPr>
        <w:t xml:space="preserve">689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 </w:t>
      </w:r>
      <w:r>
        <w:rPr>
          <w:b/>
        </w:rPr>
        <w:t xml:space="preserve">внесении изменений в Пл</w:t>
      </w:r>
      <w:r>
        <w:rPr>
          <w:b/>
        </w:rPr>
        <w:t xml:space="preserve">ан мероприятий по </w:t>
      </w:r>
      <w:r>
        <w:rPr>
          <w:b/>
        </w:rPr>
        <w:t xml:space="preserve">реорганизации МБУ ДО ДДТ № 2 </w:t>
      </w:r>
      <w:r>
        <w:rPr>
          <w:b/>
        </w:rPr>
      </w:r>
      <w:r>
        <w:rPr>
          <w:b/>
        </w:rPr>
      </w:r>
    </w:p>
    <w:p>
      <w:pPr>
        <w:jc w:val="center"/>
        <w:rPr>
          <w:b/>
          <w:bCs/>
        </w:rPr>
      </w:pPr>
      <w:r>
        <w:rPr>
          <w:b/>
        </w:rPr>
        <w:t xml:space="preserve">в форме прис</w:t>
      </w:r>
      <w:r>
        <w:rPr>
          <w:b/>
        </w:rPr>
        <w:t xml:space="preserve">оединения к нему МБУ «ММЦ», утвержденного постановлением администрации Печенгского муниципального округа от 03.12.2024 № 1930 </w:t>
      </w:r>
      <w:r>
        <w:rPr>
          <w:b/>
          <w:bCs/>
        </w:rPr>
      </w:r>
      <w:r>
        <w:rPr>
          <w:b/>
          <w:bCs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0" w:right="0" w:firstLine="709"/>
        <w:jc w:val="both"/>
        <w:widowControl w:val="off"/>
        <w:tabs>
          <w:tab w:val="left" w:pos="720" w:leader="none"/>
          <w:tab w:val="left" w:pos="9900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В связи с актуализацией правового акта,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4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План мероприятий по </w:t>
      </w:r>
      <w:r>
        <w:rPr>
          <w:sz w:val="24"/>
          <w:szCs w:val="24"/>
        </w:rPr>
        <w:t xml:space="preserve">реорганизации МБУ ДО ДДТ № 2</w:t>
      </w:r>
      <w:r>
        <w:rPr>
          <w:sz w:val="24"/>
          <w:szCs w:val="24"/>
        </w:rPr>
        <w:t xml:space="preserve"> в форм</w:t>
      </w:r>
      <w:r>
        <w:rPr>
          <w:sz w:val="24"/>
          <w:szCs w:val="24"/>
        </w:rPr>
        <w:t xml:space="preserve">е присоединения к нему МБУ «ММЦ»</w:t>
      </w:r>
      <w:r>
        <w:rPr>
          <w:sz w:val="24"/>
          <w:szCs w:val="24"/>
        </w:rPr>
        <w:t xml:space="preserve">, утвержденный постановлением администрации Печенгского муниципаль</w:t>
      </w:r>
      <w:r>
        <w:rPr>
          <w:sz w:val="24"/>
          <w:szCs w:val="24"/>
        </w:rPr>
        <w:t xml:space="preserve">ного округа от 03.12.2024 № 1930</w:t>
      </w:r>
      <w:r>
        <w:rPr>
          <w:sz w:val="24"/>
          <w:szCs w:val="24"/>
        </w:rPr>
        <w:t xml:space="preserve"> (в редакции постановления администрации Печенгского муниципал</w:t>
      </w:r>
      <w:r>
        <w:rPr>
          <w:sz w:val="24"/>
          <w:szCs w:val="24"/>
        </w:rPr>
        <w:t xml:space="preserve">ьного округа от 26.02.2025 № 290</w:t>
      </w:r>
      <w:r>
        <w:rPr>
          <w:sz w:val="24"/>
          <w:szCs w:val="24"/>
        </w:rPr>
        <w:t xml:space="preserve">), изложить в следующей редакции согласно </w:t>
      </w:r>
      <w:r>
        <w:rPr>
          <w:sz w:val="24"/>
          <w:szCs w:val="24"/>
        </w:rPr>
        <w:t xml:space="preserve">приложению</w:t>
      </w:r>
      <w:r>
        <w:rPr>
          <w:sz w:val="24"/>
          <w:szCs w:val="24"/>
        </w:rPr>
        <w:t xml:space="preserve">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2</w:t>
      </w:r>
      <w:r>
        <w:rPr>
          <w:bCs/>
          <w:sz w:val="24"/>
          <w:szCs w:val="24"/>
        </w:rPr>
        <w:t xml:space="preserve">. Настоящее пост</w:t>
      </w:r>
      <w:r>
        <w:rPr>
          <w:bCs/>
          <w:sz w:val="24"/>
          <w:szCs w:val="24"/>
        </w:rPr>
        <w:t xml:space="preserve">ановление вступает в силу после</w:t>
      </w:r>
      <w:r>
        <w:rPr>
          <w:bCs/>
          <w:sz w:val="24"/>
          <w:szCs w:val="24"/>
        </w:rPr>
        <w:t xml:space="preserve"> его подписания и подлежит размещению на официальном сайте Печенгского муниципального округа </w:t>
      </w:r>
      <w:hyperlink r:id="rId13" w:tooltip="https://pechengamr.gov-murman.ru/" w:history="1">
        <w:r>
          <w:rPr>
            <w:rStyle w:val="914"/>
            <w:bCs/>
            <w:sz w:val="24"/>
            <w:szCs w:val="24"/>
          </w:rPr>
          <w:t xml:space="preserve">https://pechengamr.gov-murman.ru/</w:t>
        </w:r>
      </w:hyperlink>
      <w:r>
        <w:rPr>
          <w:bCs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  <w:highlight w:val="none"/>
        </w:rPr>
      </w:pP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</w:p>
    <w:p>
      <w:pPr>
        <w:jc w:val="both"/>
        <w:rPr>
          <w:sz w:val="18"/>
          <w:szCs w:val="18"/>
          <w:highlight w:val="none"/>
        </w:rPr>
      </w:pP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</w:p>
    <w:p>
      <w:pPr>
        <w:jc w:val="both"/>
        <w:rPr>
          <w:sz w:val="18"/>
          <w:szCs w:val="18"/>
          <w:highlight w:val="none"/>
        </w:rPr>
      </w:pP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</w:p>
    <w:p>
      <w:pPr>
        <w:jc w:val="both"/>
        <w:rPr>
          <w:sz w:val="18"/>
          <w:szCs w:val="18"/>
          <w:highlight w:val="none"/>
        </w:rPr>
      </w:pPr>
      <w:r>
        <w:rPr>
          <w:sz w:val="18"/>
          <w:szCs w:val="18"/>
        </w:rPr>
        <w:t xml:space="preserve">Стрелкова Т.И., 62165 </w:t>
      </w:r>
      <w:r>
        <w:rPr>
          <w:sz w:val="18"/>
          <w:szCs w:val="18"/>
        </w:rPr>
      </w:r>
      <w:r>
        <w:rPr>
          <w:sz w:val="18"/>
          <w:szCs w:val="18"/>
          <w:highlight w:val="none"/>
        </w:rPr>
      </w:r>
    </w:p>
    <w:p>
      <w:pPr>
        <w:jc w:val="both"/>
        <w:rPr>
          <w:sz w:val="18"/>
          <w:szCs w:val="18"/>
        </w:rPr>
      </w:pPr>
      <w:r>
        <w:rPr>
          <w:sz w:val="24"/>
          <w:szCs w:val="24"/>
        </w:rPr>
        <w:t xml:space="preserve">                                                                                            </w:t>
      </w:r>
      <w:r>
        <w:rPr>
          <w:sz w:val="24"/>
          <w:szCs w:val="24"/>
        </w:rPr>
        <w:t xml:space="preserve">Приложение 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28.04.2025 № 689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Приложение 2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5528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5528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5528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от 03.12.2024 № 1930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</w:r>
      <w:r>
        <w:rPr>
          <w:b/>
          <w:bCs/>
          <w:spacing w:val="2"/>
          <w:sz w:val="28"/>
          <w:szCs w:val="28"/>
        </w:rPr>
      </w:r>
      <w:r>
        <w:rPr>
          <w:b/>
          <w:bCs/>
          <w:spacing w:val="2"/>
          <w:sz w:val="28"/>
          <w:szCs w:val="28"/>
        </w:rPr>
      </w:r>
    </w:p>
    <w:p>
      <w:pPr>
        <w:jc w:val="both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</w:r>
      <w:r>
        <w:rPr>
          <w:b/>
          <w:bCs/>
          <w:spacing w:val="2"/>
          <w:sz w:val="28"/>
          <w:szCs w:val="28"/>
        </w:rPr>
      </w:r>
      <w:r>
        <w:rPr>
          <w:b/>
          <w:bCs/>
          <w:spacing w:val="2"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ПЛАН МЕРОПРИЯТИЙ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4"/>
          <w:szCs w:val="24"/>
        </w:rPr>
        <w:t xml:space="preserve"> по реорганизации МБУ ДО ДДТ № 2 в форме присоединения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4"/>
          <w:szCs w:val="24"/>
        </w:rPr>
        <w:t xml:space="preserve">к нему МБУ «ММЦ»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981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833"/>
        <w:gridCol w:w="4352"/>
        <w:gridCol w:w="2253"/>
        <w:gridCol w:w="2380"/>
      </w:tblGrid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№ п/п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Наименования мероприятия 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Ориентировочные сроки исполнения 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Ответственные</w:t>
            </w:r>
            <w:r/>
          </w:p>
          <w:p>
            <w:pPr>
              <w:jc w:val="center"/>
            </w:pPr>
            <w:r>
              <w:t xml:space="preserve">исполнители*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Принятие постановления администрации Печенгского муниципального округа о создании комиссии по оценке последствий принятия решения о реорганизации МБУ ДО ДДТ № 2 в форме присоединения к нему МБУ «ММЦ»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15.11.2024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Никитина И.В.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заключения комиссии относительно оценки последствий принятия решения о реорганизации МБУ ДО ДДТ № 2 в форме присоединения к нему МБУ «ММЦ» в профильные министерства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03.12.2024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Никитина И.В.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Принятие постановления администрации Печенгского муниципального округа о реорганизации МБУ ДО ДДТ № 2 в форме присоединения к нему МБУ «ММЦ»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03.12.2024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Никитина И.В.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</w:t>
            </w:r>
            <w:r>
              <w:t xml:space="preserve">равление в УФНС по Мурманской области письменного уведомления о начале процедуры реорганизации МБУ ДО ДДТ № 2 в форме присоединения к нему МБУ «ММЦ» по форме Р12003 «Уведомление о начале процедуры реорганизации» с приложением постановления о реорганизации.</w:t>
            </w:r>
            <w:r/>
          </w:p>
          <w:p>
            <w:pPr>
              <w:jc w:val="both"/>
            </w:pPr>
            <w:r>
              <w:t xml:space="preserve">Контроль за поступлением выписки из ЕГРЮЛ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i/>
              </w:rPr>
            </w:pPr>
            <w:r>
              <w:t xml:space="preserve">04.12.2024</w:t>
            </w:r>
            <w:r>
              <w:rPr>
                <w:i/>
              </w:rPr>
              <w:t xml:space="preserve"> 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(в течение 3-х рабочих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дней после принятия решения о реорганизации)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</w:pPr>
            <w:r/>
            <w:r/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(предполагаемая дата внесения записи в ЕГРЮЛ о начале процедуры реорганизации 06.12.2024) </w:t>
            </w:r>
            <w:r>
              <w:rPr>
                <w:i/>
              </w:rPr>
            </w:r>
            <w:r>
              <w:rPr>
                <w:i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Лазарева Л.Ф.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5 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Ознакомление под подпись руководителей МБУ ДО ДДТ № 2 и МБУ «ММЦ» с постановлением о реорганизации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в течение 1 рабочего дня со дня принятия постановления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Никитина И.В.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6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Ознакомление под подпись работников МБУ ДО ДДТ № 2 и МБУ «ММЦ» с постановлением о реорганизации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в течение 1 рабочего дня со дня принятия постановления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Лазарева Л.Ф.</w:t>
            </w:r>
            <w:r/>
          </w:p>
          <w:p>
            <w:pPr>
              <w:jc w:val="center"/>
            </w:pPr>
            <w:r>
              <w:t xml:space="preserve">Левицкая М.В.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7</w:t>
            </w:r>
            <w:r/>
          </w:p>
          <w:p>
            <w:pPr>
              <w:jc w:val="center"/>
            </w:pPr>
            <w:r/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Издание приказов по МБУ ДО ДДТ № 2 и МБУ «ММЦ» о проведении мероприятий по реорганизации, обеспечив соблюдение трудовых прав работников, а также законных прав учащихся и родителей (законных представителей) учащихся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определяют руководители </w:t>
            </w:r>
            <w:r/>
          </w:p>
          <w:p>
            <w:pPr>
              <w:jc w:val="center"/>
            </w:pPr>
            <w:r>
              <w:t xml:space="preserve">учреждений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Лазарева Л.Ф.</w:t>
            </w:r>
            <w:r/>
          </w:p>
          <w:p>
            <w:pPr>
              <w:jc w:val="center"/>
            </w:pPr>
            <w:r>
              <w:t xml:space="preserve">Левицкая М.В.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</w:pPr>
            <w:r>
              <w:t xml:space="preserve">8</w:t>
            </w:r>
            <w:r/>
          </w:p>
          <w:p>
            <w:pPr>
              <w:ind w:left="142"/>
              <w:jc w:val="center"/>
            </w:pPr>
            <w:r/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уведомлений в письменной форме о процедуре реорганизации МБУ ДО ДДТ № 2 в </w:t>
            </w:r>
            <w:r>
              <w:t xml:space="preserve">форме присоединения к нему МБУ «ММЦ» в клиентскую службу СФР в Печенгском районе филиал № 1 Государственного учреждения – Мурманского регионального отделения фонда социального страхования Российской Федерации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в срок не более трех рабочих дней после </w:t>
            </w:r>
            <w:r>
              <w:t xml:space="preserve">принятия решения о реорганизации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Лазарева Л.Ф.</w:t>
            </w:r>
            <w:r/>
          </w:p>
          <w:p>
            <w:pPr>
              <w:jc w:val="center"/>
            </w:pPr>
            <w:r>
              <w:t xml:space="preserve">Левицкая М.В.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jc w:val="center"/>
            </w:pPr>
            <w:r>
              <w:t xml:space="preserve">9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Единый федеральный реестр юридически значимых сведений о фактах деятельности юридических лиц, индивидуальных предпринимателей и иных субъектов экономической деятельности уведомления о реорганизации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04.12.2024 – 06.12.2024</w:t>
            </w:r>
            <w:r/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(в течение 3-х рабочих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дней с даты принятия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</w:pPr>
            <w:r>
              <w:rPr>
                <w:i/>
              </w:rPr>
              <w:t xml:space="preserve">решения о реорганизации)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Лазарева Л.Ф.</w:t>
            </w:r>
            <w:r/>
          </w:p>
        </w:tc>
      </w:tr>
      <w:tr>
        <w:tblPrEx/>
        <w:trPr>
          <w:trHeight w:val="1223"/>
        </w:trPr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10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Опубликование в средствах массовой информации, в которых опубликовываются данные о государственной регистрации юр</w:t>
            </w:r>
            <w:r>
              <w:t xml:space="preserve">идического лица (Вестник государственной регистрации) после внесения в ЕГРЮЛ соответствующей информации о реорганизации, сообщения о реорганизации МБУ ДО ДДТ № 2 в форме присоединения к нему МБУ «ММЦ» о порядке и сроке заявления требований его кредиторами.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>
              <w:t xml:space="preserve">Проведение следующих процедур с целью публикации в журнале «Вестник государственной регистрации» уведомления о реорганизации МБУ ДО ДДТ № 2:</w:t>
            </w:r>
            <w:r/>
          </w:p>
          <w:p>
            <w:pPr>
              <w:jc w:val="both"/>
            </w:pPr>
            <w:r>
              <w:t xml:space="preserve">– подготовка пакета электронных документов и направление его в электронной форме в региональное представительство журнала «Вестник государственной регистрации» (ООО «ИКЦ «Правовед», г. Мурманск); </w:t>
            </w:r>
            <w:r/>
          </w:p>
          <w:p>
            <w:pPr>
              <w:jc w:val="both"/>
            </w:pPr>
            <w:r>
              <w:t xml:space="preserve">– получение электронной версии договора и платежных документов из регионального представительства журнала «Вестник государственной регистрации» (ООО «ИКЦ «Правовед», г. Мурманск) и их распечатка; </w:t>
            </w:r>
            <w:r/>
          </w:p>
          <w:p>
            <w:pPr>
              <w:jc w:val="both"/>
            </w:pPr>
            <w:r>
              <w:t xml:space="preserve">- подписание договора и платежных документов; </w:t>
            </w:r>
            <w:r/>
          </w:p>
          <w:p>
            <w:pPr>
              <w:jc w:val="both"/>
            </w:pPr>
            <w:r>
              <w:t xml:space="preserve">- оплата счета за публикацию в двух выпусках с периодичностью в один месяц);</w:t>
            </w:r>
            <w:r/>
          </w:p>
          <w:p>
            <w:pPr>
              <w:jc w:val="both"/>
            </w:pPr>
            <w:r>
              <w:t xml:space="preserve">- формирование и представление пакета документов в региональное представительство журнала «Вестник государственной регистрации» (ООО «ИКЦ «Правовед», </w:t>
              <w:br/>
              <w:t xml:space="preserve">г. Мурманск) для публикации уведомления 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09.12.2024 – 13.12.2024</w:t>
            </w:r>
            <w:r/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(в течение 5 рабочих дней после внесения в ЕГРЮЛ соответствующей информации о реорганизации, дважды с периодичностью в один месяц)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</w:pPr>
            <w:r/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Лазарева Л.Ф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357"/>
              <w:jc w:val="center"/>
            </w:pPr>
            <w:r>
              <w:t xml:space="preserve">11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уведомлений в письменной форме о начале реорганизации всем известным кредиторам МБУ «ММЦ»    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04.12.2024 – 10.12.2024</w:t>
            </w:r>
            <w:r/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(течение 5 рабочих дней после даты направления уведомления о начале реорганизации в налоговый орган) </w:t>
            </w:r>
            <w:r>
              <w:rPr>
                <w:i/>
              </w:rPr>
            </w:r>
            <w:r>
              <w:rPr>
                <w:i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Левицкая М.В.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jc w:val="center"/>
            </w:pPr>
            <w:r>
              <w:t xml:space="preserve">12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Разработать и согласовать с отделом образования штатное расписание МБУ ДО ДДТ № 2 с учетом присоединения к нему </w:t>
              <w:br/>
              <w:t xml:space="preserve">МБУ «ММЦ»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31.01.2025</w:t>
            </w:r>
            <w:r/>
          </w:p>
          <w:p>
            <w:pPr>
              <w:jc w:val="center"/>
            </w:pPr>
            <w:r>
              <w:rPr>
                <w:i/>
              </w:rPr>
              <w:t xml:space="preserve">(утвердить до внесения записи в ЕГРЮЛ о завершении процедуры реорганизации, </w:t>
            </w:r>
            <w:r>
              <w:rPr>
                <w:i/>
              </w:rPr>
              <w:t xml:space="preserve">действовать начнет с 01.06.2025)  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Никитина И.В.</w:t>
            </w:r>
            <w:r/>
          </w:p>
          <w:p>
            <w:pPr>
              <w:jc w:val="center"/>
            </w:pPr>
            <w:r>
              <w:t xml:space="preserve">Лазарева Л.Ф.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13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Уведомление в письменной форме работников МБУ ДО ДДТ № 2 и МБУ «ММЦ» о реорганизации с разъяснением права работника отказаться от продолжения работы в связи с реорганизацией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31.01.2025</w:t>
            </w:r>
            <w:r/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(не позднее чем за 2 месяца до завершения процедуры реорганизации)</w:t>
            </w:r>
            <w:r>
              <w:rPr>
                <w:i/>
              </w:rPr>
            </w:r>
            <w:r>
              <w:rPr>
                <w:i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Лазарева Л.Ф.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13.1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Уведомление в письменной форме работников </w:t>
            </w:r>
            <w:r>
              <w:t xml:space="preserve">МБУ ДО ДДТ № 2 и МБУ «ММЦ»</w:t>
            </w:r>
            <w:r>
              <w:t xml:space="preserve"> о предстоящем сокращении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не позднее 31.03.2025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Лазарева Л.Ф.</w:t>
            </w:r>
            <w:r/>
          </w:p>
          <w:p>
            <w:pPr>
              <w:jc w:val="center"/>
            </w:pPr>
            <w:r>
              <w:t xml:space="preserve">Левицкая М.В.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14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Повторное размещение в журнале «Вестник государственной регистрации» уведомления о процедуре реорганизации</w:t>
            </w:r>
            <w:r>
              <w:tab/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31.01.2025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Лазарева Л.Ф.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15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Подготовка проекта нового Устава МБУ ДО ДДТ № 2 и постановления об утверждении Устава (при необходимости)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21.02.2025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Лазарева Л.Ф.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16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Уведомить Печен</w:t>
            </w:r>
            <w:r>
              <w:t xml:space="preserve">гский кадровый центр ГОБУ Центр занятости населения Мурманской области о реорганизации МБУ ДО ДДТ № 2 в форме присоединения к нему МБУ «ММЦ», размещение информации о предстоящем высвобождении на портале «Работа России» согласно требованиям законодательства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31.01.2025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Лазарева Л.Ф.</w:t>
            </w:r>
            <w:r/>
          </w:p>
        </w:tc>
      </w:tr>
      <w:tr>
        <w:tblPrEx/>
        <w:trPr>
          <w:trHeight w:val="872"/>
        </w:trPr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17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Провести упорядочение документов постоянного хранения и по личному составу, образовавшихся в деятельности МБУ «ММЦ». Проекты описи дел и исторической справки представить на согласование в </w:t>
            </w:r>
            <w:r>
              <w:t xml:space="preserve">сектор архива отдела культуры, спорта и молодежной политики администрации Печенгского муниципального округа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05.05</w:t>
            </w:r>
            <w:r>
              <w:t xml:space="preserve">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Лазарева Л.Ф.</w:t>
            </w:r>
            <w:r/>
          </w:p>
          <w:p>
            <w:pPr>
              <w:jc w:val="center"/>
            </w:pPr>
            <w:r>
              <w:t xml:space="preserve">Левицкая М.В. 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jc w:val="center"/>
            </w:pPr>
            <w:r>
              <w:t xml:space="preserve">18</w:t>
            </w:r>
            <w:r/>
          </w:p>
          <w:p>
            <w:pPr>
              <w:ind w:left="142"/>
              <w:jc w:val="center"/>
            </w:pPr>
            <w:r/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Проведение инвентаризации (имущества, обязательств, всех видов расчетов) </w:t>
              <w:br/>
              <w:t xml:space="preserve">МБУ «ММЦ» для последующего составления передаточного акта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01.02.2025 - 01.04.2025</w:t>
            </w:r>
            <w:r/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(после даты принятия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решения о реорганизации, но не позднее дня представления в регистрирующий орган документов для внесения в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ЕГРЮЛ записи о прекращении деятельности присоединенного юридического лица) </w:t>
            </w:r>
            <w:r>
              <w:rPr>
                <w:i/>
              </w:rPr>
            </w:r>
            <w:r>
              <w:rPr>
                <w:i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Левицкая М.В.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19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Направить в Комитет по управлению имуществом администрации Печенгского муниципального округа ходатайство об изъятии из оперативного управления МБУ «ММЦ» </w:t>
            </w:r>
            <w:r>
              <w:t xml:space="preserve">недвижимого </w:t>
            </w:r>
            <w:r>
              <w:t xml:space="preserve">имущества</w:t>
            </w:r>
            <w:r>
              <w:t xml:space="preserve"> с 31.05.2025</w:t>
            </w:r>
            <w:r>
              <w:t xml:space="preserve"> (перечень </w:t>
            </w:r>
            <w:r>
              <w:t xml:space="preserve">недвижимого имущества прилагается</w:t>
            </w:r>
            <w:r>
              <w:t xml:space="preserve">)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05.05</w:t>
            </w:r>
            <w:r>
              <w:t xml:space="preserve">.2025</w:t>
            </w:r>
            <w:r/>
          </w:p>
          <w:p>
            <w:pPr>
              <w:jc w:val="center"/>
            </w:pPr>
            <w:r/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Лазарева Л.Ф.</w:t>
            </w:r>
            <w:r/>
          </w:p>
          <w:p>
            <w:pPr>
              <w:jc w:val="center"/>
            </w:pPr>
            <w:r>
              <w:t xml:space="preserve">МБУ «ЦБ»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20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Направить в Комитет по управлению имуществом администрации Печенгского муниципального округа ходатайство о закреплении за МБУ ДО ДДТ № 2 на праве оперативного управления </w:t>
            </w:r>
            <w:r>
              <w:t xml:space="preserve">недвижимого </w:t>
            </w:r>
            <w:r>
              <w:t xml:space="preserve">имущества МБУ «ММЦ» </w:t>
            </w:r>
            <w:r>
              <w:t xml:space="preserve">с 01.06.2025 </w:t>
            </w:r>
            <w:r>
              <w:t xml:space="preserve">(перечень </w:t>
            </w:r>
            <w:r>
              <w:t xml:space="preserve">недвижимого имущества прилагается</w:t>
            </w:r>
            <w:r>
              <w:t xml:space="preserve">)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05.05</w:t>
            </w:r>
            <w:r>
              <w:t xml:space="preserve">.2025</w:t>
            </w:r>
            <w:r/>
          </w:p>
          <w:p>
            <w:pPr>
              <w:jc w:val="center"/>
            </w:pPr>
            <w:r/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Лазарева Л.Ф.</w:t>
            </w:r>
            <w:r/>
          </w:p>
          <w:p>
            <w:pPr>
              <w:jc w:val="center"/>
            </w:pPr>
            <w:r>
              <w:t xml:space="preserve">МБУ «ЦБ»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21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Направить в Комитет по управлению имуществом администрации Печенгского </w:t>
            </w:r>
            <w:r>
              <w:t xml:space="preserve">муниципального округа ходатайство об изъятии из оперативного управления МБУ «ММЦ» движимого имущества и о закреплении за </w:t>
              <w:br/>
              <w:t xml:space="preserve">МБУ ДО ДДТ № 2 с 01.06.2025 (перечень движимого имущества прилагается)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20.05.2025 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Лазарева Л.Ф.</w:t>
            </w:r>
            <w:r/>
          </w:p>
          <w:p>
            <w:pPr>
              <w:jc w:val="center"/>
            </w:pPr>
            <w:r>
              <w:t xml:space="preserve">Левицкая М.В.</w:t>
            </w:r>
            <w:r/>
          </w:p>
          <w:p>
            <w:pPr>
              <w:jc w:val="center"/>
            </w:pPr>
            <w:r>
              <w:t xml:space="preserve">МБУ «ЦБ»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22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Подготовить передаточный акт, включающий обязательное условие о правопреемстве </w:t>
              <w:br/>
              <w:t xml:space="preserve">МБУ ДО ДДТ № 2 по всем правам и обязанностям МБУ «ММЦ» и описи передаваемых документов, включая лицевые счета работников за весь период наличия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не позднее 31.05.2025</w:t>
            </w:r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Лазарева Л.Ф.</w:t>
            </w:r>
            <w:r/>
          </w:p>
          <w:p>
            <w:pPr>
              <w:jc w:val="center"/>
            </w:pPr>
            <w:r>
              <w:t xml:space="preserve">Левицкая М.В. 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>
              <w:t xml:space="preserve">3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Составление и утверждение передаточного</w:t>
            </w:r>
            <w:r>
              <w:t xml:space="preserve"> акт</w:t>
            </w:r>
            <w:r>
              <w:t xml:space="preserve">а</w:t>
            </w:r>
            <w:r>
              <w:t xml:space="preserve"> с расшифровкой кредиторской и дебиторской задолженности, всех активов и пассивов, ч</w:t>
            </w:r>
            <w:r>
              <w:t xml:space="preserve">ислящихся на балансе МБУ «ММЦ» </w:t>
            </w:r>
            <w:r>
              <w:t xml:space="preserve">с указанием наименования кредиторов и дебиторов, суммы, даты возникновения задолженности, срока платежа</w:t>
            </w:r>
            <w:r>
              <w:t xml:space="preserve">.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 до 31.05</w:t>
            </w:r>
            <w:r>
              <w:t xml:space="preserve">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МБУ «ЦБ»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>
              <w:t xml:space="preserve">4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УФНС по Мурманской области заявления по форме Р12016 «Заявление о государственной регистрации в связи с завершением реорганизации юридиче</w:t>
            </w:r>
            <w:r>
              <w:t xml:space="preserve">ского лица (юридических лиц)». 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>
              <w:t xml:space="preserve">Контроль за поступлением выписки из ЕГРЮЛ о прекращении деятельности МБУ «ММЦ» 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не позднее 31.05.2025</w:t>
            </w:r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определяет</w:t>
            </w:r>
            <w:r/>
          </w:p>
          <w:p>
            <w:pPr>
              <w:jc w:val="center"/>
            </w:pPr>
            <w:r>
              <w:t xml:space="preserve">УФНС по Мурманской области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Лазарева Л.Ф.</w:t>
            </w:r>
            <w:r/>
          </w:p>
          <w:p>
            <w:pPr>
              <w:jc w:val="center"/>
            </w:pPr>
            <w:r>
              <w:t xml:space="preserve">Левицкая М.В.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>
              <w:t xml:space="preserve">5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Подготовка и передача дел постоянного хранения и по личному составу (трудовые книжки, личные дела работников, карточки учета формы Т-2, трудовые договоры и т.п.) МБУ «ММЦ» для передачи в МБУ ДО ДДТ </w:t>
              <w:br/>
              <w:t xml:space="preserve">№ 2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05</w:t>
            </w:r>
            <w:r>
              <w:t xml:space="preserve">.05.2025 – 31</w:t>
            </w:r>
            <w:r>
              <w:t xml:space="preserve">.05.2025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Лазарева Л.Ф.</w:t>
            </w:r>
            <w:r/>
          </w:p>
          <w:p>
            <w:pPr>
              <w:jc w:val="center"/>
            </w:pPr>
            <w:r>
              <w:t xml:space="preserve">Левицкая М.В.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>
              <w:t xml:space="preserve">6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Внесение соответствующих записей в трудовые книжки работников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после внесения </w:t>
            </w:r>
            <w:r/>
          </w:p>
          <w:p>
            <w:pPr>
              <w:jc w:val="center"/>
            </w:pPr>
            <w:r>
              <w:t xml:space="preserve">записи в ЕГРЮЛ </w:t>
            </w:r>
            <w:r/>
          </w:p>
          <w:p>
            <w:pPr>
              <w:jc w:val="center"/>
            </w:pPr>
            <w:r>
              <w:t xml:space="preserve">о завершении реорганизации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Лазарева Л.Ф.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>
              <w:t xml:space="preserve">7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Осуществить действия по прекращению права оперативного управления МБУ «ММЦ»  на нежилые помещения в Управлении Росреестра по Мурманской области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не позднее 1-го рабочего дня после получения из УФНС по Мурманской области документов о завершении процедуры реорганизации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Лазарева Л.Ф.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>
              <w:t xml:space="preserve">8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УФНС по Мурманской области заявления по форме Р13014 «Заявлен</w:t>
            </w:r>
            <w:r>
              <w:t xml:space="preserve">ие о государственной регистрации изменений, внесенных в учредительный документ юридического лица, и (или) о внесении изменений в сведения о юридическом лице, содержащиеся в Едином государственном реестре юридических лиц» с приложением Устава МБУ ДО ДДТ № 2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не позднее </w:t>
            </w:r>
            <w:r/>
          </w:p>
          <w:p>
            <w:pPr>
              <w:jc w:val="center"/>
            </w:pPr>
            <w:r/>
            <w:bookmarkStart w:id="0" w:name="_GoBack"/>
            <w:r/>
            <w:bookmarkEnd w:id="0"/>
            <w:r>
              <w:t xml:space="preserve">31.05.2025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Лазарева Л.Ф.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29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Принять на баланс МБУ ДО ДДТ № 2 на основании передаточного акта все активы и пассивы МБУ «ММЦ», документы управленческие, финансово-хозяйственные, по личному составу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срок определяет </w:t>
            </w:r>
            <w:r/>
          </w:p>
          <w:p>
            <w:pPr>
              <w:jc w:val="center"/>
            </w:pPr>
            <w:r>
              <w:t xml:space="preserve">МБ</w:t>
            </w:r>
            <w:r>
              <w:t xml:space="preserve">У «ЦБ»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Лазарева Л.Ф.</w:t>
            </w:r>
            <w:r/>
          </w:p>
          <w:p>
            <w:pPr>
              <w:jc w:val="center"/>
            </w:pPr>
            <w:r>
              <w:t xml:space="preserve">Алексеева Ю.В.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30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Осуществить МБУ ДО ДДТ № 2 после подписания акта и дополнительного соглашения к договору о закреплении имущества в </w:t>
            </w:r>
            <w:r>
              <w:t xml:space="preserve">оперативное управление регистрацию права оперативного управления на недвижимое имущество в Управлении Росреестра по Мурманской области. </w:t>
            </w:r>
            <w:r/>
          </w:p>
          <w:p>
            <w:pPr>
              <w:jc w:val="both"/>
            </w:pPr>
            <w:r>
              <w:t xml:space="preserve">Документы на государственную регистрацию направляет Комитет по управлению имуществом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не позднее 10 рабочих дней после подписания данного договора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Лазарева Л.Ф.</w:t>
            </w:r>
            <w:r/>
          </w:p>
          <w:p>
            <w:pPr>
              <w:jc w:val="center"/>
            </w:pPr>
            <w:r>
              <w:t xml:space="preserve">Лаврущик С.С.</w:t>
            </w:r>
            <w:r>
              <w:t xml:space="preserve">».</w:t>
            </w:r>
            <w:r/>
          </w:p>
        </w:tc>
      </w:tr>
    </w:tbl>
    <w:p>
      <w:r/>
    </w:p>
    <w:sectPr>
      <w:headerReference w:type="default" r:id="rId9"/>
      <w:headerReference w:type="even" r:id="rId10"/>
      <w:footerReference w:type="default" r:id="rId11"/>
      <w:footnotePr/>
      <w:endnotePr/>
      <w:type w:val="nextPage"/>
      <w:pgSz w:w="11906" w:h="16838" w:orient="portrait"/>
      <w:pgMar w:top="539" w:right="567" w:bottom="539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4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2"/>
      <w:jc w:val="center"/>
      <w:rPr>
        <w:rStyle w:val="942"/>
      </w:rPr>
      <w:framePr w:wrap="around" w:vAnchor="text" w:hAnchor="margin" w:xAlign="center" w:y="1"/>
    </w:pPr>
    <w:r>
      <w:rPr>
        <w:rStyle w:val="942"/>
      </w:rPr>
    </w:r>
    <w:r>
      <w:rPr>
        <w:rStyle w:val="942"/>
      </w:rPr>
    </w:r>
  </w:p>
  <w:p>
    <w:pPr>
      <w:pStyle w:val="782"/>
      <w:rPr>
        <w:rStyle w:val="942"/>
      </w:rPr>
      <w:framePr w:wrap="around" w:vAnchor="text" w:hAnchor="margin" w:xAlign="center" w:y="1"/>
    </w:pPr>
    <w:r>
      <w:rPr>
        <w:rStyle w:val="942"/>
      </w:rPr>
    </w:r>
    <w:r>
      <w:rPr>
        <w:rStyle w:val="942"/>
      </w:rPr>
    </w:r>
  </w:p>
  <w:p>
    <w:pPr>
      <w:pStyle w:val="782"/>
    </w:pPr>
    <w:r/>
    <w:r/>
  </w:p>
  <w:p>
    <w:pPr>
      <w:pStyle w:val="78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2"/>
      <w:rPr>
        <w:rStyle w:val="942"/>
      </w:rPr>
      <w:framePr w:wrap="around" w:vAnchor="text" w:hAnchor="margin" w:xAlign="center" w:y="1"/>
    </w:pPr>
    <w:r>
      <w:rPr>
        <w:rStyle w:val="942"/>
      </w:rPr>
      <w:fldChar w:fldCharType="begin"/>
    </w:r>
    <w:r>
      <w:rPr>
        <w:rStyle w:val="942"/>
      </w:rPr>
      <w:instrText xml:space="preserve">PAGE  </w:instrText>
    </w:r>
    <w:r>
      <w:rPr>
        <w:rStyle w:val="942"/>
      </w:rPr>
      <w:fldChar w:fldCharType="end"/>
    </w:r>
    <w:r>
      <w:rPr>
        <w:rStyle w:val="942"/>
      </w:rPr>
    </w:r>
    <w:r>
      <w:rPr>
        <w:rStyle w:val="942"/>
      </w:rPr>
    </w:r>
  </w:p>
  <w:p>
    <w:pPr>
      <w:pStyle w:val="782"/>
    </w:pPr>
    <w:r/>
    <w:r/>
  </w:p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3" w:hanging="103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7">
    <w:name w:val="Plain Table 1"/>
    <w:basedOn w:val="7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74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7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5 Dark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6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8">
    <w:name w:val="Grid Table 7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1">
    <w:name w:val="List Table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List Table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List Table 5 Dark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34">
    <w:name w:val="List Table 6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35">
    <w:name w:val="List Table 7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36" w:default="1">
    <w:name w:val="Normal"/>
    <w:qFormat/>
    <w:rPr>
      <w:lang w:eastAsia="ru-RU"/>
    </w:rPr>
  </w:style>
  <w:style w:type="paragraph" w:styleId="737">
    <w:name w:val="Heading 1"/>
    <w:basedOn w:val="736"/>
    <w:next w:val="736"/>
    <w:link w:val="763"/>
    <w:qFormat/>
    <w:pPr>
      <w:jc w:val="center"/>
      <w:keepNext/>
      <w:outlineLvl w:val="0"/>
    </w:pPr>
    <w:rPr>
      <w:sz w:val="24"/>
    </w:rPr>
  </w:style>
  <w:style w:type="paragraph" w:styleId="738">
    <w:name w:val="Heading 2"/>
    <w:basedOn w:val="736"/>
    <w:next w:val="736"/>
    <w:link w:val="93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39">
    <w:name w:val="Heading 3"/>
    <w:basedOn w:val="736"/>
    <w:next w:val="736"/>
    <w:link w:val="7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0">
    <w:name w:val="Heading 4"/>
    <w:basedOn w:val="736"/>
    <w:next w:val="736"/>
    <w:link w:val="76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1">
    <w:name w:val="Heading 5"/>
    <w:basedOn w:val="736"/>
    <w:next w:val="736"/>
    <w:link w:val="76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2">
    <w:name w:val="Heading 6"/>
    <w:basedOn w:val="736"/>
    <w:next w:val="736"/>
    <w:link w:val="76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3">
    <w:name w:val="Heading 7"/>
    <w:basedOn w:val="736"/>
    <w:next w:val="736"/>
    <w:link w:val="7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4">
    <w:name w:val="Heading 8"/>
    <w:basedOn w:val="736"/>
    <w:next w:val="736"/>
    <w:link w:val="77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5">
    <w:name w:val="Heading 9"/>
    <w:basedOn w:val="736"/>
    <w:next w:val="736"/>
    <w:link w:val="77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6" w:default="1">
    <w:name w:val="Default Paragraph Font"/>
    <w:uiPriority w:val="1"/>
    <w:semiHidden/>
    <w:unhideWhenUsed/>
  </w:style>
  <w:style w:type="table" w:styleId="74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8" w:default="1">
    <w:name w:val="No List"/>
    <w:uiPriority w:val="99"/>
    <w:semiHidden/>
    <w:unhideWhenUsed/>
  </w:style>
  <w:style w:type="character" w:styleId="749" w:customStyle="1">
    <w:name w:val="Heading 1 Char"/>
    <w:basedOn w:val="746"/>
    <w:uiPriority w:val="9"/>
    <w:rPr>
      <w:rFonts w:ascii="Arial" w:hAnsi="Arial" w:eastAsia="Arial" w:cs="Arial"/>
      <w:sz w:val="40"/>
      <w:szCs w:val="40"/>
    </w:rPr>
  </w:style>
  <w:style w:type="character" w:styleId="750" w:customStyle="1">
    <w:name w:val="Heading 3 Char"/>
    <w:basedOn w:val="746"/>
    <w:uiPriority w:val="9"/>
    <w:rPr>
      <w:rFonts w:ascii="Arial" w:hAnsi="Arial" w:eastAsia="Arial" w:cs="Arial"/>
      <w:sz w:val="30"/>
      <w:szCs w:val="30"/>
    </w:rPr>
  </w:style>
  <w:style w:type="character" w:styleId="751" w:customStyle="1">
    <w:name w:val="Heading 4 Char"/>
    <w:basedOn w:val="746"/>
    <w:uiPriority w:val="9"/>
    <w:rPr>
      <w:rFonts w:ascii="Arial" w:hAnsi="Arial" w:eastAsia="Arial" w:cs="Arial"/>
      <w:b/>
      <w:bCs/>
      <w:sz w:val="26"/>
      <w:szCs w:val="26"/>
    </w:rPr>
  </w:style>
  <w:style w:type="character" w:styleId="752" w:customStyle="1">
    <w:name w:val="Heading 5 Char"/>
    <w:basedOn w:val="746"/>
    <w:uiPriority w:val="9"/>
    <w:rPr>
      <w:rFonts w:ascii="Arial" w:hAnsi="Arial" w:eastAsia="Arial" w:cs="Arial"/>
      <w:b/>
      <w:bCs/>
      <w:sz w:val="24"/>
      <w:szCs w:val="24"/>
    </w:rPr>
  </w:style>
  <w:style w:type="character" w:styleId="753" w:customStyle="1">
    <w:name w:val="Heading 6 Char"/>
    <w:basedOn w:val="746"/>
    <w:uiPriority w:val="9"/>
    <w:rPr>
      <w:rFonts w:ascii="Arial" w:hAnsi="Arial" w:eastAsia="Arial" w:cs="Arial"/>
      <w:b/>
      <w:bCs/>
      <w:sz w:val="22"/>
      <w:szCs w:val="22"/>
    </w:rPr>
  </w:style>
  <w:style w:type="character" w:styleId="754" w:customStyle="1">
    <w:name w:val="Heading 7 Char"/>
    <w:basedOn w:val="7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5" w:customStyle="1">
    <w:name w:val="Heading 8 Char"/>
    <w:basedOn w:val="746"/>
    <w:uiPriority w:val="9"/>
    <w:rPr>
      <w:rFonts w:ascii="Arial" w:hAnsi="Arial" w:eastAsia="Arial" w:cs="Arial"/>
      <w:i/>
      <w:iCs/>
      <w:sz w:val="22"/>
      <w:szCs w:val="22"/>
    </w:rPr>
  </w:style>
  <w:style w:type="character" w:styleId="756" w:customStyle="1">
    <w:name w:val="Heading 9 Char"/>
    <w:basedOn w:val="746"/>
    <w:uiPriority w:val="9"/>
    <w:rPr>
      <w:rFonts w:ascii="Arial" w:hAnsi="Arial" w:eastAsia="Arial" w:cs="Arial"/>
      <w:i/>
      <w:iCs/>
      <w:sz w:val="21"/>
      <w:szCs w:val="21"/>
    </w:rPr>
  </w:style>
  <w:style w:type="character" w:styleId="757" w:customStyle="1">
    <w:name w:val="Title Char"/>
    <w:basedOn w:val="746"/>
    <w:uiPriority w:val="10"/>
    <w:rPr>
      <w:sz w:val="48"/>
      <w:szCs w:val="48"/>
    </w:rPr>
  </w:style>
  <w:style w:type="character" w:styleId="758" w:customStyle="1">
    <w:name w:val="Subtitle Char"/>
    <w:basedOn w:val="746"/>
    <w:uiPriority w:val="11"/>
    <w:rPr>
      <w:sz w:val="24"/>
      <w:szCs w:val="24"/>
    </w:rPr>
  </w:style>
  <w:style w:type="character" w:styleId="759" w:customStyle="1">
    <w:name w:val="Quote Char"/>
    <w:uiPriority w:val="29"/>
    <w:rPr>
      <w:i/>
    </w:rPr>
  </w:style>
  <w:style w:type="character" w:styleId="760" w:customStyle="1">
    <w:name w:val="Intense Quote Char"/>
    <w:uiPriority w:val="30"/>
    <w:rPr>
      <w:i/>
    </w:rPr>
  </w:style>
  <w:style w:type="character" w:styleId="761" w:customStyle="1">
    <w:name w:val="Footnote Text Char"/>
    <w:uiPriority w:val="99"/>
    <w:rPr>
      <w:sz w:val="18"/>
    </w:rPr>
  </w:style>
  <w:style w:type="character" w:styleId="762" w:customStyle="1">
    <w:name w:val="Endnote Text Char"/>
    <w:uiPriority w:val="99"/>
    <w:rPr>
      <w:sz w:val="20"/>
    </w:rPr>
  </w:style>
  <w:style w:type="character" w:styleId="763" w:customStyle="1">
    <w:name w:val="Заголовок 1 Знак"/>
    <w:link w:val="737"/>
    <w:uiPriority w:val="9"/>
    <w:rPr>
      <w:rFonts w:ascii="Arial" w:hAnsi="Arial" w:eastAsia="Arial" w:cs="Arial"/>
      <w:sz w:val="40"/>
      <w:szCs w:val="40"/>
    </w:rPr>
  </w:style>
  <w:style w:type="character" w:styleId="764" w:customStyle="1">
    <w:name w:val="Heading 2 Char"/>
    <w:uiPriority w:val="9"/>
    <w:rPr>
      <w:rFonts w:ascii="Arial" w:hAnsi="Arial" w:eastAsia="Arial" w:cs="Arial"/>
      <w:sz w:val="34"/>
    </w:rPr>
  </w:style>
  <w:style w:type="character" w:styleId="765" w:customStyle="1">
    <w:name w:val="Заголовок 3 Знак"/>
    <w:link w:val="739"/>
    <w:uiPriority w:val="9"/>
    <w:rPr>
      <w:rFonts w:ascii="Arial" w:hAnsi="Arial" w:eastAsia="Arial" w:cs="Arial"/>
      <w:sz w:val="30"/>
      <w:szCs w:val="30"/>
    </w:rPr>
  </w:style>
  <w:style w:type="character" w:styleId="766" w:customStyle="1">
    <w:name w:val="Заголовок 4 Знак"/>
    <w:link w:val="740"/>
    <w:uiPriority w:val="9"/>
    <w:rPr>
      <w:rFonts w:ascii="Arial" w:hAnsi="Arial" w:eastAsia="Arial" w:cs="Arial"/>
      <w:b/>
      <w:bCs/>
      <w:sz w:val="26"/>
      <w:szCs w:val="26"/>
    </w:rPr>
  </w:style>
  <w:style w:type="character" w:styleId="767" w:customStyle="1">
    <w:name w:val="Заголовок 5 Знак"/>
    <w:link w:val="741"/>
    <w:uiPriority w:val="9"/>
    <w:rPr>
      <w:rFonts w:ascii="Arial" w:hAnsi="Arial" w:eastAsia="Arial" w:cs="Arial"/>
      <w:b/>
      <w:bCs/>
      <w:sz w:val="24"/>
      <w:szCs w:val="24"/>
    </w:rPr>
  </w:style>
  <w:style w:type="character" w:styleId="768" w:customStyle="1">
    <w:name w:val="Заголовок 6 Знак"/>
    <w:link w:val="742"/>
    <w:uiPriority w:val="9"/>
    <w:rPr>
      <w:rFonts w:ascii="Arial" w:hAnsi="Arial" w:eastAsia="Arial" w:cs="Arial"/>
      <w:b/>
      <w:bCs/>
      <w:sz w:val="22"/>
      <w:szCs w:val="22"/>
    </w:rPr>
  </w:style>
  <w:style w:type="character" w:styleId="769" w:customStyle="1">
    <w:name w:val="Заголовок 7 Знак"/>
    <w:link w:val="74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0" w:customStyle="1">
    <w:name w:val="Заголовок 8 Знак"/>
    <w:link w:val="744"/>
    <w:uiPriority w:val="9"/>
    <w:rPr>
      <w:rFonts w:ascii="Arial" w:hAnsi="Arial" w:eastAsia="Arial" w:cs="Arial"/>
      <w:i/>
      <w:iCs/>
      <w:sz w:val="22"/>
      <w:szCs w:val="22"/>
    </w:rPr>
  </w:style>
  <w:style w:type="character" w:styleId="771" w:customStyle="1">
    <w:name w:val="Заголовок 9 Знак"/>
    <w:link w:val="745"/>
    <w:uiPriority w:val="9"/>
    <w:rPr>
      <w:rFonts w:ascii="Arial" w:hAnsi="Arial" w:eastAsia="Arial" w:cs="Arial"/>
      <w:i/>
      <w:iCs/>
      <w:sz w:val="21"/>
      <w:szCs w:val="21"/>
    </w:rPr>
  </w:style>
  <w:style w:type="paragraph" w:styleId="772">
    <w:name w:val="List Paragraph"/>
    <w:basedOn w:val="736"/>
    <w:uiPriority w:val="34"/>
    <w:qFormat/>
    <w:pPr>
      <w:contextualSpacing/>
      <w:ind w:left="720"/>
    </w:pPr>
  </w:style>
  <w:style w:type="paragraph" w:styleId="773">
    <w:name w:val="No Spacing"/>
    <w:uiPriority w:val="1"/>
    <w:qFormat/>
  </w:style>
  <w:style w:type="paragraph" w:styleId="774">
    <w:name w:val="Title"/>
    <w:basedOn w:val="736"/>
    <w:next w:val="736"/>
    <w:link w:val="7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5" w:customStyle="1">
    <w:name w:val="Заголовок Знак"/>
    <w:link w:val="774"/>
    <w:uiPriority w:val="10"/>
    <w:rPr>
      <w:sz w:val="48"/>
      <w:szCs w:val="48"/>
    </w:rPr>
  </w:style>
  <w:style w:type="paragraph" w:styleId="776">
    <w:name w:val="Subtitle"/>
    <w:basedOn w:val="736"/>
    <w:next w:val="736"/>
    <w:link w:val="777"/>
    <w:uiPriority w:val="11"/>
    <w:qFormat/>
    <w:pPr>
      <w:spacing w:before="200" w:after="200"/>
    </w:pPr>
    <w:rPr>
      <w:sz w:val="24"/>
      <w:szCs w:val="24"/>
    </w:rPr>
  </w:style>
  <w:style w:type="character" w:styleId="777" w:customStyle="1">
    <w:name w:val="Подзаголовок Знак"/>
    <w:link w:val="776"/>
    <w:uiPriority w:val="11"/>
    <w:rPr>
      <w:sz w:val="24"/>
      <w:szCs w:val="24"/>
    </w:rPr>
  </w:style>
  <w:style w:type="paragraph" w:styleId="778">
    <w:name w:val="Quote"/>
    <w:basedOn w:val="736"/>
    <w:next w:val="736"/>
    <w:link w:val="779"/>
    <w:uiPriority w:val="29"/>
    <w:qFormat/>
    <w:pPr>
      <w:ind w:left="720" w:right="720"/>
    </w:pPr>
    <w:rPr>
      <w:i/>
    </w:rPr>
  </w:style>
  <w:style w:type="character" w:styleId="779" w:customStyle="1">
    <w:name w:val="Цитата 2 Знак"/>
    <w:link w:val="778"/>
    <w:uiPriority w:val="29"/>
    <w:rPr>
      <w:i/>
    </w:rPr>
  </w:style>
  <w:style w:type="paragraph" w:styleId="780">
    <w:name w:val="Intense Quote"/>
    <w:basedOn w:val="736"/>
    <w:next w:val="736"/>
    <w:link w:val="78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1" w:customStyle="1">
    <w:name w:val="Выделенная цитата Знак"/>
    <w:link w:val="780"/>
    <w:uiPriority w:val="30"/>
    <w:rPr>
      <w:i/>
    </w:rPr>
  </w:style>
  <w:style w:type="paragraph" w:styleId="782">
    <w:name w:val="Header"/>
    <w:basedOn w:val="736"/>
    <w:link w:val="943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3" w:customStyle="1">
    <w:name w:val="Header Char"/>
    <w:uiPriority w:val="99"/>
  </w:style>
  <w:style w:type="paragraph" w:styleId="784">
    <w:name w:val="Footer"/>
    <w:basedOn w:val="736"/>
    <w:link w:val="941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5" w:customStyle="1">
    <w:name w:val="Footer Char"/>
    <w:uiPriority w:val="99"/>
  </w:style>
  <w:style w:type="paragraph" w:styleId="786">
    <w:name w:val="Caption"/>
    <w:basedOn w:val="736"/>
    <w:next w:val="7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7" w:customStyle="1">
    <w:name w:val="Caption Char"/>
    <w:uiPriority w:val="99"/>
  </w:style>
  <w:style w:type="table" w:styleId="788">
    <w:name w:val="Table Grid"/>
    <w:basedOn w:val="747"/>
    <w:tblPr/>
  </w:style>
  <w:style w:type="table" w:styleId="789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0" w:customStyle="1">
    <w:name w:val="Таблица простая 1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1" w:customStyle="1">
    <w:name w:val="Таблица простая 21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2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3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5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Таблица-сетка 41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7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18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19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0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1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2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3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4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5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0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1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2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3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4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5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6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7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2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3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58" w:customStyle="1">
    <w:name w:val="Список-таблица 3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Список-таблица 4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3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4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0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1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2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3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4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5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6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7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8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4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5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6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7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8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9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0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1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2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3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4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5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6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7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8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09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0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1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2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3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14">
    <w:name w:val="Hyperlink"/>
    <w:rPr>
      <w:color w:val="0563c1"/>
      <w:u w:val="single"/>
    </w:rPr>
  </w:style>
  <w:style w:type="paragraph" w:styleId="915">
    <w:name w:val="footnote text"/>
    <w:basedOn w:val="736"/>
    <w:link w:val="916"/>
    <w:uiPriority w:val="99"/>
    <w:semiHidden/>
    <w:unhideWhenUsed/>
    <w:pPr>
      <w:spacing w:after="40"/>
    </w:pPr>
    <w:rPr>
      <w:sz w:val="18"/>
    </w:rPr>
  </w:style>
  <w:style w:type="character" w:styleId="916" w:customStyle="1">
    <w:name w:val="Текст сноски Знак"/>
    <w:link w:val="915"/>
    <w:uiPriority w:val="99"/>
    <w:rPr>
      <w:sz w:val="18"/>
    </w:rPr>
  </w:style>
  <w:style w:type="character" w:styleId="917">
    <w:name w:val="footnote reference"/>
    <w:uiPriority w:val="99"/>
    <w:unhideWhenUsed/>
    <w:rPr>
      <w:vertAlign w:val="superscript"/>
    </w:rPr>
  </w:style>
  <w:style w:type="paragraph" w:styleId="918">
    <w:name w:val="endnote text"/>
    <w:basedOn w:val="736"/>
    <w:link w:val="919"/>
    <w:uiPriority w:val="99"/>
    <w:semiHidden/>
    <w:unhideWhenUsed/>
  </w:style>
  <w:style w:type="character" w:styleId="919" w:customStyle="1">
    <w:name w:val="Текст концевой сноски Знак"/>
    <w:link w:val="918"/>
    <w:uiPriority w:val="99"/>
    <w:rPr>
      <w:sz w:val="20"/>
    </w:rPr>
  </w:style>
  <w:style w:type="character" w:styleId="920">
    <w:name w:val="endnote reference"/>
    <w:uiPriority w:val="99"/>
    <w:semiHidden/>
    <w:unhideWhenUsed/>
    <w:rPr>
      <w:vertAlign w:val="superscript"/>
    </w:rPr>
  </w:style>
  <w:style w:type="paragraph" w:styleId="921">
    <w:name w:val="toc 1"/>
    <w:basedOn w:val="736"/>
    <w:next w:val="736"/>
    <w:uiPriority w:val="39"/>
    <w:unhideWhenUsed/>
    <w:pPr>
      <w:spacing w:after="57"/>
    </w:pPr>
  </w:style>
  <w:style w:type="paragraph" w:styleId="922">
    <w:name w:val="toc 2"/>
    <w:basedOn w:val="736"/>
    <w:next w:val="736"/>
    <w:uiPriority w:val="39"/>
    <w:unhideWhenUsed/>
    <w:pPr>
      <w:ind w:left="283"/>
      <w:spacing w:after="57"/>
    </w:pPr>
  </w:style>
  <w:style w:type="paragraph" w:styleId="923">
    <w:name w:val="toc 3"/>
    <w:basedOn w:val="736"/>
    <w:next w:val="736"/>
    <w:uiPriority w:val="39"/>
    <w:unhideWhenUsed/>
    <w:pPr>
      <w:ind w:left="567"/>
      <w:spacing w:after="57"/>
    </w:pPr>
  </w:style>
  <w:style w:type="paragraph" w:styleId="924">
    <w:name w:val="toc 4"/>
    <w:basedOn w:val="736"/>
    <w:next w:val="736"/>
    <w:uiPriority w:val="39"/>
    <w:unhideWhenUsed/>
    <w:pPr>
      <w:ind w:left="850"/>
      <w:spacing w:after="57"/>
    </w:pPr>
  </w:style>
  <w:style w:type="paragraph" w:styleId="925">
    <w:name w:val="toc 5"/>
    <w:basedOn w:val="736"/>
    <w:next w:val="736"/>
    <w:uiPriority w:val="39"/>
    <w:unhideWhenUsed/>
    <w:pPr>
      <w:ind w:left="1134"/>
      <w:spacing w:after="57"/>
    </w:pPr>
  </w:style>
  <w:style w:type="paragraph" w:styleId="926">
    <w:name w:val="toc 6"/>
    <w:basedOn w:val="736"/>
    <w:next w:val="736"/>
    <w:uiPriority w:val="39"/>
    <w:unhideWhenUsed/>
    <w:pPr>
      <w:ind w:left="1417"/>
      <w:spacing w:after="57"/>
    </w:pPr>
  </w:style>
  <w:style w:type="paragraph" w:styleId="927">
    <w:name w:val="toc 7"/>
    <w:basedOn w:val="736"/>
    <w:next w:val="736"/>
    <w:uiPriority w:val="39"/>
    <w:unhideWhenUsed/>
    <w:pPr>
      <w:ind w:left="1701"/>
      <w:spacing w:after="57"/>
    </w:pPr>
  </w:style>
  <w:style w:type="paragraph" w:styleId="928">
    <w:name w:val="toc 8"/>
    <w:basedOn w:val="736"/>
    <w:next w:val="736"/>
    <w:uiPriority w:val="39"/>
    <w:unhideWhenUsed/>
    <w:pPr>
      <w:ind w:left="1984"/>
      <w:spacing w:after="57"/>
    </w:pPr>
  </w:style>
  <w:style w:type="paragraph" w:styleId="929">
    <w:name w:val="toc 9"/>
    <w:basedOn w:val="736"/>
    <w:next w:val="736"/>
    <w:uiPriority w:val="39"/>
    <w:unhideWhenUsed/>
    <w:pPr>
      <w:ind w:left="2268"/>
      <w:spacing w:after="57"/>
    </w:pPr>
  </w:style>
  <w:style w:type="paragraph" w:styleId="930">
    <w:name w:val="TOC Heading"/>
    <w:uiPriority w:val="39"/>
    <w:unhideWhenUsed/>
  </w:style>
  <w:style w:type="paragraph" w:styleId="931">
    <w:name w:val="table of figures"/>
    <w:basedOn w:val="736"/>
    <w:next w:val="736"/>
    <w:uiPriority w:val="99"/>
    <w:unhideWhenUsed/>
  </w:style>
  <w:style w:type="character" w:styleId="932" w:customStyle="1">
    <w:name w:val="Основной шрифт абзаца;Знак Знак2 Знак Знак Знак Знак Знак Знак Знак Знак"/>
    <w:link w:val="946"/>
    <w:semiHidden/>
  </w:style>
  <w:style w:type="paragraph" w:styleId="933">
    <w:name w:val="Body Text"/>
    <w:basedOn w:val="736"/>
    <w:pPr>
      <w:jc w:val="both"/>
    </w:pPr>
    <w:rPr>
      <w:sz w:val="24"/>
      <w:szCs w:val="24"/>
    </w:rPr>
  </w:style>
  <w:style w:type="paragraph" w:styleId="934">
    <w:name w:val="Body Text Indent"/>
    <w:basedOn w:val="736"/>
    <w:pPr>
      <w:ind w:left="283"/>
      <w:spacing w:after="120"/>
    </w:pPr>
  </w:style>
  <w:style w:type="paragraph" w:styleId="935">
    <w:name w:val="Body Text 2"/>
    <w:basedOn w:val="736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36">
    <w:name w:val="Body Text Indent 2"/>
    <w:basedOn w:val="736"/>
    <w:pPr>
      <w:ind w:firstLine="709"/>
      <w:jc w:val="both"/>
    </w:pPr>
    <w:rPr>
      <w:bCs/>
      <w:sz w:val="26"/>
      <w:szCs w:val="26"/>
    </w:rPr>
  </w:style>
  <w:style w:type="paragraph" w:styleId="937">
    <w:name w:val="Body Text Indent 3"/>
    <w:basedOn w:val="736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38" w:customStyle="1">
    <w:name w:val="Знак Знак2 Знак Знак Знак Знак Знак Знак"/>
    <w:basedOn w:val="736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39" w:customStyle="1">
    <w:name w:val="Заголовок 2 Знак"/>
    <w:link w:val="738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40" w:customStyle="1">
    <w:name w:val="ConsPlusNormal"/>
    <w:pPr>
      <w:ind w:firstLine="720"/>
      <w:widowControl w:val="off"/>
    </w:pPr>
    <w:rPr>
      <w:rFonts w:ascii="Arial" w:hAnsi="Arial" w:cs="Arial"/>
      <w:lang w:eastAsia="ru-RU"/>
    </w:rPr>
  </w:style>
  <w:style w:type="character" w:styleId="941" w:customStyle="1">
    <w:name w:val="Нижний колонтитул Знак"/>
    <w:link w:val="784"/>
    <w:rPr>
      <w:rFonts w:ascii="Arial" w:hAnsi="Arial" w:cs="Arial"/>
    </w:rPr>
  </w:style>
  <w:style w:type="character" w:styleId="942">
    <w:name w:val="page number"/>
  </w:style>
  <w:style w:type="character" w:styleId="943" w:customStyle="1">
    <w:name w:val="Верхний колонтитул Знак"/>
    <w:link w:val="782"/>
    <w:rPr>
      <w:rFonts w:ascii="Arial" w:hAnsi="Arial" w:cs="Arial"/>
    </w:rPr>
  </w:style>
  <w:style w:type="paragraph" w:styleId="944">
    <w:name w:val="Balloon Text"/>
    <w:basedOn w:val="736"/>
    <w:link w:val="945"/>
    <w:rPr>
      <w:rFonts w:ascii="Tahoma" w:hAnsi="Tahoma" w:cs="Tahoma"/>
      <w:sz w:val="16"/>
      <w:szCs w:val="16"/>
    </w:rPr>
  </w:style>
  <w:style w:type="character" w:styleId="945" w:customStyle="1">
    <w:name w:val="Текст выноски Знак"/>
    <w:link w:val="944"/>
    <w:rPr>
      <w:rFonts w:ascii="Tahoma" w:hAnsi="Tahoma" w:cs="Tahoma"/>
      <w:sz w:val="16"/>
      <w:szCs w:val="16"/>
    </w:rPr>
  </w:style>
  <w:style w:type="paragraph" w:styleId="946" w:customStyle="1">
    <w:name w:val="Знак Знак2 Знак Знак Знак Знак"/>
    <w:basedOn w:val="736"/>
    <w:link w:val="93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47" w:customStyle="1">
    <w:name w:val="Знак Знак2"/>
    <w:basedOn w:val="73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48" w:customStyle="1">
    <w:name w:val="Знак Знак Знак Знак Знак Знак Знак Знак Знак Знак"/>
    <w:basedOn w:val="736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image" Target="media/image1.png"/><Relationship Id="rId13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36</cp:revision>
  <dcterms:created xsi:type="dcterms:W3CDTF">2025-04-04T06:21:00Z</dcterms:created>
  <dcterms:modified xsi:type="dcterms:W3CDTF">2025-05-14T06:16:13Z</dcterms:modified>
  <cp:version>917504</cp:version>
</cp:coreProperties>
</file>