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28.04.2025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</w:t>
      </w:r>
      <w:r>
        <w:rPr>
          <w:b/>
          <w:sz w:val="24"/>
        </w:rPr>
        <w:t xml:space="preserve">№ 695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План мероприятий по реорганизации ДК «Октябрь» в </w:t>
      </w:r>
      <w:r>
        <w:rPr>
          <w:b/>
        </w:rPr>
        <w:t xml:space="preserve">форме присоединения к нему ДК «Восход» и КДЦ «Платформа, утвержденный постановлением администрации Печенгского муниципального округа от 09.12.2024 № 1972</w:t>
      </w:r>
      <w:r>
        <w:rPr>
          <w:b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2"/>
        <w:numPr>
          <w:ilvl w:val="0"/>
          <w:numId w:val="6"/>
        </w:numPr>
        <w:ind w:lef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План мероприятий по реорганизаци</w:t>
      </w:r>
      <w:r>
        <w:rPr>
          <w:sz w:val="24"/>
          <w:szCs w:val="24"/>
        </w:rPr>
        <w:t xml:space="preserve">и ДК «Октябрь» в форме присоединения к нему </w:t>
      </w:r>
      <w:r>
        <w:rPr>
          <w:sz w:val="24"/>
          <w:szCs w:val="24"/>
        </w:rPr>
        <w:br/>
        <w:t xml:space="preserve">ДК «Восход» и КДЦ «Платформа», утвержденный постановлением администрации Печенгского муниципального округа от 09.12.2024 № 1972 (в редакции постановления администрации Печенгского муниципального округа от 26.02.</w:t>
      </w:r>
      <w:r>
        <w:rPr>
          <w:sz w:val="24"/>
          <w:szCs w:val="24"/>
        </w:rPr>
        <w:t xml:space="preserve">2025 № 286), изложить в следующей редакции согласно приложению к настоящему постановлению.</w:t>
      </w:r>
      <w:r>
        <w:rPr>
          <w:sz w:val="24"/>
          <w:szCs w:val="24"/>
        </w:rPr>
      </w:r>
    </w:p>
    <w:p>
      <w:pPr>
        <w:pStyle w:val="772"/>
        <w:numPr>
          <w:ilvl w:val="0"/>
          <w:numId w:val="6"/>
        </w:numPr>
        <w:ind w:lef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 и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14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   </w:t>
      </w:r>
      <w:r>
        <w:rPr>
          <w:sz w:val="24"/>
          <w:szCs w:val="24"/>
        </w:rPr>
        <w:t xml:space="preserve">  А.В. Кузнецов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r>
        <w:t xml:space="preserve">Стрелкова Т</w:t>
      </w:r>
      <w:r>
        <w:t xml:space="preserve">.И., 62165</w:t>
      </w:r>
      <w:r/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</w:pPr>
      <w:r>
        <w:rPr>
          <w:sz w:val="24"/>
          <w:szCs w:val="24"/>
        </w:rPr>
        <w:t xml:space="preserve">Приложение </w:t>
      </w:r>
      <w:r/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28.04.2025 № 695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2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09.12.2024 № 1972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по реорганизации ДК «Октябрь» в форме присоединения 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к нему ДК «Восход» и КДЦ «Платформа»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82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67"/>
        <w:gridCol w:w="4727"/>
        <w:gridCol w:w="2253"/>
        <w:gridCol w:w="2235"/>
      </w:tblGrid>
      <w:tr>
        <w:tblPrEx/>
        <w:trPr/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 п/п</w:t>
            </w:r>
            <w:r/>
          </w:p>
        </w:tc>
        <w:tc>
          <w:tcPr>
            <w:shd w:val="clear" w:color="auto" w:fill="auto"/>
            <w:tcW w:w="472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Наименования мероприятия</w:t>
            </w:r>
            <w:r/>
          </w:p>
        </w:tc>
        <w:tc>
          <w:tcPr>
            <w:shd w:val="clear" w:color="auto" w:fill="auto"/>
            <w:tcW w:w="225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Ориентировочные сроки исполнения</w:t>
            </w:r>
            <w:r/>
          </w:p>
        </w:tc>
        <w:tc>
          <w:tcPr>
            <w:shd w:val="clear" w:color="auto" w:fill="auto"/>
            <w:tcW w:w="22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Ответственные</w:t>
            </w:r>
            <w:r/>
          </w:p>
          <w:p>
            <w:pPr>
              <w:jc w:val="center"/>
            </w:pPr>
            <w:r>
              <w:t xml:space="preserve">исполнители*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1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</w:t>
            </w:r>
            <w:r>
              <w:rPr>
                <w:bCs/>
              </w:rPr>
              <w:t xml:space="preserve">реорганизации ДК «Октябрь» в форме присоединения к нему ДК «Восход» и </w:t>
            </w:r>
            <w:r>
              <w:rPr>
                <w:bCs/>
              </w:rPr>
              <w:br/>
              <w:t xml:space="preserve">КДЦ «Платформа»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09.12.2024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2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</w:t>
            </w:r>
            <w:r>
              <w:t xml:space="preserve"> Мурманской области письменного уведомления о начале процедуры реорганизации ДК «Октябрь» в форме присоединения к нему ДК «Восход» и </w:t>
            </w:r>
            <w:r>
              <w:br/>
              <w:t xml:space="preserve">КДЦ «Платформа» по форме Р12003 «Уведомление о начале процедуры реорганизации» с приложением постановления о реорганизации</w:t>
            </w:r>
            <w:r>
              <w:t xml:space="preserve">.</w:t>
            </w:r>
            <w:r/>
          </w:p>
          <w:p>
            <w:pPr>
              <w:jc w:val="both"/>
            </w:pPr>
            <w:r>
              <w:t xml:space="preserve">Контроль за поступлением выписки из ЕГРЮЛ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11.12.2024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Ознакомление руководителей </w:t>
            </w:r>
            <w:r>
              <w:t xml:space="preserve">ДК «Октябрь», ДК «Восход» </w:t>
            </w:r>
            <w:bookmarkStart w:id="0" w:name="_GoBack"/>
            <w:r/>
            <w:bookmarkEnd w:id="0"/>
            <w:r>
              <w:t xml:space="preserve">и КДЦ «Платформа»</w:t>
            </w:r>
            <w:r>
              <w:rPr>
                <w:bCs/>
              </w:rPr>
              <w:t xml:space="preserve"> с постановлением о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в течение 1 рабочего дня со дня принятия постановления</w:t>
            </w:r>
            <w:r/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 Морозова М</w:t>
            </w:r>
            <w:r>
              <w:rPr>
                <w:bCs/>
              </w:rPr>
              <w:t xml:space="preserve">.Е.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Ознакомление под подпись работников ДК «Октябрь», ДК «Восход» и КДЦ «Платформа» с постановлением о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в течение 1 рабочего дня со дня принятия постановления</w:t>
            </w:r>
            <w:r/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Богданов А.Н.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Сидорова М.А.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Издание приказов по ДК «Октябрь», ДК «Восход» и КДЦ «Платформа» о проведении мероприятий по реорганизации, обеспечив соблюдение трудовых прав работников, а также законных прав воспитанников и родителей (законных представителей) 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определяют руководители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уч</w:t>
            </w:r>
            <w:r>
              <w:rPr>
                <w:bCs/>
              </w:rPr>
              <w:t xml:space="preserve">реждений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Богданов А.Н.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Сидорова М.А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8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Направление уведомлений в письменной форме о процедуре</w:t>
            </w:r>
            <w:r>
              <w:t xml:space="preserve"> реорганизации ДК «Октябрь» в форме присоединения к нему ДК «Восход» и </w:t>
            </w:r>
            <w:r>
              <w:br/>
              <w:t xml:space="preserve">КДЦ «Платформа» </w:t>
            </w:r>
            <w:r>
              <w:rPr>
                <w:bCs/>
              </w:rPr>
              <w:t xml:space="preserve">в клиентскую службу СФР в Печенгском районе филиал № 1 Государственного учреждения – Мурманского регионального отделения фонда социального страхования Российской Федерации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Кравцева А.</w:t>
            </w:r>
            <w:r>
              <w:rPr>
                <w:bCs/>
              </w:rPr>
              <w:t xml:space="preserve">А. Алексеева Ю.В.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11.12.2024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начале реорганизации всем известным кредиторам ДК «Восход» и КДЦ «Платформа»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12.12.2024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Богданов А.Н.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Сидорова М.А.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Опубликование в средствах массовой информации, в которых опубликовываются данные о </w:t>
            </w:r>
            <w:r>
              <w:rPr>
                <w:bCs/>
              </w:rPr>
              <w:t xml:space="preserve">государственной регистрации юридического лица (Вестник государственной регистрации) после внесения в ЕГРЮЛ соответствующей информации о реорганизации, сообщения о реорганиза</w:t>
            </w:r>
            <w:r>
              <w:rPr>
                <w:bCs/>
              </w:rPr>
              <w:t xml:space="preserve">ции </w:t>
            </w:r>
            <w:r>
              <w:rPr>
                <w:bCs/>
              </w:rPr>
              <w:br/>
              <w:t xml:space="preserve">ДК «Октябрь» в форме присоединения к нему </w:t>
            </w:r>
            <w:r>
              <w:rPr>
                <w:bCs/>
              </w:rPr>
              <w:br/>
              <w:t xml:space="preserve">ДК «Восход» и КДЦ «Платформа» о порядке и сроке заявления требований его кредиторами.</w:t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</w:t>
            </w:r>
            <w:r>
              <w:rPr>
                <w:bCs/>
              </w:rPr>
              <w:t xml:space="preserve">ции </w:t>
            </w:r>
            <w:r>
              <w:rPr>
                <w:bCs/>
              </w:rPr>
              <w:br/>
              <w:t xml:space="preserve">ДК «Октябрь»:</w:t>
            </w:r>
            <w:r>
              <w:rPr>
                <w:bCs/>
              </w:rPr>
            </w:r>
          </w:p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– получение электронной версии договора </w:t>
            </w:r>
            <w:r>
              <w:rPr>
                <w:bCs/>
              </w:rPr>
              <w:t xml:space="preserve">и платежных документов из</w:t>
            </w:r>
            <w:r>
              <w:t xml:space="preserve"> </w:t>
            </w:r>
            <w:r>
              <w:rPr>
                <w:bCs/>
              </w:rPr>
              <w:t xml:space="preserve">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подписание договора и платежных документов; </w:t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оплата счета за публикацию в двух выпусках с перио</w:t>
            </w:r>
            <w:r>
              <w:rPr>
                <w:bCs/>
              </w:rPr>
              <w:t xml:space="preserve">дичностью в один месяц);</w:t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</w:t>
            </w:r>
            <w:r>
              <w:rPr>
                <w:bCs/>
              </w:rPr>
              <w:br/>
              <w:t xml:space="preserve">(ООО «ИКЦ «Правовед», г. Мурманск) для публикации уведомления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13.12.2024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Разработка и согласование с отделом культуры, спорта и молодежной политики нового штатного расписания МБУК «Центр культуры Печенгского муниципального округа» с учетом присоединения к нему ДК «Восхода» и КДЦ «Платформа»</w:t>
            </w:r>
            <w:r>
              <w:t xml:space="preserve">  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Уведомит</w:t>
            </w:r>
            <w:r>
              <w:t xml:space="preserve">ь Печенгский кадровый центр ГОБУ Центр занятости населения Мурманской области о реорганизации ДК «Октябрь» в форме присоединения к нему ДК «Восход» и </w:t>
            </w:r>
            <w:r>
              <w:br/>
              <w:t xml:space="preserve">КДЦ «Платформа», размещение информации о предстоящем высвобождении на портале «Работа России» согласно тр</w:t>
            </w:r>
            <w:r>
              <w:t xml:space="preserve">ебованиям законодательства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ДК «Октябрь», ДК «Восход» и КДЦ «Платформа» о реорганизации с разъяснением права работника отказаться от продолжения работы в связи с реорганизацией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Богданов А.Н.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Сидорова М.А.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14.1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ДК «Октябрь», ДК «Восход» и КДЦ «Платформа» о предстоящем сокращении 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31.03.2025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Богданов А.Н.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Сидорова М.А.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16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проекта нового Устава МБУК «Центр культуры Печенгского муниципального округа» и постановления об утверждении Устава (при необходимости)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21.02.2025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17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инвентаризации (имущества, обязательств, всех видов расчетов) ДК «Восхо</w:t>
            </w:r>
            <w:r>
              <w:t xml:space="preserve">д» и КДЦ «Платформа» для последующего составления передаточного акта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01.04.2025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</w:pPr>
            <w:r>
              <w:t xml:space="preserve">Богданов А.Н.</w:t>
            </w:r>
            <w:r/>
          </w:p>
          <w:p>
            <w:pPr>
              <w:jc w:val="center"/>
            </w:pPr>
            <w:r>
              <w:t xml:space="preserve">Сидорова М.А.</w:t>
            </w:r>
            <w:r>
              <w:br/>
              <w:t xml:space="preserve">Алексеева Ю.В.</w:t>
            </w:r>
            <w:r>
              <w:br/>
              <w:t xml:space="preserve">Лаврущик С.С.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18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</w:t>
            </w:r>
            <w:r>
              <w:t xml:space="preserve">округа ходатайство об изъятии</w:t>
            </w:r>
            <w:r>
              <w:t xml:space="preserve"> из оперативного управления ДК «Восход» и КДЦ «Платформа» недвижимого имущества с 31.05.2025 (перечень недвижимого имущества прилагается)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05.05.2025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</w:pPr>
            <w:r>
              <w:t xml:space="preserve">Реница Н.С.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19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 закреплении за ДК «Октябрь» на праве оперативного управления недвижимого имущества ДК «Восход» и КДЦ «Платформа» с 01.06.2025 (перечень недвижимого и</w:t>
            </w:r>
            <w:r>
              <w:t xml:space="preserve">мущества прилагается)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05.05.2025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</w:pPr>
            <w:r>
              <w:t xml:space="preserve">Реница Н.С.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ДК «Восход» и КДЦ «Платформа»  движимого имущества и</w:t>
            </w:r>
            <w:r>
              <w:t xml:space="preserve"> о закреплении за </w:t>
            </w:r>
            <w:r>
              <w:br/>
              <w:t xml:space="preserve">ДК «Восход» с 01.06.2025 (перечень движимого имущества прилагается)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</w:pPr>
            <w:r>
              <w:t xml:space="preserve">Реница Н.С.</w:t>
            </w:r>
            <w:r/>
          </w:p>
          <w:p>
            <w:pPr>
              <w:jc w:val="center"/>
            </w:pPr>
            <w:r>
              <w:t xml:space="preserve">Богданов А.Н.</w:t>
            </w:r>
            <w:r/>
          </w:p>
          <w:p>
            <w:pPr>
              <w:jc w:val="center"/>
            </w:pPr>
            <w:r>
              <w:t xml:space="preserve">Сидорова М.А.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Подготовить передаточный акт, включающий обязательное условие о правопреемстве </w:t>
            </w:r>
            <w:r>
              <w:br/>
            </w:r>
            <w:r>
              <w:t xml:space="preserve">ДК «Октябрь» по всем правам и обязанностям </w:t>
            </w:r>
            <w:r>
              <w:br/>
              <w:t xml:space="preserve">ДК «Восход» и КДЦ «Платформа» и описи передаваемых документов, включая лицевые счета работников за весь период наличия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</w:pPr>
            <w:r>
              <w:t xml:space="preserve">Реница Н.С.</w:t>
            </w:r>
            <w:r/>
          </w:p>
          <w:p>
            <w:pPr>
              <w:jc w:val="center"/>
            </w:pPr>
            <w:r>
              <w:t xml:space="preserve">Богданов А.Н.</w:t>
            </w:r>
            <w:r/>
          </w:p>
          <w:p>
            <w:pPr>
              <w:jc w:val="center"/>
            </w:pPr>
            <w:r>
              <w:t xml:space="preserve">Сидорова М.А.</w:t>
            </w:r>
            <w:r/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22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Составление и утверждение </w:t>
            </w:r>
            <w:r>
              <w:t xml:space="preserve">передаточного акта с расшифровкой кредиторской и дебиторской задолженности, всех активов и пассивов, числящихся на балансе ДК «Восход» и </w:t>
            </w:r>
            <w:r>
              <w:br/>
              <w:t xml:space="preserve">КДЦ «Платформа» с указанием наименования кредиторов и дебиторов, суммы, даты возникновения задолженности, срока платеж</w:t>
            </w:r>
            <w:r>
              <w:t xml:space="preserve">а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31.05.2025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МБУ «ЦБ»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23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Контроль за поступлением выписки из ЕГРЮЛ о прекращении деятельности ДК «Восход» и </w:t>
            </w:r>
            <w:r>
              <w:br/>
              <w:t xml:space="preserve">КДЦ «Платформа»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определяет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УФНС по Мурманской области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Богданов А.Н.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Сидорова М.А.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и передача </w:t>
            </w:r>
            <w:r>
              <w:t xml:space="preserve">дел постоянного хранения и по личному составу (трудовые книжки, личные дела работников, карточки учета формы Т-2, трудовые договоры и т.п.) ДК «Восход» и КДЦ «Платформа» для передачи в ДК «Октябрь»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05.05.2025 - 31.05.2025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Богданов А.Н.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Сидорова</w:t>
            </w:r>
            <w:r>
              <w:rPr>
                <w:bCs/>
              </w:rPr>
              <w:t xml:space="preserve"> М.А.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26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Внесение соответствующих записей в трудовые книжки работников 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27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на баланс ДК «Октябрь» на основании передаточного акта всех активов и пассивов </w:t>
            </w:r>
            <w:r>
              <w:br/>
              <w:t xml:space="preserve">ДК «Восход» </w:t>
            </w:r>
            <w:r>
              <w:t xml:space="preserve">и КДЦ «Платформа» документов управленческих, финансово-хозяйственных, по личному составу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срок определяет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 МБУ «ЦБ»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 Алексеева Ю.В.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28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Р13014 «Заявление о </w:t>
            </w:r>
            <w:r>
              <w:t xml:space="preserve">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МБУК «Центр культур</w:t>
            </w:r>
            <w:r>
              <w:t xml:space="preserve">ы Печенгского муниципального округа»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29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мероприятий по переводу участников клубных формирований в МБУК «Центр культуры Печенгского муниципального округа» с согласия родителей (законных представителей) воспитан</w:t>
            </w:r>
            <w:r>
              <w:t xml:space="preserve">ников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Осуществления действий по прекращению права оперативного управления ДК «Восход» и КДЦ «Платформа» на нежилые помещения в Управление Росреестра по Мурманской области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1-го рабочего дня после получения из УФНС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Мурманской области документов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Осуществление МБУК «Центр культуры Печенгского муниципального округа» регистрации права на недвижимое имущество в Управление </w:t>
            </w:r>
            <w:r>
              <w:t xml:space="preserve">Росреестра по Мурманской области после подписания передаточного акта и дополнительного соглашения к договору о закреплении имущества в оперативное управление</w:t>
            </w:r>
            <w:r/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10 рабочих дней после подписания данного договора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Реница Н.С.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Лаврущик С.С.</w:t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ind w:firstLine="709"/>
        <w:jc w:val="both"/>
        <w:rPr>
          <w:bCs/>
          <w:i/>
        </w:rPr>
      </w:pPr>
      <w:r>
        <w:rPr>
          <w:i/>
        </w:rPr>
        <w:t xml:space="preserve">*В</w:t>
      </w:r>
      <w:r>
        <w:rPr>
          <w:i/>
        </w:rPr>
        <w:t xml:space="preserve"> случае отсутствия ответственного лица (болезнь, командировка, отпуск, прочее) в реализации плана участвует лицо, исполняющее его обязанности по основной должности.».</w:t>
      </w:r>
      <w:r>
        <w:rPr>
          <w:bCs/>
          <w:i/>
        </w:rPr>
      </w:r>
    </w:p>
    <w:p>
      <w:pPr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ind w:left="5528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mbria">
    <w:panose1 w:val="0204050305040603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jc w:val="center"/>
      <w:rPr>
        <w:rStyle w:val="942"/>
      </w:rPr>
      <w:framePr w:wrap="around" w:vAnchor="text" w:hAnchor="margin" w:xAlign="center" w:y="1"/>
    </w:pPr>
    <w:r/>
    <w:r>
      <w:rPr>
        <w:rStyle w:val="942"/>
      </w:rPr>
    </w:r>
  </w:p>
  <w:p>
    <w:pPr>
      <w:pStyle w:val="782"/>
      <w:rPr>
        <w:rStyle w:val="942"/>
      </w:rPr>
      <w:framePr w:wrap="around" w:vAnchor="text" w:hAnchor="margin" w:xAlign="center" w:y="1"/>
    </w:pPr>
    <w:r/>
    <w:r>
      <w:rPr>
        <w:rStyle w:val="942"/>
      </w:rPr>
    </w:r>
  </w:p>
  <w:p>
    <w:pPr>
      <w:pStyle w:val="782"/>
    </w:pPr>
    <w:r/>
    <w:r/>
  </w:p>
  <w:p>
    <w:pPr>
      <w:pStyle w:val="7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</w:p>
  <w:p>
    <w:pPr>
      <w:pStyle w:val="782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7" w:default="1">
    <w:name w:val="Normal"/>
    <w:qFormat/>
    <w:rPr>
      <w:lang w:eastAsia="ru-RU"/>
    </w:rPr>
  </w:style>
  <w:style w:type="paragraph" w:styleId="718">
    <w:name w:val="Heading 1"/>
    <w:basedOn w:val="717"/>
    <w:next w:val="717"/>
    <w:link w:val="763"/>
    <w:qFormat/>
    <w:pPr>
      <w:jc w:val="center"/>
      <w:keepNext/>
      <w:outlineLvl w:val="0"/>
    </w:pPr>
    <w:rPr>
      <w:sz w:val="24"/>
    </w:rPr>
  </w:style>
  <w:style w:type="paragraph" w:styleId="719">
    <w:name w:val="Heading 2"/>
    <w:basedOn w:val="717"/>
    <w:next w:val="717"/>
    <w:link w:val="93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20">
    <w:name w:val="Heading 3"/>
    <w:basedOn w:val="717"/>
    <w:next w:val="717"/>
    <w:link w:val="7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1">
    <w:name w:val="Heading 4"/>
    <w:basedOn w:val="717"/>
    <w:next w:val="717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2">
    <w:name w:val="Heading 5"/>
    <w:basedOn w:val="717"/>
    <w:next w:val="717"/>
    <w:link w:val="7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3">
    <w:name w:val="Heading 6"/>
    <w:basedOn w:val="717"/>
    <w:next w:val="717"/>
    <w:link w:val="7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717"/>
    <w:next w:val="717"/>
    <w:link w:val="7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717"/>
    <w:next w:val="717"/>
    <w:link w:val="7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6">
    <w:name w:val="Heading 9"/>
    <w:basedOn w:val="717"/>
    <w:next w:val="717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7" w:default="1">
    <w:name w:val="Default Paragraph Font"/>
    <w:uiPriority w:val="1"/>
    <w:semiHidden/>
    <w:unhideWhenUsed/>
  </w:style>
  <w:style w:type="table" w:styleId="7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9" w:default="1">
    <w:name w:val="No List"/>
    <w:uiPriority w:val="99"/>
    <w:semiHidden/>
    <w:unhideWhenUsed/>
  </w:style>
  <w:style w:type="table" w:styleId="730" w:customStyle="1">
    <w:name w:val="Plain Table 1"/>
    <w:basedOn w:val="72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2"/>
    <w:basedOn w:val="72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3"/>
    <w:basedOn w:val="72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Plain Table 4"/>
    <w:basedOn w:val="72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Plain Table 5"/>
    <w:basedOn w:val="72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1 Light"/>
    <w:basedOn w:val="72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2"/>
    <w:basedOn w:val="72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"/>
    <w:basedOn w:val="72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4"/>
    <w:basedOn w:val="72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5 Dark"/>
    <w:basedOn w:val="72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6 Colorful"/>
    <w:basedOn w:val="72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7 Colorful"/>
    <w:basedOn w:val="72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2" w:customStyle="1">
    <w:name w:val="List Table 1 Light"/>
    <w:basedOn w:val="72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List Table 2"/>
    <w:basedOn w:val="72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4" w:customStyle="1">
    <w:name w:val="List Table 3"/>
    <w:basedOn w:val="72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List Table 4"/>
    <w:basedOn w:val="72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List Table 5 Dark"/>
    <w:basedOn w:val="72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7" w:customStyle="1">
    <w:name w:val="List Table 6 Colorful"/>
    <w:basedOn w:val="72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8" w:customStyle="1">
    <w:name w:val="List Table 7 Colorful"/>
    <w:basedOn w:val="72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9" w:customStyle="1">
    <w:name w:val="Heading 1 Char"/>
    <w:basedOn w:val="727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Heading 3 Char"/>
    <w:basedOn w:val="727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5 Char"/>
    <w:basedOn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Heading 6 Char"/>
    <w:basedOn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Heading 7 Char"/>
    <w:basedOn w:val="7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Heading 8 Char"/>
    <w:basedOn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Heading 9 Char"/>
    <w:basedOn w:val="727"/>
    <w:uiPriority w:val="9"/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Title Char"/>
    <w:basedOn w:val="727"/>
    <w:uiPriority w:val="10"/>
    <w:rPr>
      <w:sz w:val="48"/>
      <w:szCs w:val="48"/>
    </w:rPr>
  </w:style>
  <w:style w:type="character" w:styleId="758" w:customStyle="1">
    <w:name w:val="Subtitle Char"/>
    <w:basedOn w:val="727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Footnote Text Char"/>
    <w:uiPriority w:val="99"/>
    <w:rPr>
      <w:sz w:val="18"/>
    </w:rPr>
  </w:style>
  <w:style w:type="character" w:styleId="762" w:customStyle="1">
    <w:name w:val="Endnote Text Char"/>
    <w:uiPriority w:val="99"/>
    <w:rPr>
      <w:sz w:val="20"/>
    </w:rPr>
  </w:style>
  <w:style w:type="character" w:styleId="763" w:customStyle="1">
    <w:name w:val="Заголовок 1 Знак"/>
    <w:link w:val="718"/>
    <w:uiPriority w:val="9"/>
    <w:rPr>
      <w:rFonts w:ascii="Arial" w:hAnsi="Arial" w:eastAsia="Arial" w:cs="Arial"/>
      <w:sz w:val="40"/>
      <w:szCs w:val="40"/>
    </w:rPr>
  </w:style>
  <w:style w:type="character" w:styleId="764" w:customStyle="1">
    <w:name w:val="Heading 2 Char"/>
    <w:uiPriority w:val="9"/>
    <w:rPr>
      <w:rFonts w:ascii="Arial" w:hAnsi="Arial" w:eastAsia="Arial" w:cs="Arial"/>
      <w:sz w:val="34"/>
    </w:rPr>
  </w:style>
  <w:style w:type="character" w:styleId="765" w:customStyle="1">
    <w:name w:val="Заголовок 3 Знак"/>
    <w:link w:val="720"/>
    <w:uiPriority w:val="9"/>
    <w:rPr>
      <w:rFonts w:ascii="Arial" w:hAnsi="Arial" w:eastAsia="Arial" w:cs="Arial"/>
      <w:sz w:val="30"/>
      <w:szCs w:val="30"/>
    </w:rPr>
  </w:style>
  <w:style w:type="character" w:styleId="766" w:customStyle="1">
    <w:name w:val="Заголовок 4 Знак"/>
    <w:link w:val="721"/>
    <w:uiPriority w:val="9"/>
    <w:rPr>
      <w:rFonts w:ascii="Arial" w:hAnsi="Arial" w:eastAsia="Arial" w:cs="Arial"/>
      <w:b/>
      <w:bCs/>
      <w:sz w:val="26"/>
      <w:szCs w:val="26"/>
    </w:rPr>
  </w:style>
  <w:style w:type="character" w:styleId="767" w:customStyle="1">
    <w:name w:val="Заголовок 5 Знак"/>
    <w:link w:val="722"/>
    <w:uiPriority w:val="9"/>
    <w:rPr>
      <w:rFonts w:ascii="Arial" w:hAnsi="Arial" w:eastAsia="Arial" w:cs="Arial"/>
      <w:b/>
      <w:bCs/>
      <w:sz w:val="24"/>
      <w:szCs w:val="24"/>
    </w:rPr>
  </w:style>
  <w:style w:type="character" w:styleId="768" w:customStyle="1">
    <w:name w:val="Заголовок 6 Знак"/>
    <w:link w:val="723"/>
    <w:uiPriority w:val="9"/>
    <w:rPr>
      <w:rFonts w:ascii="Arial" w:hAnsi="Arial" w:eastAsia="Arial" w:cs="Arial"/>
      <w:b/>
      <w:bCs/>
      <w:sz w:val="22"/>
      <w:szCs w:val="22"/>
    </w:rPr>
  </w:style>
  <w:style w:type="character" w:styleId="769" w:customStyle="1">
    <w:name w:val="Заголовок 7 Знак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25"/>
    <w:uiPriority w:val="9"/>
    <w:rPr>
      <w:rFonts w:ascii="Arial" w:hAnsi="Arial" w:eastAsia="Arial" w:cs="Arial"/>
      <w:i/>
      <w:iCs/>
      <w:sz w:val="22"/>
      <w:szCs w:val="22"/>
    </w:rPr>
  </w:style>
  <w:style w:type="character" w:styleId="771" w:customStyle="1">
    <w:name w:val="Заголовок 9 Знак"/>
    <w:link w:val="726"/>
    <w:uiPriority w:val="9"/>
    <w:rPr>
      <w:rFonts w:ascii="Arial" w:hAnsi="Arial" w:eastAsia="Arial" w:cs="Arial"/>
      <w:i/>
      <w:iCs/>
      <w:sz w:val="21"/>
      <w:szCs w:val="21"/>
    </w:rPr>
  </w:style>
  <w:style w:type="paragraph" w:styleId="772">
    <w:name w:val="List Paragraph"/>
    <w:basedOn w:val="717"/>
    <w:uiPriority w:val="34"/>
    <w:qFormat/>
    <w:pPr>
      <w:contextualSpacing/>
      <w:ind w:left="720"/>
    </w:pPr>
  </w:style>
  <w:style w:type="paragraph" w:styleId="773">
    <w:name w:val="No Spacing"/>
    <w:uiPriority w:val="1"/>
    <w:qFormat/>
  </w:style>
  <w:style w:type="paragraph" w:styleId="774">
    <w:name w:val="Title"/>
    <w:basedOn w:val="717"/>
    <w:next w:val="717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 w:customStyle="1">
    <w:name w:val="Название Знак"/>
    <w:link w:val="774"/>
    <w:uiPriority w:val="10"/>
    <w:rPr>
      <w:sz w:val="48"/>
      <w:szCs w:val="48"/>
    </w:rPr>
  </w:style>
  <w:style w:type="paragraph" w:styleId="776">
    <w:name w:val="Subtitle"/>
    <w:basedOn w:val="717"/>
    <w:next w:val="717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 w:customStyle="1">
    <w:name w:val="Подзаголовок Знак"/>
    <w:link w:val="776"/>
    <w:uiPriority w:val="11"/>
    <w:rPr>
      <w:sz w:val="24"/>
      <w:szCs w:val="24"/>
    </w:rPr>
  </w:style>
  <w:style w:type="paragraph" w:styleId="778">
    <w:name w:val="Quote"/>
    <w:basedOn w:val="717"/>
    <w:next w:val="717"/>
    <w:link w:val="779"/>
    <w:uiPriority w:val="29"/>
    <w:qFormat/>
    <w:pPr>
      <w:ind w:left="720" w:right="720"/>
    </w:pPr>
    <w:rPr>
      <w:i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basedOn w:val="717"/>
    <w:next w:val="717"/>
    <w:link w:val="78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paragraph" w:styleId="782">
    <w:name w:val="Header"/>
    <w:basedOn w:val="717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3" w:customStyle="1">
    <w:name w:val="Header Char"/>
    <w:uiPriority w:val="99"/>
  </w:style>
  <w:style w:type="paragraph" w:styleId="784">
    <w:name w:val="Footer"/>
    <w:basedOn w:val="717"/>
    <w:link w:val="941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Footer Char"/>
    <w:uiPriority w:val="99"/>
  </w:style>
  <w:style w:type="paragraph" w:styleId="786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7" w:customStyle="1">
    <w:name w:val="Caption Char"/>
    <w:uiPriority w:val="99"/>
  </w:style>
  <w:style w:type="table" w:styleId="788">
    <w:name w:val="Table Grid"/>
    <w:basedOn w:val="728"/>
    <w:tblPr/>
  </w:style>
  <w:style w:type="table" w:styleId="789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4">
    <w:name w:val="Hyperlink"/>
    <w:rPr>
      <w:color w:val="0563c1"/>
      <w:u w:val="single"/>
    </w:rPr>
  </w:style>
  <w:style w:type="paragraph" w:styleId="915">
    <w:name w:val="footnote text"/>
    <w:basedOn w:val="717"/>
    <w:link w:val="916"/>
    <w:uiPriority w:val="99"/>
    <w:semiHidden/>
    <w:unhideWhenUsed/>
    <w:pPr>
      <w:spacing w:after="40"/>
    </w:pPr>
    <w:rPr>
      <w:sz w:val="18"/>
    </w:rPr>
  </w:style>
  <w:style w:type="character" w:styleId="916" w:customStyle="1">
    <w:name w:val="Текст сноски Знак"/>
    <w:link w:val="915"/>
    <w:uiPriority w:val="99"/>
    <w:rPr>
      <w:sz w:val="18"/>
    </w:rPr>
  </w:style>
  <w:style w:type="character" w:styleId="917">
    <w:name w:val="footnote reference"/>
    <w:uiPriority w:val="99"/>
    <w:unhideWhenUsed/>
    <w:rPr>
      <w:vertAlign w:val="superscript"/>
    </w:rPr>
  </w:style>
  <w:style w:type="paragraph" w:styleId="918">
    <w:name w:val="endnote text"/>
    <w:basedOn w:val="717"/>
    <w:link w:val="919"/>
    <w:uiPriority w:val="99"/>
    <w:semiHidden/>
    <w:unhideWhenUsed/>
  </w:style>
  <w:style w:type="character" w:styleId="919" w:customStyle="1">
    <w:name w:val="Текст концевой сноски Знак"/>
    <w:link w:val="918"/>
    <w:uiPriority w:val="99"/>
    <w:rPr>
      <w:sz w:val="20"/>
    </w:rPr>
  </w:style>
  <w:style w:type="character" w:styleId="920">
    <w:name w:val="endnote reference"/>
    <w:uiPriority w:val="99"/>
    <w:semiHidden/>
    <w:unhideWhenUsed/>
    <w:rPr>
      <w:vertAlign w:val="superscript"/>
    </w:rPr>
  </w:style>
  <w:style w:type="paragraph" w:styleId="921">
    <w:name w:val="toc 1"/>
    <w:basedOn w:val="717"/>
    <w:next w:val="717"/>
    <w:uiPriority w:val="39"/>
    <w:unhideWhenUsed/>
    <w:pPr>
      <w:spacing w:after="57"/>
    </w:pPr>
  </w:style>
  <w:style w:type="paragraph" w:styleId="922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923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924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925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926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927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928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929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717"/>
    <w:next w:val="717"/>
    <w:uiPriority w:val="99"/>
    <w:unhideWhenUsed/>
  </w:style>
  <w:style w:type="character" w:styleId="932" w:customStyle="1">
    <w:name w:val="Основной шрифт абзаца;Знак Знак2 Знак Знак Знак Знак Знак Знак Знак Знак"/>
    <w:link w:val="946"/>
    <w:semiHidden/>
  </w:style>
  <w:style w:type="paragraph" w:styleId="933">
    <w:name w:val="Body Text"/>
    <w:basedOn w:val="717"/>
    <w:pPr>
      <w:jc w:val="both"/>
    </w:pPr>
    <w:rPr>
      <w:sz w:val="24"/>
      <w:szCs w:val="24"/>
    </w:rPr>
  </w:style>
  <w:style w:type="paragraph" w:styleId="934">
    <w:name w:val="Body Text Indent"/>
    <w:basedOn w:val="717"/>
    <w:pPr>
      <w:ind w:left="283"/>
      <w:spacing w:after="120"/>
    </w:pPr>
  </w:style>
  <w:style w:type="paragraph" w:styleId="935">
    <w:name w:val="Body Text 2"/>
    <w:basedOn w:val="71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17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1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 Знак Знак Знак Знак Знак Знак"/>
    <w:basedOn w:val="71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1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1" w:customStyle="1">
    <w:name w:val="Нижний колонтитул Знак"/>
    <w:link w:val="784"/>
    <w:rPr>
      <w:rFonts w:ascii="Arial" w:hAnsi="Arial" w:cs="Arial"/>
    </w:rPr>
  </w:style>
  <w:style w:type="character" w:styleId="942">
    <w:name w:val="page number"/>
  </w:style>
  <w:style w:type="character" w:styleId="943" w:customStyle="1">
    <w:name w:val="Верхний колонтитул Знак"/>
    <w:link w:val="782"/>
    <w:rPr>
      <w:rFonts w:ascii="Arial" w:hAnsi="Arial" w:cs="Arial"/>
    </w:rPr>
  </w:style>
  <w:style w:type="paragraph" w:styleId="944">
    <w:name w:val="Balloon Text"/>
    <w:basedOn w:val="717"/>
    <w:link w:val="945"/>
    <w:rPr>
      <w:rFonts w:ascii="Tahoma" w:hAnsi="Tahoma" w:cs="Tahoma"/>
      <w:sz w:val="16"/>
      <w:szCs w:val="16"/>
    </w:rPr>
  </w:style>
  <w:style w:type="character" w:styleId="945" w:customStyle="1">
    <w:name w:val="Текст выноски Знак"/>
    <w:link w:val="944"/>
    <w:rPr>
      <w:rFonts w:ascii="Tahoma" w:hAnsi="Tahoma" w:cs="Tahoma"/>
      <w:sz w:val="16"/>
      <w:szCs w:val="16"/>
    </w:rPr>
  </w:style>
  <w:style w:type="paragraph" w:styleId="946" w:customStyle="1">
    <w:name w:val="Знак Знак2 Знак Знак Знак Знак"/>
    <w:basedOn w:val="717"/>
    <w:link w:val="93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7" w:customStyle="1">
    <w:name w:val="Знак Знак2"/>
    <w:basedOn w:val="71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8" w:customStyle="1">
    <w:name w:val="Знак Знак Знак Знак Знак Знак Знак Знак Знак Знак"/>
    <w:basedOn w:val="717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05E55-7921-403D-A625-823C8B185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39</cp:revision>
  <dcterms:created xsi:type="dcterms:W3CDTF">2025-04-22T13:43:00Z</dcterms:created>
  <dcterms:modified xsi:type="dcterms:W3CDTF">2025-05-14T11:19:36Z</dcterms:modified>
  <cp:version>917504</cp:version>
</cp:coreProperties>
</file>