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28.04.2025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</w:t>
      </w:r>
      <w:r>
        <w:rPr>
          <w:b/>
          <w:sz w:val="24"/>
        </w:rPr>
        <w:t xml:space="preserve">№ 696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widowControl w:val="off"/>
        <w:tabs>
          <w:tab w:val="left" w:pos="720" w:leader="none"/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План мероприятий по реорганизации МБУДО «ДЮСШ» в форме присоединения к нему МБУ «</w:t>
      </w:r>
      <w:r>
        <w:rPr>
          <w:b/>
        </w:rPr>
        <w:t xml:space="preserve">СК «Металлург» и МБУ «СК «Дельфин», утвержденный постановлением администрации Печенгского муниципального округа от 09.12.2024 № 1971</w:t>
      </w:r>
      <w:r>
        <w:rPr>
          <w:b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2"/>
        <w:numPr>
          <w:ilvl w:val="0"/>
          <w:numId w:val="6"/>
        </w:numPr>
        <w:ind w:left="0" w:firstLine="709"/>
        <w:jc w:val="both"/>
        <w:widowControl w:val="off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План мероприятий по реорганизации МБУДО «ДЮСШ» в форме </w:t>
      </w:r>
      <w:r>
        <w:rPr>
          <w:sz w:val="24"/>
          <w:szCs w:val="24"/>
        </w:rPr>
        <w:t xml:space="preserve">присоединения к нему МБУ «СК «Металлург» и МБУ «СК «Дельфин», утвержденный постановлением администрации Печенгского муниципального округа от 09.12.2024 № 1971 (в редакции постановления администрации Печенгского муниципального округа от 26.02.2025 № 288), и</w:t>
      </w:r>
      <w:r>
        <w:rPr>
          <w:sz w:val="24"/>
          <w:szCs w:val="24"/>
        </w:rPr>
        <w:t xml:space="preserve">зложить в следующей редакции согласно приложению к настоящему постановлению.</w:t>
      </w:r>
      <w:r>
        <w:rPr>
          <w:sz w:val="24"/>
          <w:szCs w:val="24"/>
        </w:rPr>
      </w:r>
    </w:p>
    <w:p>
      <w:pPr>
        <w:pStyle w:val="772"/>
        <w:numPr>
          <w:ilvl w:val="0"/>
          <w:numId w:val="6"/>
        </w:numPr>
        <w:ind w:left="0" w:firstLine="709"/>
        <w:jc w:val="both"/>
        <w:widowControl w:val="off"/>
        <w:tabs>
          <w:tab w:val="left" w:pos="990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вступает в силу после его подписания и подлежит размещению на официальном сайте Печенгского муниципального округа </w:t>
      </w:r>
      <w:hyperlink r:id="rId14" w:tooltip="https://pechengamr.gov-murman.ru/" w:history="1">
        <w:r>
          <w:rPr>
            <w:rStyle w:val="914"/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r>
        <w:t xml:space="preserve">Стрелкова Т.И., 62165</w:t>
      </w:r>
      <w:r/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</w:pPr>
      <w:r/>
      <w:bookmarkStart w:id="0" w:name="_GoBack"/>
      <w:r/>
      <w:bookmarkEnd w:id="0"/>
      <w:r>
        <w:rPr>
          <w:sz w:val="24"/>
          <w:szCs w:val="24"/>
        </w:rPr>
        <w:t xml:space="preserve">При</w:t>
      </w:r>
      <w:r>
        <w:rPr>
          <w:sz w:val="24"/>
          <w:szCs w:val="24"/>
        </w:rPr>
        <w:t xml:space="preserve">ложение </w:t>
      </w:r>
      <w:r/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28.04.2025 № 696</w:t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«Приложение 2</w:t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09.12.2024 № 1971</w:t>
      </w:r>
      <w:r>
        <w:rPr>
          <w:sz w:val="24"/>
          <w:szCs w:val="24"/>
        </w:rPr>
      </w:r>
    </w:p>
    <w:p>
      <w:pPr>
        <w:ind w:left="5528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 реорганизации МБУДО «ДЮСШ» в форме присоединения к нему </w:t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МБУ «СК «Металлург» и МБУ «СК «Дельфин»</w:t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782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567"/>
        <w:gridCol w:w="4727"/>
        <w:gridCol w:w="2253"/>
        <w:gridCol w:w="2235"/>
      </w:tblGrid>
      <w:tr>
        <w:tblPrEx/>
        <w:trPr/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shd w:val="clear" w:color="auto" w:fill="auto"/>
            <w:tcW w:w="472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Наименования мероприятия</w:t>
            </w:r>
            <w:r/>
          </w:p>
        </w:tc>
        <w:tc>
          <w:tcPr>
            <w:shd w:val="clear" w:color="auto" w:fill="auto"/>
            <w:tcW w:w="225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Ориентировочные сроки исполнения</w:t>
            </w:r>
            <w:r/>
          </w:p>
        </w:tc>
        <w:tc>
          <w:tcPr>
            <w:shd w:val="clear" w:color="auto" w:fill="auto"/>
            <w:tcW w:w="223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Ответственные</w:t>
            </w:r>
            <w:r/>
          </w:p>
          <w:p>
            <w:pPr>
              <w:jc w:val="center"/>
            </w:pPr>
            <w:r>
              <w:t xml:space="preserve">исполнители*</w:t>
            </w:r>
            <w:r/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округа о создании комиссии по оценке последствий принятия решения о реорганизации МБУ ДО «ДЮСШ» в форме присоединения к нему МБУ «СК «Металлург» и МБУ «СК Дельфин»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15.11.2024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Большакова О.В.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Направление заключения комиссии относительно оценки последствий принятия решения о реорганизации МБУ ДО «ДЮСШ» в форме присоединения к нему МБУ «СК «Металлург» и МБУ «СК Дельфин» в профильные министерства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05.12.2024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Большакова О.В.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</w:t>
            </w:r>
            <w:r>
              <w:t xml:space="preserve">ния администрации Печенгского муниципального округа о реорганизации МБУ ДО «ДЮСШ» в форме присоединения к нему МБУ «СК «Металлург» и МБУ «СК Дельфин»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09.12.2024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Большакова О.В.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письменного уведомления о начале пр</w:t>
            </w:r>
            <w:r>
              <w:t xml:space="preserve">оцедуры реорганизации МБУ ДО «ДЮСШ» в форме присоединения к нему МБУ «СК Дельфин» и МБУ «СК «Металлург» по форме Р12003 «Уведомление о начале процедуры реорганизации» с приложением постановления о реорганизации.</w:t>
            </w:r>
            <w:r/>
          </w:p>
          <w:p>
            <w:pPr>
              <w:jc w:val="both"/>
            </w:pPr>
            <w:r>
              <w:t xml:space="preserve">Контроль за</w:t>
            </w:r>
            <w:r>
              <w:t xml:space="preserve"> поступлением выписки из ЕГРЮЛ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11.12.2024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Ознакомление руководителей </w:t>
            </w:r>
            <w:r>
              <w:t xml:space="preserve">МБУ ДО «ДЮСШ», МБУ «СК «Металлург» и МБУ «СК Дельфин»</w:t>
            </w:r>
            <w:r>
              <w:rPr>
                <w:bCs/>
              </w:rPr>
              <w:t xml:space="preserve"> с постановлением о реорганизации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в течение 1 рабочего дня со дня принятия постановления</w:t>
            </w:r>
            <w:r/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Большакова О.В. Морозова М.Е.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Ознакомление под подпись работников МБУ ДО «ДЮСШ», МБУ «СК «Металлург» и МБУ «СК Дельфин» с постановлением о реорганизации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в течение 1 рабочего дня со дня принятия постановления</w:t>
            </w:r>
            <w:r/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Жуков Р.А.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Коршун А.В.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Издание приказов по МБУ ДО «ДЮСШ», МБУ «СК «Металлург» и МБУ «СК Дельфин»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определяют рук</w:t>
            </w:r>
            <w:r>
              <w:rPr>
                <w:bCs/>
              </w:rPr>
              <w:t xml:space="preserve">оводители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учреждений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Жуков Р.А.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Коршун А.В.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8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Направление уведомлений в письменной форме о процедуре</w:t>
            </w:r>
            <w:r>
              <w:t xml:space="preserve"> реорганизации МБУ ДО «ДЮСШ» в форме присоединения к нему МБУ «СК «Металлург» и МБУ «СК Дельфин» </w:t>
            </w:r>
            <w:r>
              <w:rPr>
                <w:bCs/>
              </w:rPr>
              <w:t xml:space="preserve">в клиентскую службу СФР в </w:t>
            </w:r>
            <w:r>
              <w:rPr>
                <w:bCs/>
              </w:rPr>
              <w:t xml:space="preserve">Печенгском</w:t>
            </w:r>
            <w:r>
              <w:rPr>
                <w:bCs/>
              </w:rPr>
              <w:t xml:space="preserve"> район</w:t>
            </w:r>
            <w:r>
              <w:rPr>
                <w:bCs/>
              </w:rPr>
              <w:t xml:space="preserve">е филиал № 1 Государственного учреждения – Мурманского регионального отделения фонда социального страхования Российской Федерации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срок не более трех рабочих дней после принятия решения о реорганизации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 Алексеева Ю.В.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11.12.2024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</w:t>
            </w:r>
            <w:r>
              <w:t xml:space="preserve">домлений в письменной форме о начале реорганизации всем известным кредиторам МБУ «СК Дельфин» и МБУ «СК «Металлург»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12.12.2024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Жуков Р.А.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Коршун А.В.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11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highlight w:val="yellow"/>
              </w:rPr>
            </w:pPr>
            <w:r>
              <w:rPr>
                <w:bCs/>
              </w:rPr>
              <w:t xml:space="preserve">Опубликование в средствах массовой информации, в которых опубликовываются данные о государственной ре</w:t>
            </w:r>
            <w:r>
              <w:rPr>
                <w:bCs/>
              </w:rPr>
              <w:t xml:space="preserve">гистрации юридического лица (Вестник государственной регистрации) после внесения в ЕГРЮЛ соответствующей информации о реорганизации, сообщения о реорганизации МБУ ДО «ДЮСШ» в форме присоединения к нему МБУ «СК Дельфин» и МБУ «СК «Металлург» о порядке и сро</w:t>
            </w:r>
            <w:r>
              <w:rPr>
                <w:bCs/>
              </w:rPr>
              <w:t xml:space="preserve">ке заявления требований его кредиторами.</w:t>
            </w:r>
            <w:r>
              <w:rPr>
                <w:bCs/>
                <w:highlight w:val="yellow"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Проведение следующих процедур с целью публикации в журнале «Вестник государственной регистрации» уведомления о реорганизации МБУ ДО «ДЮСШ»:</w:t>
            </w:r>
            <w:r>
              <w:rPr>
                <w:bCs/>
              </w:rPr>
            </w:r>
          </w:p>
          <w:p>
            <w:pPr>
              <w:jc w:val="both"/>
              <w:rPr>
                <w:bCs/>
                <w:highlight w:val="yellow"/>
              </w:rPr>
            </w:pPr>
            <w:r>
              <w:rPr>
                <w:bCs/>
              </w:rP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Мурманск); </w:t>
            </w:r>
            <w:r>
              <w:rPr>
                <w:bCs/>
                <w:highlight w:val="yellow"/>
              </w:rPr>
            </w:r>
          </w:p>
          <w:p>
            <w:pPr>
              <w:jc w:val="both"/>
              <w:rPr>
                <w:bCs/>
                <w:highlight w:val="yellow"/>
              </w:rPr>
            </w:pPr>
            <w:r>
              <w:rPr>
                <w:bCs/>
              </w:rPr>
              <w:t xml:space="preserve">– получение электронной версии договора и платежных докумен</w:t>
            </w:r>
            <w:r>
              <w:rPr>
                <w:bCs/>
              </w:rPr>
              <w:t xml:space="preserve">тов из</w:t>
            </w:r>
            <w:r>
              <w:t xml:space="preserve"> </w:t>
            </w:r>
            <w:r>
              <w:rPr>
                <w:bCs/>
              </w:rPr>
              <w:t xml:space="preserve">регионального представительства журнала «Вестник государственной регистрации» (ООО «ИКЦ «Правовед», г. Мурманск) и их распечатка; </w:t>
            </w:r>
            <w:r>
              <w:rPr>
                <w:bCs/>
                <w:highlight w:val="yellow"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- подписание договора и платежных документов; </w:t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- оплата счета за публикацию в двух выпусках с периодичностью в один ме</w:t>
            </w:r>
            <w:r>
              <w:rPr>
                <w:bCs/>
              </w:rPr>
              <w:t xml:space="preserve">сяц);</w:t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(ООО «ИКЦ «Правовед», г. Мурманск) для публикации уведомления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13.12.2024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rPr>
                <w:bCs/>
              </w:rPr>
              <w:t xml:space="preserve">Разработка и согласование с отд</w:t>
            </w:r>
            <w:r>
              <w:rPr>
                <w:bCs/>
              </w:rPr>
              <w:t xml:space="preserve">елом культуры, спорта и молодежной политики нового штатного расписания МБУ ДО «ДЮСШ» с учетом присоединения к нему МБУ «СК «Металлург» и МБУ «СК Дельфин»</w:t>
            </w:r>
            <w:r>
              <w:t xml:space="preserve">  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Жуков Р.А.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Коршун А.В.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13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Уведомить </w:t>
            </w:r>
            <w:r>
              <w:t xml:space="preserve">Печенгский</w:t>
            </w:r>
            <w:r>
              <w:t xml:space="preserve"> кадровый центр ГОБУ Це</w:t>
            </w:r>
            <w:r>
              <w:t xml:space="preserve">нтр занятости населения Мурманской области о реорганизации МБУ ДО «ДЮСШ» в форме присоединения к нему МБУ «СК Дельфин» и МБУ «СК «Металлург», размещение информации о предстоящем высвобождении на портале «Работа России» согласно требованиям законодательства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МБУ ДО «ДЮСШ», МБУ «СК Дельфин», МБУ «СК «Металлург» о реорганизации с разъяснением права работника отказаться от продолжения работы в связи с реорганизацией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Жуков Р.А.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Кор</w:t>
            </w:r>
            <w:r>
              <w:rPr>
                <w:bCs/>
              </w:rPr>
              <w:t xml:space="preserve">шун А.В.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14.1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МБУ ДО «ДЮСШ», МБУ «СК Дельфин», МБУ «СК «Металлург» о предстоящем сокращении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31.03.2025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Жуков Р.А.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Коршун А.В.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Повторное размещение в журнале «Вестник государственной регистрации» уведомления о </w:t>
            </w:r>
            <w:r>
              <w:t xml:space="preserve">процедуре реорганизации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16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проекта нового Устава МБУДО «ДЮСШ» и постановления об утверждении Устава (при необходимости)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21.02.2025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Жуков Р.А. Коршун А.В.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17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инвентаризации (имущества, обязательств, всех видов расчетов) МБУ «СК Дельфин», МБУ «СК «Металлург» для последующего составления передаточного акта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01.04.2025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</w:pPr>
            <w:r>
              <w:t xml:space="preserve">Коршун А.В.</w:t>
            </w:r>
            <w:r>
              <w:br/>
              <w:t xml:space="preserve">Жуков Р.А.,</w:t>
            </w:r>
            <w:r>
              <w:br/>
              <w:t xml:space="preserve">Алексеева Ю.В.</w:t>
            </w:r>
            <w:r>
              <w:br/>
            </w:r>
            <w:r>
              <w:t xml:space="preserve">Лаврущ</w:t>
            </w:r>
            <w:r>
              <w:t xml:space="preserve">ик</w:t>
            </w:r>
            <w:r>
              <w:t xml:space="preserve"> С.С.</w:t>
            </w:r>
            <w:r/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18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МБУ «СК Дельфин», МБУ «СК «Металлург» недвижимого имущества с 31.05.2025 (перечень недвижимого имущес</w:t>
            </w:r>
            <w:r>
              <w:t xml:space="preserve">тва прилагается)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05.05.2025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</w:pPr>
            <w:r>
              <w:t xml:space="preserve">Кравцева</w:t>
            </w:r>
            <w:r>
              <w:t xml:space="preserve"> А.А.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19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 закреплении за МБУ</w:t>
            </w:r>
            <w:r>
              <w:t xml:space="preserve">ДО «ДЮСШ» на праве оперативного управления недвижимого имущества МБУ «СК Дельфин», МБУ «СК «Металлург» с 01.06.2025 (перечень недвижимого имущества прилагается)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05.05.2025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</w:pPr>
            <w:r>
              <w:t xml:space="preserve">Кравцева</w:t>
            </w:r>
            <w:r>
              <w:t xml:space="preserve"> А.А.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</w:t>
            </w:r>
            <w:r>
              <w:t xml:space="preserve">ации Печенгского муниципального округа ходатайство об изъятии из оперативного управления МБУ «СК Дельфин», МБУ «СК «Металлург» движимого имущества и о закреплении за МБУДО «ДЮСШ» с 01.06.2025 (перечень движимого имущества прилагается) 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20.05.2025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</w:pPr>
            <w:r>
              <w:t xml:space="preserve">Жуков Р.А</w:t>
            </w:r>
            <w:r>
              <w:t xml:space="preserve">. </w:t>
            </w:r>
            <w:r/>
          </w:p>
          <w:p>
            <w:pPr>
              <w:jc w:val="center"/>
            </w:pPr>
            <w:r>
              <w:t xml:space="preserve">Коршун А.В.</w:t>
            </w:r>
            <w:r/>
          </w:p>
          <w:p>
            <w:pPr>
              <w:jc w:val="center"/>
            </w:pPr>
            <w:r>
              <w:t xml:space="preserve">Кравцева</w:t>
            </w:r>
            <w:r>
              <w:t xml:space="preserve"> А.А.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21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Подготовить передаточный акт, включающий обязательное условие о правопреемстве МБУДО «ДЮСШ» по всем правам и обязанностям МБУ «СК Дельфин», МБУ «СК «Металлург»</w:t>
            </w:r>
            <w:r>
              <w:t xml:space="preserve"> и описи передаваемых документов, включая лицевые счета работников за весь период наличия 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31.05.2025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</w:pPr>
            <w:r>
              <w:t xml:space="preserve">Жуков Р.А. </w:t>
            </w:r>
            <w:r/>
          </w:p>
          <w:p>
            <w:pPr>
              <w:jc w:val="center"/>
            </w:pPr>
            <w:r>
              <w:t xml:space="preserve">Коршун А.В.</w:t>
            </w:r>
            <w:r/>
          </w:p>
          <w:p>
            <w:pPr>
              <w:jc w:val="center"/>
            </w:pPr>
            <w:r>
              <w:t xml:space="preserve">Кравцева</w:t>
            </w:r>
            <w:r>
              <w:t xml:space="preserve"> А.А.</w:t>
            </w:r>
            <w:r/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22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Составление и утверждение передаточного акта с расшифровкой кредиторской и дебиторской задолженности</w:t>
            </w:r>
            <w:r>
              <w:t xml:space="preserve">, всех активов и пассивов, числящихся на балансе МБУ «СК Дельфин» и МБУ «СК «Металлург» с указанием наименования кредиторов и дебиторов, суммы, даты возникновения задолженности, срока платежа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31.05.2025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t xml:space="preserve">МБУ «ЦБ»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23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юридического лица (юридических лиц)».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Контроль за</w:t>
            </w:r>
            <w:r>
              <w:t xml:space="preserve"> поступлением выписки из ЕГРЮЛ о прекращении деятельности МБУ </w:t>
            </w:r>
            <w:r>
              <w:t xml:space="preserve">«СК «Металлург» и МБУ «СК «Дельфин»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31.05.2025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определяет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УФНС по Мурманской области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Жуков Р.А.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Коршун А.В.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дел постоянного хранения и по личному составу (трудовые книжки, личные дела работников, карточки учета формы Т-2, трудовые договоры и т.п.) МБУ «СК Дельфин», МБУ «СК «Металлург» для передачи в МБУДО «ДЮСШ»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05.05.2025 - 31.05.2025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Жуков Р.А.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Кор</w:t>
            </w:r>
            <w:r>
              <w:rPr>
                <w:bCs/>
              </w:rPr>
              <w:t xml:space="preserve">шун А.В.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Внесение соответствующих записей в трудовые книжки работников 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после внесения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записи в ЕГРЮ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 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26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на баланс МБУ</w:t>
            </w:r>
            <w:r>
              <w:t xml:space="preserve">ДО «ДЮСШ» на основании передаточного акта всех активов и пассивов МБУ «СК Дельфин», МБУ «СК «Металлург», документов управленческих, </w:t>
            </w:r>
            <w:r>
              <w:t xml:space="preserve">финансово-хозяйственных, по личному составу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срок определяет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МБУ «ЦБ»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 Алексеева Ю.В.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27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</w:t>
            </w:r>
            <w:r>
              <w:t xml:space="preserve">Мурманской области заявления по форме Р13014 «Заявление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</w:t>
            </w:r>
            <w:r>
              <w:t xml:space="preserve"> юридических лиц» с приложением Устава МБУДО «ДЮСШ»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31.05.2025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28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мероприятий по переводу воспитанников в МБУДО «ДЮСШ» с согласия родителей (законных представителей) воспитанников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после внесения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записи в ЕГРЮ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 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29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лицензирующего органа о прекращении деятельности МБУ «СК Дельфин» и МБУ «СК «Металлург» для прекращения лицензии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после внесения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записи в ЕГРЮЛ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Осуществления действий по прекращению права оперативного управления «СК Дельфин» и МБУ «СК «Металлург» на нежилые помещения в Управление </w:t>
            </w:r>
            <w:r>
              <w:t xml:space="preserve">Росреестра</w:t>
            </w:r>
            <w:r>
              <w:t xml:space="preserve"> по Мурманской области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 1-го рабочего дня после получения из УФНС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Мурманской области документов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Осуществление МБУДО «ДЮСШ» регистрации права на недвижимое имущество в Управление </w:t>
            </w:r>
            <w:r>
              <w:t xml:space="preserve">Росреестра</w:t>
            </w:r>
            <w:r>
              <w:t xml:space="preserve"> по Мурманской области после подписания передаточного акта и дополнительного соглашения к договору о закреплении имущ</w:t>
            </w:r>
            <w:r>
              <w:t xml:space="preserve">ества в оперативное управление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 10 рабочих дней после подписания данного договора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32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Переоформление лицензии на ведение образовательной </w:t>
            </w:r>
            <w:r>
              <w:t xml:space="preserve">деятельности</w:t>
            </w:r>
            <w:r>
              <w:t xml:space="preserve"> в том числе в части дополнения места осуществления образовательной деятельности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после внесения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записи в ЕГРЮЛ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</w:t>
            </w:r>
            <w:r>
              <w:rPr>
                <w:bCs/>
              </w:rPr>
              <w:t xml:space="preserve"> А.А.</w:t>
            </w:r>
            <w:r>
              <w:rPr>
                <w:bCs/>
              </w:rPr>
            </w:r>
          </w:p>
        </w:tc>
      </w:tr>
    </w:tbl>
    <w:p>
      <w:pPr>
        <w:ind w:firstLine="709"/>
        <w:jc w:val="both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</w:p>
    <w:p>
      <w:pPr>
        <w:ind w:firstLine="709"/>
        <w:jc w:val="both"/>
        <w:rPr>
          <w:bCs/>
          <w:i/>
        </w:rPr>
      </w:pPr>
      <w:r>
        <w:rPr>
          <w:i/>
        </w:rPr>
        <w:t xml:space="preserve">*В случае отсутствия ответственного лица (болезнь, командировка, отпуск, прочее) в реализации плана участвует лицо, исполняющее его обязанности по основной должности</w:t>
      </w:r>
      <w:r>
        <w:rPr>
          <w:i/>
        </w:rPr>
        <w:t xml:space="preserve">.».</w:t>
      </w:r>
      <w:r>
        <w:rPr>
          <w:bCs/>
          <w:i/>
        </w:rPr>
      </w:r>
    </w:p>
    <w:p>
      <w:pPr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mbria">
    <w:panose1 w:val="0204050305040603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jc w:val="center"/>
      <w:rPr>
        <w:rStyle w:val="942"/>
      </w:rPr>
      <w:framePr w:wrap="around" w:vAnchor="text" w:hAnchor="margin" w:xAlign="center" w:y="1"/>
    </w:pPr>
    <w:r/>
    <w:r>
      <w:rPr>
        <w:rStyle w:val="942"/>
      </w:rPr>
    </w:r>
  </w:p>
  <w:p>
    <w:pPr>
      <w:pStyle w:val="782"/>
      <w:rPr>
        <w:rStyle w:val="942"/>
      </w:rPr>
      <w:framePr w:wrap="around" w:vAnchor="text" w:hAnchor="margin" w:xAlign="center" w:y="1"/>
    </w:pPr>
    <w:r/>
    <w:r>
      <w:rPr>
        <w:rStyle w:val="942"/>
      </w:rPr>
    </w:r>
  </w:p>
  <w:p>
    <w:pPr>
      <w:pStyle w:val="782"/>
    </w:pPr>
    <w:r/>
    <w:r/>
  </w:p>
  <w:p>
    <w:pPr>
      <w:pStyle w:val="78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</w:p>
  <w:p>
    <w:pPr>
      <w:pStyle w:val="782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7" w:default="1">
    <w:name w:val="Normal"/>
    <w:qFormat/>
    <w:rPr>
      <w:lang w:eastAsia="ru-RU"/>
    </w:rPr>
  </w:style>
  <w:style w:type="paragraph" w:styleId="718">
    <w:name w:val="Heading 1"/>
    <w:basedOn w:val="717"/>
    <w:next w:val="717"/>
    <w:link w:val="763"/>
    <w:qFormat/>
    <w:pPr>
      <w:jc w:val="center"/>
      <w:keepNext/>
      <w:outlineLvl w:val="0"/>
    </w:pPr>
    <w:rPr>
      <w:sz w:val="24"/>
    </w:rPr>
  </w:style>
  <w:style w:type="paragraph" w:styleId="719">
    <w:name w:val="Heading 2"/>
    <w:basedOn w:val="717"/>
    <w:next w:val="717"/>
    <w:link w:val="93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20">
    <w:name w:val="Heading 3"/>
    <w:basedOn w:val="717"/>
    <w:next w:val="717"/>
    <w:link w:val="7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1">
    <w:name w:val="Heading 4"/>
    <w:basedOn w:val="717"/>
    <w:next w:val="717"/>
    <w:link w:val="7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2">
    <w:name w:val="Heading 5"/>
    <w:basedOn w:val="717"/>
    <w:next w:val="717"/>
    <w:link w:val="7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3">
    <w:name w:val="Heading 6"/>
    <w:basedOn w:val="717"/>
    <w:next w:val="717"/>
    <w:link w:val="7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4">
    <w:name w:val="Heading 7"/>
    <w:basedOn w:val="717"/>
    <w:next w:val="717"/>
    <w:link w:val="7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5">
    <w:name w:val="Heading 8"/>
    <w:basedOn w:val="717"/>
    <w:next w:val="717"/>
    <w:link w:val="7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6">
    <w:name w:val="Heading 9"/>
    <w:basedOn w:val="717"/>
    <w:next w:val="717"/>
    <w:link w:val="7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7" w:default="1">
    <w:name w:val="Default Paragraph Font"/>
    <w:uiPriority w:val="1"/>
    <w:semiHidden/>
    <w:unhideWhenUsed/>
  </w:style>
  <w:style w:type="table" w:styleId="72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9" w:default="1">
    <w:name w:val="No List"/>
    <w:uiPriority w:val="99"/>
    <w:semiHidden/>
    <w:unhideWhenUsed/>
  </w:style>
  <w:style w:type="table" w:styleId="730" w:customStyle="1">
    <w:name w:val="Plain Table 1"/>
    <w:basedOn w:val="72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2"/>
    <w:basedOn w:val="72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Plain Table 3"/>
    <w:basedOn w:val="72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Plain Table 4"/>
    <w:basedOn w:val="72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Plain Table 5"/>
    <w:basedOn w:val="72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1 Light"/>
    <w:basedOn w:val="72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2"/>
    <w:basedOn w:val="72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"/>
    <w:basedOn w:val="72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4"/>
    <w:basedOn w:val="72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 w:customStyle="1">
    <w:name w:val="Grid Table 5 Dark"/>
    <w:basedOn w:val="72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6 Colorful"/>
    <w:basedOn w:val="72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7 Colorful"/>
    <w:basedOn w:val="72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2" w:customStyle="1">
    <w:name w:val="List Table 1 Light"/>
    <w:basedOn w:val="72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List Table 2"/>
    <w:basedOn w:val="72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4" w:customStyle="1">
    <w:name w:val="List Table 3"/>
    <w:basedOn w:val="72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List Table 4"/>
    <w:basedOn w:val="72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List Table 5 Dark"/>
    <w:basedOn w:val="72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7" w:customStyle="1">
    <w:name w:val="List Table 6 Colorful"/>
    <w:basedOn w:val="72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8" w:customStyle="1">
    <w:name w:val="List Table 7 Colorful"/>
    <w:basedOn w:val="72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49" w:customStyle="1">
    <w:name w:val="Heading 1 Char"/>
    <w:basedOn w:val="727"/>
    <w:uiPriority w:val="9"/>
    <w:rPr>
      <w:rFonts w:ascii="Arial" w:hAnsi="Arial" w:eastAsia="Arial" w:cs="Arial"/>
      <w:sz w:val="40"/>
      <w:szCs w:val="40"/>
    </w:rPr>
  </w:style>
  <w:style w:type="character" w:styleId="750" w:customStyle="1">
    <w:name w:val="Heading 3 Char"/>
    <w:basedOn w:val="727"/>
    <w:uiPriority w:val="9"/>
    <w:rPr>
      <w:rFonts w:ascii="Arial" w:hAnsi="Arial" w:eastAsia="Arial" w:cs="Arial"/>
      <w:sz w:val="30"/>
      <w:szCs w:val="30"/>
    </w:rPr>
  </w:style>
  <w:style w:type="character" w:styleId="751" w:customStyle="1">
    <w:name w:val="Heading 4 Char"/>
    <w:basedOn w:val="727"/>
    <w:uiPriority w:val="9"/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Heading 5 Char"/>
    <w:basedOn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753" w:customStyle="1">
    <w:name w:val="Heading 6 Char"/>
    <w:basedOn w:val="727"/>
    <w:uiPriority w:val="9"/>
    <w:rPr>
      <w:rFonts w:ascii="Arial" w:hAnsi="Arial" w:eastAsia="Arial" w:cs="Arial"/>
      <w:b/>
      <w:bCs/>
      <w:sz w:val="22"/>
      <w:szCs w:val="22"/>
    </w:rPr>
  </w:style>
  <w:style w:type="character" w:styleId="754" w:customStyle="1">
    <w:name w:val="Heading 7 Char"/>
    <w:basedOn w:val="72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5" w:customStyle="1">
    <w:name w:val="Heading 8 Char"/>
    <w:basedOn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56" w:customStyle="1">
    <w:name w:val="Heading 9 Char"/>
    <w:basedOn w:val="727"/>
    <w:uiPriority w:val="9"/>
    <w:rPr>
      <w:rFonts w:ascii="Arial" w:hAnsi="Arial" w:eastAsia="Arial" w:cs="Arial"/>
      <w:i/>
      <w:iCs/>
      <w:sz w:val="21"/>
      <w:szCs w:val="21"/>
    </w:rPr>
  </w:style>
  <w:style w:type="character" w:styleId="757" w:customStyle="1">
    <w:name w:val="Title Char"/>
    <w:basedOn w:val="727"/>
    <w:uiPriority w:val="10"/>
    <w:rPr>
      <w:sz w:val="48"/>
      <w:szCs w:val="48"/>
    </w:rPr>
  </w:style>
  <w:style w:type="character" w:styleId="758" w:customStyle="1">
    <w:name w:val="Subtitle Char"/>
    <w:basedOn w:val="727"/>
    <w:uiPriority w:val="11"/>
    <w:rPr>
      <w:sz w:val="24"/>
      <w:szCs w:val="24"/>
    </w:rPr>
  </w:style>
  <w:style w:type="character" w:styleId="759" w:customStyle="1">
    <w:name w:val="Quote Char"/>
    <w:uiPriority w:val="29"/>
    <w:rPr>
      <w:i/>
    </w:rPr>
  </w:style>
  <w:style w:type="character" w:styleId="760" w:customStyle="1">
    <w:name w:val="Intense Quote Char"/>
    <w:uiPriority w:val="30"/>
    <w:rPr>
      <w:i/>
    </w:rPr>
  </w:style>
  <w:style w:type="character" w:styleId="761" w:customStyle="1">
    <w:name w:val="Footnote Text Char"/>
    <w:uiPriority w:val="99"/>
    <w:rPr>
      <w:sz w:val="18"/>
    </w:rPr>
  </w:style>
  <w:style w:type="character" w:styleId="762" w:customStyle="1">
    <w:name w:val="Endnote Text Char"/>
    <w:uiPriority w:val="99"/>
    <w:rPr>
      <w:sz w:val="20"/>
    </w:rPr>
  </w:style>
  <w:style w:type="character" w:styleId="763" w:customStyle="1">
    <w:name w:val="Заголовок 1 Знак"/>
    <w:link w:val="718"/>
    <w:uiPriority w:val="9"/>
    <w:rPr>
      <w:rFonts w:ascii="Arial" w:hAnsi="Arial" w:eastAsia="Arial" w:cs="Arial"/>
      <w:sz w:val="40"/>
      <w:szCs w:val="40"/>
    </w:rPr>
  </w:style>
  <w:style w:type="character" w:styleId="764" w:customStyle="1">
    <w:name w:val="Heading 2 Char"/>
    <w:uiPriority w:val="9"/>
    <w:rPr>
      <w:rFonts w:ascii="Arial" w:hAnsi="Arial" w:eastAsia="Arial" w:cs="Arial"/>
      <w:sz w:val="34"/>
    </w:rPr>
  </w:style>
  <w:style w:type="character" w:styleId="765" w:customStyle="1">
    <w:name w:val="Заголовок 3 Знак"/>
    <w:link w:val="720"/>
    <w:uiPriority w:val="9"/>
    <w:rPr>
      <w:rFonts w:ascii="Arial" w:hAnsi="Arial" w:eastAsia="Arial" w:cs="Arial"/>
      <w:sz w:val="30"/>
      <w:szCs w:val="30"/>
    </w:rPr>
  </w:style>
  <w:style w:type="character" w:styleId="766" w:customStyle="1">
    <w:name w:val="Заголовок 4 Знак"/>
    <w:link w:val="721"/>
    <w:uiPriority w:val="9"/>
    <w:rPr>
      <w:rFonts w:ascii="Arial" w:hAnsi="Arial" w:eastAsia="Arial" w:cs="Arial"/>
      <w:b/>
      <w:bCs/>
      <w:sz w:val="26"/>
      <w:szCs w:val="26"/>
    </w:rPr>
  </w:style>
  <w:style w:type="character" w:styleId="767" w:customStyle="1">
    <w:name w:val="Заголовок 5 Знак"/>
    <w:link w:val="722"/>
    <w:uiPriority w:val="9"/>
    <w:rPr>
      <w:rFonts w:ascii="Arial" w:hAnsi="Arial" w:eastAsia="Arial" w:cs="Arial"/>
      <w:b/>
      <w:bCs/>
      <w:sz w:val="24"/>
      <w:szCs w:val="24"/>
    </w:rPr>
  </w:style>
  <w:style w:type="character" w:styleId="768" w:customStyle="1">
    <w:name w:val="Заголовок 6 Знак"/>
    <w:link w:val="723"/>
    <w:uiPriority w:val="9"/>
    <w:rPr>
      <w:rFonts w:ascii="Arial" w:hAnsi="Arial" w:eastAsia="Arial" w:cs="Arial"/>
      <w:b/>
      <w:bCs/>
      <w:sz w:val="22"/>
      <w:szCs w:val="22"/>
    </w:rPr>
  </w:style>
  <w:style w:type="character" w:styleId="769" w:customStyle="1">
    <w:name w:val="Заголовок 7 Знак"/>
    <w:link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0" w:customStyle="1">
    <w:name w:val="Заголовок 8 Знак"/>
    <w:link w:val="725"/>
    <w:uiPriority w:val="9"/>
    <w:rPr>
      <w:rFonts w:ascii="Arial" w:hAnsi="Arial" w:eastAsia="Arial" w:cs="Arial"/>
      <w:i/>
      <w:iCs/>
      <w:sz w:val="22"/>
      <w:szCs w:val="22"/>
    </w:rPr>
  </w:style>
  <w:style w:type="character" w:styleId="771" w:customStyle="1">
    <w:name w:val="Заголовок 9 Знак"/>
    <w:link w:val="726"/>
    <w:uiPriority w:val="9"/>
    <w:rPr>
      <w:rFonts w:ascii="Arial" w:hAnsi="Arial" w:eastAsia="Arial" w:cs="Arial"/>
      <w:i/>
      <w:iCs/>
      <w:sz w:val="21"/>
      <w:szCs w:val="21"/>
    </w:rPr>
  </w:style>
  <w:style w:type="paragraph" w:styleId="772">
    <w:name w:val="List Paragraph"/>
    <w:basedOn w:val="717"/>
    <w:uiPriority w:val="34"/>
    <w:qFormat/>
    <w:pPr>
      <w:contextualSpacing/>
      <w:ind w:left="720"/>
    </w:pPr>
  </w:style>
  <w:style w:type="paragraph" w:styleId="773">
    <w:name w:val="No Spacing"/>
    <w:uiPriority w:val="1"/>
    <w:qFormat/>
  </w:style>
  <w:style w:type="paragraph" w:styleId="774">
    <w:name w:val="Title"/>
    <w:basedOn w:val="717"/>
    <w:next w:val="717"/>
    <w:link w:val="7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5" w:customStyle="1">
    <w:name w:val="Название Знак"/>
    <w:link w:val="774"/>
    <w:uiPriority w:val="10"/>
    <w:rPr>
      <w:sz w:val="48"/>
      <w:szCs w:val="48"/>
    </w:rPr>
  </w:style>
  <w:style w:type="paragraph" w:styleId="776">
    <w:name w:val="Subtitle"/>
    <w:basedOn w:val="717"/>
    <w:next w:val="717"/>
    <w:link w:val="777"/>
    <w:uiPriority w:val="11"/>
    <w:qFormat/>
    <w:pPr>
      <w:spacing w:before="200" w:after="200"/>
    </w:pPr>
    <w:rPr>
      <w:sz w:val="24"/>
      <w:szCs w:val="24"/>
    </w:rPr>
  </w:style>
  <w:style w:type="character" w:styleId="777" w:customStyle="1">
    <w:name w:val="Подзаголовок Знак"/>
    <w:link w:val="776"/>
    <w:uiPriority w:val="11"/>
    <w:rPr>
      <w:sz w:val="24"/>
      <w:szCs w:val="24"/>
    </w:rPr>
  </w:style>
  <w:style w:type="paragraph" w:styleId="778">
    <w:name w:val="Quote"/>
    <w:basedOn w:val="717"/>
    <w:next w:val="717"/>
    <w:link w:val="779"/>
    <w:uiPriority w:val="29"/>
    <w:qFormat/>
    <w:pPr>
      <w:ind w:left="720" w:right="720"/>
    </w:pPr>
    <w:rPr>
      <w:i/>
    </w:rPr>
  </w:style>
  <w:style w:type="character" w:styleId="779" w:customStyle="1">
    <w:name w:val="Цитата 2 Знак"/>
    <w:link w:val="778"/>
    <w:uiPriority w:val="29"/>
    <w:rPr>
      <w:i/>
    </w:rPr>
  </w:style>
  <w:style w:type="paragraph" w:styleId="780">
    <w:name w:val="Intense Quote"/>
    <w:basedOn w:val="717"/>
    <w:next w:val="717"/>
    <w:link w:val="78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1" w:customStyle="1">
    <w:name w:val="Выделенная цитата Знак"/>
    <w:link w:val="780"/>
    <w:uiPriority w:val="30"/>
    <w:rPr>
      <w:i/>
    </w:rPr>
  </w:style>
  <w:style w:type="paragraph" w:styleId="782">
    <w:name w:val="Header"/>
    <w:basedOn w:val="717"/>
    <w:link w:val="943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3" w:customStyle="1">
    <w:name w:val="Header Char"/>
    <w:uiPriority w:val="99"/>
  </w:style>
  <w:style w:type="paragraph" w:styleId="784">
    <w:name w:val="Footer"/>
    <w:basedOn w:val="717"/>
    <w:link w:val="941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Footer Char"/>
    <w:uiPriority w:val="99"/>
  </w:style>
  <w:style w:type="paragraph" w:styleId="786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7" w:customStyle="1">
    <w:name w:val="Caption Char"/>
    <w:uiPriority w:val="99"/>
  </w:style>
  <w:style w:type="table" w:styleId="788">
    <w:name w:val="Table Grid"/>
    <w:basedOn w:val="728"/>
    <w:tblPr/>
  </w:style>
  <w:style w:type="table" w:styleId="789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0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1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3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5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7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8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0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2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3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0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1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2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3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4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5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6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7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8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0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1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3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5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6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4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5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6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7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8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9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0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8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9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0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1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2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3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4">
    <w:name w:val="Hyperlink"/>
    <w:rPr>
      <w:color w:val="0563c1"/>
      <w:u w:val="single"/>
    </w:rPr>
  </w:style>
  <w:style w:type="paragraph" w:styleId="915">
    <w:name w:val="footnote text"/>
    <w:basedOn w:val="717"/>
    <w:link w:val="916"/>
    <w:uiPriority w:val="99"/>
    <w:semiHidden/>
    <w:unhideWhenUsed/>
    <w:pPr>
      <w:spacing w:after="40"/>
    </w:pPr>
    <w:rPr>
      <w:sz w:val="18"/>
    </w:rPr>
  </w:style>
  <w:style w:type="character" w:styleId="916" w:customStyle="1">
    <w:name w:val="Текст сноски Знак"/>
    <w:link w:val="915"/>
    <w:uiPriority w:val="99"/>
    <w:rPr>
      <w:sz w:val="18"/>
    </w:rPr>
  </w:style>
  <w:style w:type="character" w:styleId="917">
    <w:name w:val="footnote reference"/>
    <w:uiPriority w:val="99"/>
    <w:unhideWhenUsed/>
    <w:rPr>
      <w:vertAlign w:val="superscript"/>
    </w:rPr>
  </w:style>
  <w:style w:type="paragraph" w:styleId="918">
    <w:name w:val="endnote text"/>
    <w:basedOn w:val="717"/>
    <w:link w:val="919"/>
    <w:uiPriority w:val="99"/>
    <w:semiHidden/>
    <w:unhideWhenUsed/>
  </w:style>
  <w:style w:type="character" w:styleId="919" w:customStyle="1">
    <w:name w:val="Текст концевой сноски Знак"/>
    <w:link w:val="918"/>
    <w:uiPriority w:val="99"/>
    <w:rPr>
      <w:sz w:val="20"/>
    </w:rPr>
  </w:style>
  <w:style w:type="character" w:styleId="920">
    <w:name w:val="endnote reference"/>
    <w:uiPriority w:val="99"/>
    <w:semiHidden/>
    <w:unhideWhenUsed/>
    <w:rPr>
      <w:vertAlign w:val="superscript"/>
    </w:rPr>
  </w:style>
  <w:style w:type="paragraph" w:styleId="921">
    <w:name w:val="toc 1"/>
    <w:basedOn w:val="717"/>
    <w:next w:val="717"/>
    <w:uiPriority w:val="39"/>
    <w:unhideWhenUsed/>
    <w:pPr>
      <w:spacing w:after="57"/>
    </w:pPr>
  </w:style>
  <w:style w:type="paragraph" w:styleId="922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923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924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925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926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927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928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929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930">
    <w:name w:val="TOC Heading"/>
    <w:uiPriority w:val="39"/>
    <w:unhideWhenUsed/>
  </w:style>
  <w:style w:type="paragraph" w:styleId="931">
    <w:name w:val="table of figures"/>
    <w:basedOn w:val="717"/>
    <w:next w:val="717"/>
    <w:uiPriority w:val="99"/>
    <w:unhideWhenUsed/>
  </w:style>
  <w:style w:type="character" w:styleId="932" w:customStyle="1">
    <w:name w:val="Основной шрифт абзаца;Знак Знак2 Знак Знак Знак Знак Знак Знак Знак Знак"/>
    <w:link w:val="946"/>
    <w:semiHidden/>
  </w:style>
  <w:style w:type="paragraph" w:styleId="933">
    <w:name w:val="Body Text"/>
    <w:basedOn w:val="717"/>
    <w:pPr>
      <w:jc w:val="both"/>
    </w:pPr>
    <w:rPr>
      <w:sz w:val="24"/>
      <w:szCs w:val="24"/>
    </w:rPr>
  </w:style>
  <w:style w:type="paragraph" w:styleId="934">
    <w:name w:val="Body Text Indent"/>
    <w:basedOn w:val="717"/>
    <w:pPr>
      <w:ind w:left="283"/>
      <w:spacing w:after="120"/>
    </w:pPr>
  </w:style>
  <w:style w:type="paragraph" w:styleId="935">
    <w:name w:val="Body Text 2"/>
    <w:basedOn w:val="717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6">
    <w:name w:val="Body Text Indent 2"/>
    <w:basedOn w:val="717"/>
    <w:pPr>
      <w:ind w:firstLine="709"/>
      <w:jc w:val="both"/>
    </w:pPr>
    <w:rPr>
      <w:bCs/>
      <w:sz w:val="26"/>
      <w:szCs w:val="26"/>
    </w:rPr>
  </w:style>
  <w:style w:type="paragraph" w:styleId="937">
    <w:name w:val="Body Text Indent 3"/>
    <w:basedOn w:val="717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8" w:customStyle="1">
    <w:name w:val="Знак Знак2 Знак Знак Знак Знак Знак Знак"/>
    <w:basedOn w:val="71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9" w:customStyle="1">
    <w:name w:val="Заголовок 2 Знак"/>
    <w:link w:val="71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0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1" w:customStyle="1">
    <w:name w:val="Нижний колонтитул Знак"/>
    <w:link w:val="784"/>
    <w:rPr>
      <w:rFonts w:ascii="Arial" w:hAnsi="Arial" w:cs="Arial"/>
    </w:rPr>
  </w:style>
  <w:style w:type="character" w:styleId="942">
    <w:name w:val="page number"/>
  </w:style>
  <w:style w:type="character" w:styleId="943" w:customStyle="1">
    <w:name w:val="Верхний колонтитул Знак"/>
    <w:link w:val="782"/>
    <w:rPr>
      <w:rFonts w:ascii="Arial" w:hAnsi="Arial" w:cs="Arial"/>
    </w:rPr>
  </w:style>
  <w:style w:type="paragraph" w:styleId="944">
    <w:name w:val="Balloon Text"/>
    <w:basedOn w:val="717"/>
    <w:link w:val="945"/>
    <w:rPr>
      <w:rFonts w:ascii="Tahoma" w:hAnsi="Tahoma" w:cs="Tahoma"/>
      <w:sz w:val="16"/>
      <w:szCs w:val="16"/>
    </w:rPr>
  </w:style>
  <w:style w:type="character" w:styleId="945" w:customStyle="1">
    <w:name w:val="Текст выноски Знак"/>
    <w:link w:val="944"/>
    <w:rPr>
      <w:rFonts w:ascii="Tahoma" w:hAnsi="Tahoma" w:cs="Tahoma"/>
      <w:sz w:val="16"/>
      <w:szCs w:val="16"/>
    </w:rPr>
  </w:style>
  <w:style w:type="paragraph" w:styleId="946" w:customStyle="1">
    <w:name w:val="Знак Знак2 Знак Знак Знак Знак"/>
    <w:basedOn w:val="717"/>
    <w:link w:val="93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7" w:customStyle="1">
    <w:name w:val="Знак Знак2"/>
    <w:basedOn w:val="71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8" w:customStyle="1">
    <w:name w:val="Знак Знак Знак Знак Знак Знак Знак Знак Знак Знак"/>
    <w:basedOn w:val="717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Relationship Id="rId14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225F8-1625-424C-80CC-28ED26767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48</cp:revision>
  <dcterms:created xsi:type="dcterms:W3CDTF">2025-04-24T08:40:00Z</dcterms:created>
  <dcterms:modified xsi:type="dcterms:W3CDTF">2025-05-14T11:20:06Z</dcterms:modified>
  <cp:version>917504</cp:version>
</cp:coreProperties>
</file>