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b/>
          <w:sz w:val="24"/>
        </w:rPr>
        <w:t xml:space="preserve">   № 697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План мероприятий по реорганизации МБУДО «ДМШ № 2» в форме присоединения к нему МБ</w:t>
      </w:r>
      <w:r>
        <w:rPr>
          <w:b/>
        </w:rPr>
        <w:t xml:space="preserve">УДО «ДМШ № 1» и МБУДО «ДМШ № 3», утвержденный постановлением администрации Печенгского муниципального округа от 09.12.2024 № 1970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План мероприятий по реорганизации МБУДО «ДМШ № 2» в </w:t>
      </w:r>
      <w:r>
        <w:rPr>
          <w:sz w:val="24"/>
          <w:szCs w:val="24"/>
        </w:rPr>
        <w:t xml:space="preserve">форме присоединения к нему МБУДО «ДМШ № 1» и МБУДО «ДМШ № 3», утвержденный постановлением администрации Печенгского муниципального округа от 09.12.2024 № 1970 (в редакции постановления администрации Печенгского муниципального округа от 26.02.2025 № 287), и</w:t>
      </w:r>
      <w:r>
        <w:rPr>
          <w:sz w:val="24"/>
          <w:szCs w:val="24"/>
        </w:rPr>
        <w:t xml:space="preserve">зложить в следующей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4"/>
        <w:numPr>
          <w:ilvl w:val="0"/>
          <w:numId w:val="6"/>
        </w:numPr>
        <w:ind w:lef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6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</w:t>
      </w:r>
      <w:r>
        <w:rPr>
          <w:sz w:val="24"/>
          <w:szCs w:val="24"/>
        </w:rPr>
        <w:t xml:space="preserve">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Стрелкова Т.И., 62165</w:t>
      </w:r>
      <w:r>
        <w:rPr>
          <w:highlight w:val="none"/>
        </w:rPr>
      </w:r>
      <w:r>
        <w:rPr>
          <w:highlight w:val="none"/>
        </w:rPr>
      </w:r>
    </w:p>
    <w:p>
      <w:pPr>
        <w:ind w:left="5528"/>
        <w:jc w:val="both"/>
      </w:pPr>
      <w:r/>
      <w:bookmarkStart w:id="0" w:name="_GoBack"/>
      <w:r/>
      <w:bookmarkEnd w:id="0"/>
      <w:r>
        <w:rPr>
          <w:sz w:val="24"/>
          <w:szCs w:val="24"/>
        </w:rPr>
        <w:t xml:space="preserve">Прил</w:t>
      </w:r>
      <w:r>
        <w:rPr>
          <w:sz w:val="24"/>
          <w:szCs w:val="24"/>
        </w:rPr>
        <w:t xml:space="preserve">ожение 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28.04.2025 № 697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09.12.2024 № 1970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по реорганизации МБУДО «ДМШ № 2»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 нему МБУДО «ДМШ № 1» и МБУДО «ДМШ № 3»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17"/>
        <w:gridCol w:w="4692"/>
        <w:gridCol w:w="2247"/>
        <w:gridCol w:w="2226"/>
      </w:tblGrid>
      <w:tr>
        <w:tblPrEx/>
        <w:trPr/>
        <w:tc>
          <w:tcPr>
            <w:shd w:val="clear" w:color="auto" w:fill="auto"/>
            <w:tcW w:w="6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shd w:val="clear" w:color="auto" w:fill="auto"/>
            <w:tcW w:w="46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</w:t>
            </w:r>
            <w:r/>
          </w:p>
        </w:tc>
        <w:tc>
          <w:tcPr>
            <w:shd w:val="clear" w:color="auto" w:fill="auto"/>
            <w:tcW w:w="224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</w:t>
            </w:r>
            <w:r/>
          </w:p>
        </w:tc>
        <w:tc>
          <w:tcPr>
            <w:shd w:val="clear" w:color="auto" w:fill="auto"/>
            <w:tcW w:w="222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реорганизации МБУДО «ДМШ № 2» в форме присоединения к нему МБУДО «ДМШ № 1» и МБУДО «ДМШ № 3»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15.11.2024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заключения комиссии относительно оценки последствий принятия решения о реорганизации </w:t>
            </w:r>
            <w:r>
              <w:rPr>
                <w:bCs/>
              </w:rPr>
              <w:t xml:space="preserve">реорганизации</w:t>
            </w:r>
            <w:r>
              <w:rPr>
                <w:bCs/>
              </w:rPr>
              <w:t xml:space="preserve"> МБУДО «ДМШ № 2» в форме присоединения к нему МБУДО «ДМШ </w:t>
            </w:r>
            <w:r>
              <w:rPr>
                <w:bCs/>
              </w:rPr>
              <w:br/>
              <w:t xml:space="preserve">№ 1» и МБУДО «ДМШ № 3» в профильные министерства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05.12.2024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</w:t>
            </w:r>
            <w:r>
              <w:t xml:space="preserve">постановления администрации Печенгского муниципального округа о реорганизации МБУДО «ДМШ № 2» в форме присоединения к нему МБУДО «ДМШ № 1» и МБУДО «ДМШ № 3»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09.12.2024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письменного уведомления о на</w:t>
            </w:r>
            <w:r>
              <w:t xml:space="preserve">чале процедуры реорганизации МБУДО «ДМШ № 2» в форме присоединения к нему МБУДО «ДМШ № 1» и МБУДО «ДМШ № 3» 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</w:t>
            </w:r>
            <w:r>
              <w:t xml:space="preserve">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руководителей </w:t>
            </w:r>
            <w:r>
              <w:t xml:space="preserve">МБУ ДО «ДМШ </w:t>
            </w:r>
            <w:r>
              <w:br/>
              <w:t xml:space="preserve">№ 1», МБУДО «ДМШ № 2», МБУДО «ДМШ № 3»</w:t>
            </w:r>
            <w:r>
              <w:rPr>
                <w:bCs/>
              </w:rPr>
              <w:t xml:space="preserve"> с постановлением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Большакова О.В. Морозова М.Е.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Ознакомление под подпись работников МБУДО «ДМШ № 1», МБУДО «ДМШ № 2», МБУДО «ДМШ № 3» с постановлением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</w:pPr>
            <w:r>
              <w:t xml:space="preserve">в течение 1 рабочего дня со дня принятия постановления</w:t>
            </w:r>
            <w:r/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Шехова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Издание приказов по МБУДО «ДМШ № 1», МБУДО «ДМШ № 2», МБУДО «ДМШ № 3»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определяют руковод</w:t>
            </w:r>
            <w:r>
              <w:rPr>
                <w:bCs/>
              </w:rPr>
              <w:t xml:space="preserve">ители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учреждений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Шехова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уведомлений в письменной форме о процедуре</w:t>
            </w:r>
            <w:r>
              <w:t xml:space="preserve"> реорганизации МБУДО «ДМШ № 2» в форме присоединения к нему МБУДО «ДМШ № 1» и МБУДО «ДМШ № 3» </w:t>
            </w:r>
            <w:r>
              <w:rPr>
                <w:bCs/>
              </w:rPr>
              <w:t xml:space="preserve">в клиентскую службу СФР в </w:t>
            </w:r>
            <w:r>
              <w:rPr>
                <w:bCs/>
              </w:rPr>
              <w:t xml:space="preserve">Печенгском</w:t>
            </w:r>
            <w:r>
              <w:rPr>
                <w:bCs/>
              </w:rPr>
              <w:t xml:space="preserve"> районе фил</w:t>
            </w:r>
            <w:r>
              <w:rPr>
                <w:bCs/>
              </w:rPr>
              <w:t xml:space="preserve">иал № 1 Государственного учреждения – Мурманского регионального отделения фонда социального </w:t>
            </w:r>
            <w:r>
              <w:rPr>
                <w:bCs/>
              </w:rPr>
              <w:t xml:space="preserve">страхования Российской Федерации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 Алексеева Ю.В.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</w:t>
            </w:r>
            <w:r>
              <w:t xml:space="preserve">домлений в письменной форме о начале реорганизации всем известным кредиторам МБУДО «ДМШ № 1», МБУДО «ДМШ № 3»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Шехова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Опубликование в средствах массовой информации, в которых опубликовываются данные о государственной регис</w:t>
            </w:r>
            <w:r>
              <w:rPr>
                <w:bCs/>
              </w:rPr>
              <w:t xml:space="preserve">трации юридического лица (Вестник государственной регистрации) после внесения в ЕГРЮЛ соответствующей информации о реорганизации МБУДО «ДМШ № 2» в форме присоединения к нему МБУДО «ДМШ № 1» и МБУДО «ДМШ № 3» о порядке и сроке заявления требований его креди</w:t>
            </w:r>
            <w:r>
              <w:rPr>
                <w:bCs/>
              </w:rPr>
              <w:t xml:space="preserve">торами.</w:t>
            </w: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МБУ ДО «ДМШ № 2»: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  <w:highlight w:val="yellow"/>
              </w:rPr>
            </w:pPr>
            <w:r>
              <w:rPr>
                <w:bCs/>
              </w:rPr>
              <w:t xml:space="preserve">– получение электронной версии договора и платежных докумен</w:t>
            </w:r>
            <w:r>
              <w:rPr>
                <w:bCs/>
              </w:rPr>
              <w:t xml:space="preserve">тов из</w:t>
            </w:r>
            <w:r>
              <w:t xml:space="preserve"> </w:t>
            </w:r>
            <w:r>
              <w:rPr>
                <w:bCs/>
              </w:rPr>
              <w:t xml:space="preserve">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подписание договора и платежных документов;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оплата счета за публикацию в двух выпусках с периодичностью в один ме</w:t>
            </w:r>
            <w:r>
              <w:rPr>
                <w:bCs/>
              </w:rPr>
              <w:t xml:space="preserve">сяц);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13.12.2024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Разработка и согласование с отд</w:t>
            </w:r>
            <w:r>
              <w:rPr>
                <w:bCs/>
              </w:rPr>
              <w:t xml:space="preserve">елом культуры, спорта и молодежной политики нового штатного расписания МБУДО «ДМШ» с учетом присоединения к нему МБУДО «ДМШ № 1»</w:t>
            </w:r>
            <w:r>
              <w:t xml:space="preserve"> и МБУДО «ДМШ № 3»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Шехова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</w:t>
            </w:r>
            <w:r>
              <w:t xml:space="preserve">Печенгский</w:t>
            </w:r>
            <w:r>
              <w:t xml:space="preserve"> кадровый центр ГО</w:t>
            </w:r>
            <w:r>
              <w:t xml:space="preserve">БУ Центр занятости населения Мурманской области реорганизации МБУДО «ДМШ № 2» в форме присоединения к нему МБУДО «ДМШ № 1» и МБУДО «ДМШ № 3», размещение информации о предстоящем высвобождении на портале «Работа России» согласно требованиям законодательства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МБУДО «ДМШ № 1», МБУДО «ДМШ № 2», МБУДО «ДМШ № 3»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Шехо</w:t>
            </w:r>
            <w:r>
              <w:rPr>
                <w:bCs/>
              </w:rPr>
              <w:t xml:space="preserve">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14.1.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МБУДО «ДМШ № 1», МБУДО «ДМШ № 2», МБУДО «ДМШ № 3» о предстоящем сокращении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31.03.2025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Шехова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</w:t>
            </w:r>
            <w:r>
              <w:t xml:space="preserve">государственной регистрации» уведомления о процедуре реорганизации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31.01.2025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МБУДО «ДМШ» и постановления об утверждении Устава (при необходимости)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21.02.2025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МБУДО «ДМШ № 1», МБУДО «ДМШ № 3» для последующего составления передаточного акта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01.04.2025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Дремлюга</w:t>
            </w:r>
            <w:r>
              <w:t xml:space="preserve"> И.Е.</w:t>
            </w:r>
            <w:r/>
          </w:p>
          <w:p>
            <w:pPr>
              <w:jc w:val="center"/>
            </w:pPr>
            <w:r>
              <w:t xml:space="preserve">Шехова</w:t>
            </w:r>
            <w:r>
              <w:t xml:space="preserve"> С.В.</w:t>
            </w:r>
            <w:r/>
          </w:p>
          <w:p>
            <w:pPr>
              <w:jc w:val="center"/>
            </w:pPr>
            <w:r>
              <w:t xml:space="preserve">Алексеева Ю.В.</w:t>
            </w:r>
            <w:r/>
          </w:p>
          <w:p>
            <w:pPr>
              <w:jc w:val="center"/>
            </w:pPr>
            <w:r>
              <w:t xml:space="preserve">Лаврущик</w:t>
            </w:r>
            <w:r>
              <w:t xml:space="preserve"> С.С.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МБУДО  «ДМШ № 1» и МБУДО «ДМШ № 3» недвижимого имущества с 31.05.2025 (перечень недвижимого имущества прилагается</w:t>
            </w:r>
            <w:r>
              <w:t xml:space="preserve">)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Шулакова</w:t>
            </w:r>
            <w:r>
              <w:t xml:space="preserve"> И.В.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 закреплении за МБУДО «ДМШ № 2 на праве оперативного управления недвижимого имущества МБУДО «ДМШ  № 1» и МБ</w:t>
            </w:r>
            <w:r>
              <w:t xml:space="preserve">УДО «ДМШ № 3» с 01.06.2025 (перечень недвижимого имущества прилагается)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05.05.2025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Шулакова</w:t>
            </w:r>
            <w:r>
              <w:t xml:space="preserve"> И.В.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</w:t>
            </w:r>
            <w:r>
              <w:t xml:space="preserve">МБУДО «ДМШ № 1» и МБУДО «ДМШ № 3» движимого имущества и о закреплении за МБУДО «ДМШ № 2» с 01.06.2025 (перечень движимого имущества прилагается)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Шулакова</w:t>
            </w:r>
            <w:r>
              <w:t xml:space="preserve"> И.В.</w:t>
            </w:r>
            <w:r/>
          </w:p>
          <w:p>
            <w:pPr>
              <w:jc w:val="center"/>
            </w:pPr>
            <w:r>
              <w:t xml:space="preserve">Дремлюга</w:t>
            </w:r>
            <w:r>
              <w:t xml:space="preserve"> И.Е.</w:t>
            </w:r>
            <w:r/>
          </w:p>
          <w:p>
            <w:pPr>
              <w:jc w:val="center"/>
            </w:pPr>
            <w:r>
              <w:t xml:space="preserve">Шехова</w:t>
            </w:r>
            <w:r>
              <w:t xml:space="preserve"> С.В.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МБУДО «ДМШ № 2» по всем правам и обязанностям МБУДО «ДМШ № 1», МБУДО «ДМШ № 3» и описи передаваемых документов, включая лицевые счета работников за весь период наличия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</w:t>
            </w:r>
            <w:r>
              <w:rPr>
                <w:bCs/>
              </w:rPr>
              <w:t xml:space="preserve">е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</w:pPr>
            <w:r>
              <w:t xml:space="preserve">Шулакова</w:t>
            </w:r>
            <w:r>
              <w:t xml:space="preserve"> И.В.</w:t>
            </w:r>
            <w:r/>
          </w:p>
          <w:p>
            <w:pPr>
              <w:jc w:val="center"/>
            </w:pPr>
            <w:r>
              <w:t xml:space="preserve">Дремлюга</w:t>
            </w:r>
            <w:r>
              <w:t xml:space="preserve"> И.Е.</w:t>
            </w:r>
            <w:r/>
          </w:p>
          <w:p>
            <w:pPr>
              <w:jc w:val="center"/>
            </w:pPr>
            <w:r>
              <w:t xml:space="preserve">Шехова</w:t>
            </w:r>
            <w:r>
              <w:t xml:space="preserve"> С.В.</w:t>
            </w:r>
            <w:r/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пер</w:t>
            </w:r>
            <w:r>
              <w:t xml:space="preserve">едаточного акта с расшифровкой кредиторской и дебиторской задолженности, всех активов и пассивов, числящихся на балансе МБУДО «ДМШ № 1», МБУДО «ДМШ № 3» с указанием наименования кредиторов и дебиторов, суммы, даты возникновения задолженности, срока платежа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31.05.2025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МБУ «ЦБ»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</w:t>
            </w:r>
            <w:r>
              <w:t xml:space="preserve"> поступлением выписки из ЕГРЮЛ о </w:t>
            </w:r>
            <w:r>
              <w:t xml:space="preserve">прекращении деятельности МБУДО «ДМШ № 1», МБУДО «ДМШ № 3»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определяет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УФНС по Мурманской области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Шехова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дел постоянного хранения и по личному составу (трудовые книжки, личные дела работников, карточки учета формы Т-2, трудовые договоры и т.п.) МБУДО «ДМШ № 1», МБУДО «ДМШ № 3» для передачи в МБУДО «ДМШ № 2»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05.05.2025 - 31.05.2025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Дремлюга</w:t>
            </w:r>
            <w:r>
              <w:rPr>
                <w:bCs/>
              </w:rPr>
              <w:t xml:space="preserve"> И.Е.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Шех</w:t>
            </w:r>
            <w:r>
              <w:rPr>
                <w:bCs/>
              </w:rPr>
              <w:t xml:space="preserve">ова</w:t>
            </w:r>
            <w:r>
              <w:rPr>
                <w:bCs/>
              </w:rPr>
              <w:t xml:space="preserve"> С.В.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лицензирующего органа о прекращении деятельности МБУДО «ДМШ № 1», МБУДО «ДМШ № 3» для прекращения лицензии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</w:t>
            </w:r>
            <w:r>
              <w:t xml:space="preserve">книжки работников 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на баланс МБУ</w:t>
            </w:r>
            <w:r>
              <w:t xml:space="preserve">ДО «ДМШ № 2» на основании передаточного акта всех активов и пассивов МБУДО «ДМШ № 1», МБУДО «ДМШ </w:t>
            </w:r>
            <w:r>
              <w:br/>
              <w:t xml:space="preserve">№ 3» документов управленческих, финансово-хозяйственных, по личному составу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срок определяет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 «ЦБ»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Алексеева Ю.В.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</w:t>
            </w:r>
            <w:r>
              <w:t xml:space="preserve">осударственном реестре юридических лиц» с приложением Устава МБУ ДО «ДМШ»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31.05.2025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мероприятий по переводу воспитанников в МБУ ДО «ДМШ» с согласия родителей (законных представителей) учащихся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Осуществления действий по прекращению права оперативного управления МБУДО «ДМШ № 1», МБУДО «ДМШ № 3» на нежилые помещения в Управление </w:t>
            </w:r>
            <w:r>
              <w:t xml:space="preserve">Росреестра</w:t>
            </w:r>
            <w:r>
              <w:t xml:space="preserve"> по Мурманской области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1-го рабочего дн</w:t>
            </w:r>
            <w:r>
              <w:rPr>
                <w:bCs/>
              </w:rPr>
              <w:t xml:space="preserve">я после получения из УФНС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Мурманской области документов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Осуществление МБУ ДО «ДМШ» регистрации права на недвижимое имущество в Управление </w:t>
            </w:r>
            <w:r>
              <w:t xml:space="preserve">Росреестра</w:t>
            </w:r>
            <w:r>
              <w:t xml:space="preserve"> по Мурманской области после подписания передаточного акта и дополнительного соглашения к договору о закреплении имущества в оперативное управление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 позднее 10 ра</w:t>
            </w:r>
            <w:r>
              <w:rPr>
                <w:bCs/>
              </w:rPr>
              <w:t xml:space="preserve">бочих дней после подписания данного договора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 xml:space="preserve">Лаврущик</w:t>
            </w:r>
            <w:r>
              <w:rPr>
                <w:bCs/>
              </w:rPr>
              <w:t xml:space="preserve"> С.С.</w:t>
            </w: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61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92" w:type="dxa"/>
            <w:textDirection w:val="lrTb"/>
            <w:noWrap w:val="false"/>
          </w:tcPr>
          <w:p>
            <w:pPr>
              <w:jc w:val="both"/>
            </w:pPr>
            <w:r>
              <w:t xml:space="preserve">Переоформление лицензии на ведение образовательной </w:t>
            </w:r>
            <w:r>
              <w:t xml:space="preserve">деятельности</w:t>
            </w:r>
            <w:r>
              <w:t xml:space="preserve"> в том числе в части дополнения места осуществления образовательной деятельности</w:t>
            </w:r>
            <w:r/>
          </w:p>
        </w:tc>
        <w:tc>
          <w:tcPr>
            <w:shd w:val="clear" w:color="auto" w:fill="auto"/>
            <w:tcW w:w="2247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после внесения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записи в ЕГРЮЛ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з</w:t>
            </w:r>
            <w:r>
              <w:rPr>
                <w:bCs/>
              </w:rPr>
              <w:t xml:space="preserve">авершении реорганизации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226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Шулакова</w:t>
            </w:r>
            <w:r>
              <w:rPr>
                <w:bCs/>
              </w:rPr>
              <w:t xml:space="preserve"> И.В.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ind w:firstLine="709"/>
        <w:jc w:val="both"/>
        <w:rPr>
          <w:bCs/>
          <w:i/>
        </w:rPr>
      </w:pPr>
      <w:r>
        <w:rPr>
          <w:i/>
        </w:rPr>
        <w:t xml:space="preserve">*В 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</w:t>
      </w:r>
      <w:r>
        <w:rPr>
          <w:i/>
        </w:rPr>
        <w:t xml:space="preserve">.».</w:t>
      </w:r>
      <w:r>
        <w:rPr>
          <w:bCs/>
          <w:i/>
        </w:rPr>
      </w:r>
      <w:r>
        <w:rPr>
          <w:bCs/>
          <w:i/>
        </w:rPr>
      </w:r>
    </w:p>
    <w:p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left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left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jc w:val="center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pPr>
      <w:pStyle w:val="7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784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  <w:rPr>
      <w:lang w:eastAsia="ru-RU"/>
    </w:rPr>
  </w:style>
  <w:style w:type="paragraph" w:styleId="720">
    <w:name w:val="Heading 1"/>
    <w:basedOn w:val="719"/>
    <w:next w:val="719"/>
    <w:link w:val="765"/>
    <w:qFormat/>
    <w:pPr>
      <w:jc w:val="center"/>
      <w:keepNext/>
      <w:outlineLvl w:val="0"/>
    </w:pPr>
    <w:rPr>
      <w:sz w:val="24"/>
    </w:rPr>
  </w:style>
  <w:style w:type="paragraph" w:styleId="721">
    <w:name w:val="Heading 2"/>
    <w:basedOn w:val="719"/>
    <w:next w:val="719"/>
    <w:link w:val="941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2">
    <w:name w:val="Heading 3"/>
    <w:basedOn w:val="719"/>
    <w:next w:val="719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table" w:styleId="732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6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9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0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1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Heading 3 Char"/>
    <w:basedOn w:val="729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29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29"/>
    <w:uiPriority w:val="10"/>
    <w:rPr>
      <w:sz w:val="48"/>
      <w:szCs w:val="48"/>
    </w:rPr>
  </w:style>
  <w:style w:type="character" w:styleId="760" w:customStyle="1">
    <w:name w:val="Subtitle Char"/>
    <w:basedOn w:val="729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Footnote Text Char"/>
    <w:uiPriority w:val="99"/>
    <w:rPr>
      <w:sz w:val="18"/>
    </w:rPr>
  </w:style>
  <w:style w:type="character" w:styleId="764" w:customStyle="1">
    <w:name w:val="Endnote Text Char"/>
    <w:uiPriority w:val="99"/>
    <w:rPr>
      <w:sz w:val="20"/>
    </w:rPr>
  </w:style>
  <w:style w:type="character" w:styleId="765" w:customStyle="1">
    <w:name w:val="Заголовок 1 Знак"/>
    <w:link w:val="720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Heading 2 Char"/>
    <w:uiPriority w:val="9"/>
    <w:rPr>
      <w:rFonts w:ascii="Arial" w:hAnsi="Arial" w:eastAsia="Arial" w:cs="Arial"/>
      <w:sz w:val="34"/>
    </w:rPr>
  </w:style>
  <w:style w:type="character" w:styleId="767" w:customStyle="1">
    <w:name w:val="Заголовок 3 Знак"/>
    <w:link w:val="722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Заголовок 4 Знак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Заголовок 5 Знак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Заголовок 6 Знак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Заголовок 7 Знак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Заголовок 8 Знак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Заголовок 9 Знак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74">
    <w:name w:val="List Paragraph"/>
    <w:basedOn w:val="719"/>
    <w:uiPriority w:val="34"/>
    <w:qFormat/>
    <w:pPr>
      <w:contextualSpacing/>
      <w:ind w:left="720"/>
    </w:pPr>
  </w:style>
  <w:style w:type="paragraph" w:styleId="775">
    <w:name w:val="No Spacing"/>
    <w:uiPriority w:val="1"/>
    <w:qFormat/>
  </w:style>
  <w:style w:type="paragraph" w:styleId="776">
    <w:name w:val="Title"/>
    <w:basedOn w:val="719"/>
    <w:next w:val="719"/>
    <w:link w:val="7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7" w:customStyle="1">
    <w:name w:val="Название Знак"/>
    <w:link w:val="776"/>
    <w:uiPriority w:val="10"/>
    <w:rPr>
      <w:sz w:val="48"/>
      <w:szCs w:val="48"/>
    </w:rPr>
  </w:style>
  <w:style w:type="paragraph" w:styleId="778">
    <w:name w:val="Subtitle"/>
    <w:basedOn w:val="719"/>
    <w:next w:val="719"/>
    <w:link w:val="779"/>
    <w:uiPriority w:val="11"/>
    <w:qFormat/>
    <w:pPr>
      <w:spacing w:before="200" w:after="200"/>
    </w:pPr>
    <w:rPr>
      <w:sz w:val="24"/>
      <w:szCs w:val="24"/>
    </w:rPr>
  </w:style>
  <w:style w:type="character" w:styleId="779" w:customStyle="1">
    <w:name w:val="Подзаголовок Знак"/>
    <w:link w:val="778"/>
    <w:uiPriority w:val="11"/>
    <w:rPr>
      <w:sz w:val="24"/>
      <w:szCs w:val="24"/>
    </w:rPr>
  </w:style>
  <w:style w:type="paragraph" w:styleId="780">
    <w:name w:val="Quote"/>
    <w:basedOn w:val="719"/>
    <w:next w:val="719"/>
    <w:link w:val="781"/>
    <w:uiPriority w:val="29"/>
    <w:qFormat/>
    <w:pPr>
      <w:ind w:left="720" w:right="720"/>
    </w:pPr>
    <w:rPr>
      <w:i/>
    </w:rPr>
  </w:style>
  <w:style w:type="character" w:styleId="781" w:customStyle="1">
    <w:name w:val="Цитата 2 Знак"/>
    <w:link w:val="780"/>
    <w:uiPriority w:val="29"/>
    <w:rPr>
      <w:i/>
    </w:rPr>
  </w:style>
  <w:style w:type="paragraph" w:styleId="782">
    <w:name w:val="Intense Quote"/>
    <w:basedOn w:val="719"/>
    <w:next w:val="719"/>
    <w:link w:val="78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3" w:customStyle="1">
    <w:name w:val="Выделенная цитата Знак"/>
    <w:link w:val="782"/>
    <w:uiPriority w:val="30"/>
    <w:rPr>
      <w:i/>
    </w:rPr>
  </w:style>
  <w:style w:type="paragraph" w:styleId="784">
    <w:name w:val="Header"/>
    <w:basedOn w:val="719"/>
    <w:link w:val="945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Header Char"/>
    <w:uiPriority w:val="99"/>
  </w:style>
  <w:style w:type="paragraph" w:styleId="786">
    <w:name w:val="Footer"/>
    <w:basedOn w:val="719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7" w:customStyle="1">
    <w:name w:val="Footer Char"/>
    <w:uiPriority w:val="99"/>
  </w:style>
  <w:style w:type="paragraph" w:styleId="788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 w:customStyle="1">
    <w:name w:val="Caption Char"/>
    <w:uiPriority w:val="99"/>
  </w:style>
  <w:style w:type="table" w:styleId="790">
    <w:name w:val="Table Grid"/>
    <w:basedOn w:val="730"/>
    <w:tblPr/>
  </w:style>
  <w:style w:type="table" w:styleId="79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6">
    <w:name w:val="Hyperlink"/>
    <w:rPr>
      <w:color w:val="0563c1"/>
      <w:u w:val="single"/>
    </w:rPr>
  </w:style>
  <w:style w:type="paragraph" w:styleId="917">
    <w:name w:val="footnote text"/>
    <w:basedOn w:val="719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uiPriority w:val="99"/>
    <w:unhideWhenUsed/>
    <w:rPr>
      <w:vertAlign w:val="superscript"/>
    </w:rPr>
  </w:style>
  <w:style w:type="paragraph" w:styleId="920">
    <w:name w:val="endnote text"/>
    <w:basedOn w:val="719"/>
    <w:link w:val="921"/>
    <w:uiPriority w:val="99"/>
    <w:semiHidden/>
    <w:unhideWhenUsed/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uiPriority w:val="99"/>
    <w:semiHidden/>
    <w:unhideWhenUsed/>
    <w:rPr>
      <w:vertAlign w:val="superscript"/>
    </w:rPr>
  </w:style>
  <w:style w:type="paragraph" w:styleId="923">
    <w:name w:val="toc 1"/>
    <w:basedOn w:val="719"/>
    <w:next w:val="719"/>
    <w:uiPriority w:val="39"/>
    <w:unhideWhenUsed/>
    <w:pPr>
      <w:spacing w:after="57"/>
    </w:pPr>
  </w:style>
  <w:style w:type="paragraph" w:styleId="924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25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26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27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28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29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30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31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19"/>
    <w:next w:val="719"/>
    <w:uiPriority w:val="99"/>
    <w:unhideWhenUsed/>
  </w:style>
  <w:style w:type="character" w:styleId="934" w:customStyle="1">
    <w:name w:val="Основной шрифт абзаца;Знак Знак2 Знак Знак Знак Знак Знак Знак Знак Знак"/>
    <w:link w:val="948"/>
    <w:semiHidden/>
  </w:style>
  <w:style w:type="paragraph" w:styleId="935">
    <w:name w:val="Body Text"/>
    <w:basedOn w:val="719"/>
    <w:pPr>
      <w:jc w:val="both"/>
    </w:pPr>
    <w:rPr>
      <w:sz w:val="24"/>
      <w:szCs w:val="24"/>
    </w:rPr>
  </w:style>
  <w:style w:type="paragraph" w:styleId="936">
    <w:name w:val="Body Text Indent"/>
    <w:basedOn w:val="719"/>
    <w:pPr>
      <w:ind w:left="283"/>
      <w:spacing w:after="120"/>
    </w:pPr>
  </w:style>
  <w:style w:type="paragraph" w:styleId="937">
    <w:name w:val="Body Text 2"/>
    <w:basedOn w:val="719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8">
    <w:name w:val="Body Text Indent 2"/>
    <w:basedOn w:val="719"/>
    <w:pPr>
      <w:ind w:firstLine="709"/>
      <w:jc w:val="both"/>
    </w:pPr>
    <w:rPr>
      <w:bCs/>
      <w:sz w:val="26"/>
      <w:szCs w:val="26"/>
    </w:rPr>
  </w:style>
  <w:style w:type="paragraph" w:styleId="939">
    <w:name w:val="Body Text Indent 3"/>
    <w:basedOn w:val="71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0" w:customStyle="1">
    <w:name w:val="Знак Знак2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1" w:customStyle="1">
    <w:name w:val="Заголовок 2 Знак"/>
    <w:link w:val="721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2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3" w:customStyle="1">
    <w:name w:val="Нижний колонтитул Знак"/>
    <w:link w:val="786"/>
    <w:rPr>
      <w:rFonts w:ascii="Arial" w:hAnsi="Arial" w:cs="Arial"/>
    </w:rPr>
  </w:style>
  <w:style w:type="character" w:styleId="944">
    <w:name w:val="page number"/>
  </w:style>
  <w:style w:type="character" w:styleId="945" w:customStyle="1">
    <w:name w:val="Верхний колонтитул Знак"/>
    <w:link w:val="784"/>
    <w:rPr>
      <w:rFonts w:ascii="Arial" w:hAnsi="Arial" w:cs="Arial"/>
    </w:rPr>
  </w:style>
  <w:style w:type="paragraph" w:styleId="946">
    <w:name w:val="Balloon Text"/>
    <w:basedOn w:val="719"/>
    <w:link w:val="947"/>
    <w:rPr>
      <w:rFonts w:ascii="Tahoma" w:hAnsi="Tahoma" w:cs="Tahoma"/>
      <w:sz w:val="16"/>
      <w:szCs w:val="16"/>
    </w:rPr>
  </w:style>
  <w:style w:type="character" w:styleId="947" w:customStyle="1">
    <w:name w:val="Текст выноски Знак"/>
    <w:link w:val="946"/>
    <w:rPr>
      <w:rFonts w:ascii="Tahoma" w:hAnsi="Tahoma" w:cs="Tahoma"/>
      <w:sz w:val="16"/>
      <w:szCs w:val="16"/>
    </w:rPr>
  </w:style>
  <w:style w:type="paragraph" w:styleId="948" w:customStyle="1">
    <w:name w:val="Знак Знак2 Знак Знак Знак Знак"/>
    <w:basedOn w:val="719"/>
    <w:link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9" w:customStyle="1">
    <w:name w:val="Знак Знак2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0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EE59-454A-4240-B1A8-F5BD3F8DD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36</cp:revision>
  <dcterms:created xsi:type="dcterms:W3CDTF">2025-04-22T06:09:00Z</dcterms:created>
  <dcterms:modified xsi:type="dcterms:W3CDTF">2025-05-14T11:20:35Z</dcterms:modified>
  <cp:version>917504</cp:version>
</cp:coreProperties>
</file>