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bCs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bCs/>
          <w:color w:val="000000"/>
        </w:rPr>
      </w:r>
    </w:p>
    <w:p>
      <w:pPr>
        <w:jc w:val="center"/>
        <w:widowControl w:val="off"/>
        <w:rPr>
          <w:b/>
          <w:bCs/>
          <w:color w:val="000000"/>
        </w:rPr>
      </w:pPr>
      <w:r>
        <w:rPr>
          <w:b/>
          <w:color w:val="000000"/>
        </w:rPr>
      </w: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widowControl w:val="off"/>
        <w:tabs>
          <w:tab w:val="center" w:pos="4676" w:leader="none"/>
          <w:tab w:val="left" w:pos="7500" w:leader="none"/>
        </w:tabs>
        <w:rPr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ab/>
      </w:r>
      <w:r>
        <w:rPr>
          <w:b/>
          <w:color w:val="000000"/>
          <w:sz w:val="44"/>
          <w:szCs w:val="44"/>
        </w:rPr>
        <w:t xml:space="preserve">ГЛАВА</w:t>
      </w:r>
      <w:r>
        <w:rPr>
          <w:b/>
          <w:color w:val="000000"/>
          <w:sz w:val="44"/>
          <w:szCs w:val="44"/>
        </w:rPr>
        <w:t xml:space="preserve"> </w:t>
      </w:r>
      <w:r>
        <w:rPr>
          <w:b/>
          <w:color w:val="000000"/>
          <w:sz w:val="44"/>
          <w:szCs w:val="44"/>
        </w:rPr>
        <w:tab/>
      </w:r>
      <w:r>
        <w:rPr>
          <w:color w:val="000000"/>
          <w:sz w:val="44"/>
          <w:szCs w:val="44"/>
        </w:rPr>
      </w:r>
      <w:r>
        <w:rPr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  <w:t xml:space="preserve">ПЕЧЕНГСКОГО МУНИЦИПАЛЬНОГО ОКРУГА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  <w:t xml:space="preserve">МУРМАНСКОЙ ОБЛАСТИ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  <w:sz w:val="20"/>
        </w:rPr>
      </w:pPr>
      <w:r>
        <w:rPr>
          <w:color w:val="000000"/>
          <w:sz w:val="20"/>
        </w:rPr>
      </w:r>
      <w:r>
        <w:rPr>
          <w:color w:val="000000"/>
          <w:sz w:val="20"/>
        </w:rPr>
      </w:r>
      <w:r>
        <w:rPr>
          <w:color w:val="000000"/>
          <w:sz w:val="20"/>
        </w:rPr>
      </w:r>
    </w:p>
    <w:p>
      <w:pPr>
        <w:jc w:val="center"/>
        <w:widowControl w:val="off"/>
        <w:rPr>
          <w:color w:val="000000"/>
          <w:sz w:val="20"/>
        </w:rPr>
      </w:pPr>
      <w:r>
        <w:rPr>
          <w:color w:val="000000"/>
          <w:sz w:val="20"/>
        </w:rPr>
      </w:r>
      <w:r>
        <w:rPr>
          <w:color w:val="000000"/>
          <w:sz w:val="20"/>
        </w:rPr>
      </w:r>
      <w:r>
        <w:rPr>
          <w:color w:val="000000"/>
          <w:sz w:val="20"/>
        </w:rPr>
      </w:r>
    </w:p>
    <w:p>
      <w:pPr>
        <w:tabs>
          <w:tab w:val="left" w:pos="6096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</w:t>
      </w:r>
      <w:r>
        <w:rPr>
          <w:b/>
          <w:sz w:val="24"/>
          <w:szCs w:val="24"/>
        </w:rPr>
        <w:t xml:space="preserve">т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12</w:t>
      </w:r>
      <w:r>
        <w:rPr>
          <w:b/>
          <w:sz w:val="24"/>
          <w:szCs w:val="24"/>
        </w:rPr>
        <w:t xml:space="preserve">.0</w:t>
      </w:r>
      <w:r>
        <w:rPr>
          <w:b/>
          <w:sz w:val="24"/>
          <w:szCs w:val="24"/>
        </w:rPr>
        <w:t xml:space="preserve">5</w:t>
      </w:r>
      <w:r>
        <w:rPr>
          <w:b/>
          <w:sz w:val="24"/>
          <w:szCs w:val="24"/>
        </w:rPr>
        <w:t xml:space="preserve">.202</w:t>
      </w:r>
      <w:r>
        <w:rPr>
          <w:b/>
          <w:sz w:val="24"/>
          <w:szCs w:val="24"/>
        </w:rPr>
        <w:t xml:space="preserve">5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</w:t>
      </w:r>
      <w:r>
        <w:rPr>
          <w:b/>
          <w:sz w:val="24"/>
          <w:szCs w:val="24"/>
        </w:rPr>
        <w:t xml:space="preserve">     </w:t>
      </w:r>
      <w:r>
        <w:rPr>
          <w:b/>
          <w:sz w:val="24"/>
          <w:szCs w:val="24"/>
        </w:rPr>
        <w:t xml:space="preserve">№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7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</w:t>
      </w:r>
      <w:r>
        <w:rPr>
          <w:b/>
          <w:sz w:val="24"/>
          <w:szCs w:val="24"/>
        </w:rPr>
        <w:t xml:space="preserve">гт</w:t>
      </w:r>
      <w:r>
        <w:rPr>
          <w:b/>
          <w:sz w:val="24"/>
          <w:szCs w:val="24"/>
        </w:rPr>
        <w:t xml:space="preserve">. Никель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tabs>
          <w:tab w:val="left" w:pos="-4111" w:leader="none"/>
        </w:tabs>
        <w:rPr>
          <w:b/>
          <w:sz w:val="20"/>
        </w:rPr>
      </w:pPr>
      <w:r>
        <w:rPr>
          <w:b/>
          <w:sz w:val="20"/>
        </w:rPr>
        <w:t xml:space="preserve">О назначении публичных слушаний по проекту решения Совета </w:t>
      </w:r>
      <w:r>
        <w:rPr>
          <w:b/>
          <w:sz w:val="20"/>
        </w:rPr>
        <w:t xml:space="preserve">депутатов </w:t>
      </w:r>
      <w:r>
        <w:rPr>
          <w:b/>
          <w:sz w:val="20"/>
        </w:rPr>
      </w:r>
      <w:r>
        <w:rPr>
          <w:b/>
          <w:sz w:val="20"/>
        </w:rPr>
      </w:r>
    </w:p>
    <w:p>
      <w:pPr>
        <w:jc w:val="center"/>
        <w:tabs>
          <w:tab w:val="left" w:pos="-4111" w:leader="none"/>
        </w:tabs>
        <w:rPr>
          <w:b/>
          <w:sz w:val="20"/>
        </w:rPr>
      </w:pPr>
      <w:r>
        <w:rPr>
          <w:b/>
          <w:sz w:val="20"/>
        </w:rPr>
        <w:t xml:space="preserve">Печенгского </w:t>
      </w:r>
      <w:r>
        <w:rPr>
          <w:b/>
          <w:sz w:val="20"/>
        </w:rPr>
        <w:t xml:space="preserve">муниципального округа </w:t>
      </w:r>
      <w:r>
        <w:rPr>
          <w:b/>
          <w:sz w:val="20"/>
        </w:rPr>
        <w:t xml:space="preserve">«О</w:t>
      </w:r>
      <w:r>
        <w:rPr>
          <w:b/>
          <w:sz w:val="20"/>
        </w:rPr>
        <w:t xml:space="preserve">б исполнении бюджета округа за 202</w:t>
      </w:r>
      <w:r>
        <w:rPr>
          <w:b/>
          <w:sz w:val="20"/>
        </w:rPr>
        <w:t xml:space="preserve">4</w:t>
      </w:r>
      <w:r>
        <w:rPr>
          <w:b/>
          <w:sz w:val="20"/>
        </w:rPr>
        <w:t xml:space="preserve"> год</w:t>
      </w:r>
      <w:r>
        <w:rPr>
          <w:b/>
          <w:sz w:val="20"/>
        </w:rPr>
        <w:t xml:space="preserve">»</w:t>
      </w:r>
      <w:r>
        <w:rPr>
          <w:b/>
          <w:sz w:val="20"/>
        </w:rPr>
      </w:r>
      <w:r>
        <w:rPr>
          <w:b/>
          <w:sz w:val="20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Федеральным законом от 06.10.2003 № 131-ФЗ «Об общих принципах организации местного самоуправления в Российской Федерации», </w:t>
      </w:r>
      <w:r>
        <w:rPr>
          <w:sz w:val="24"/>
          <w:szCs w:val="24"/>
        </w:rPr>
        <w:t xml:space="preserve">Уставом Печенгского муниципального округа Мурманской области, </w:t>
      </w:r>
      <w:r>
        <w:rPr>
          <w:sz w:val="24"/>
          <w:szCs w:val="24"/>
        </w:rPr>
        <w:t xml:space="preserve">Положением о бюджетном процессе в Печенгском муниципальном округе Мурманской области, утвержденным решением Совета депутатов Печенгского муниципального округа от 23.10.2020 № 41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Положением о порядке организации и проведения публичных слушаний по вопросам местного значения на территории </w:t>
      </w:r>
      <w:r>
        <w:rPr>
          <w:sz w:val="24"/>
          <w:szCs w:val="24"/>
        </w:rPr>
        <w:t xml:space="preserve">Печенгского муниципального округа Мурманской области</w:t>
      </w:r>
      <w:r>
        <w:rPr>
          <w:sz w:val="24"/>
          <w:szCs w:val="24"/>
        </w:rPr>
        <w:t xml:space="preserve">, утвержденным решением Совета депутатов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29.09.2020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13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num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ынести на публичные слушания проект решения Совета депутатов Печенгского муниципального округа «Об исполнении бюджета округа за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год» (далее – проект решения «Об исполнении бюджета округа за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год») (прилагается).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num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публиковать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роект решения «Об исполнении бюджета округа за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год» в газете «Печенга» и разместить на сайте Печенгского муниципального округа </w:t>
      </w:r>
      <w:hyperlink r:id="rId10" w:tooltip="http://pechengamr.gov-murman.ru/" w:history="1">
        <w:r>
          <w:rPr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num" w:pos="1276" w:leader="none"/>
        </w:tabs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3</w:t>
      </w:r>
      <w:r>
        <w:rPr>
          <w:iCs/>
          <w:sz w:val="24"/>
          <w:szCs w:val="24"/>
        </w:rPr>
        <w:t xml:space="preserve">. Назначить публичные слушания </w:t>
      </w:r>
      <w:r>
        <w:rPr>
          <w:sz w:val="24"/>
          <w:szCs w:val="24"/>
        </w:rPr>
        <w:t xml:space="preserve">по проекту решения «</w:t>
      </w:r>
      <w:r>
        <w:rPr>
          <w:sz w:val="24"/>
          <w:szCs w:val="24"/>
        </w:rPr>
        <w:t xml:space="preserve">Об исполнении бюджета округа за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год</w:t>
      </w:r>
      <w:r>
        <w:rPr>
          <w:sz w:val="24"/>
          <w:szCs w:val="24"/>
        </w:rPr>
        <w:t xml:space="preserve">»</w:t>
      </w:r>
      <w:r>
        <w:rPr>
          <w:iCs/>
          <w:sz w:val="24"/>
          <w:szCs w:val="24"/>
        </w:rPr>
        <w:t xml:space="preserve"> на </w:t>
      </w:r>
      <w:r>
        <w:rPr>
          <w:iCs/>
          <w:sz w:val="24"/>
          <w:szCs w:val="24"/>
        </w:rPr>
        <w:t xml:space="preserve">14 часов 3</w:t>
      </w:r>
      <w:r>
        <w:rPr>
          <w:iCs/>
          <w:sz w:val="24"/>
          <w:szCs w:val="24"/>
        </w:rPr>
        <w:t xml:space="preserve">0 минут </w:t>
      </w:r>
      <w:r>
        <w:rPr>
          <w:b/>
          <w:iCs/>
          <w:sz w:val="24"/>
          <w:szCs w:val="24"/>
        </w:rPr>
        <w:t xml:space="preserve">5</w:t>
      </w:r>
      <w:r>
        <w:rPr>
          <w:b/>
          <w:iCs/>
          <w:sz w:val="24"/>
          <w:szCs w:val="24"/>
        </w:rPr>
        <w:t xml:space="preserve"> </w:t>
      </w:r>
      <w:r>
        <w:rPr>
          <w:b/>
          <w:iCs/>
          <w:sz w:val="24"/>
          <w:szCs w:val="24"/>
        </w:rPr>
        <w:t xml:space="preserve">июня</w:t>
      </w:r>
      <w:r>
        <w:rPr>
          <w:b/>
          <w:iCs/>
          <w:sz w:val="24"/>
          <w:szCs w:val="24"/>
        </w:rPr>
        <w:t xml:space="preserve"> 2025</w:t>
      </w:r>
      <w:r>
        <w:rPr>
          <w:iCs/>
          <w:sz w:val="24"/>
          <w:szCs w:val="24"/>
        </w:rPr>
        <w:t xml:space="preserve"> года, место проведения:</w:t>
      </w:r>
      <w:r>
        <w:rPr>
          <w:iCs/>
          <w:sz w:val="24"/>
          <w:szCs w:val="24"/>
        </w:rPr>
        <w:t xml:space="preserve"> </w:t>
        <w:br/>
      </w:r>
      <w:r>
        <w:rPr>
          <w:iCs/>
          <w:sz w:val="24"/>
          <w:szCs w:val="24"/>
        </w:rPr>
        <w:t xml:space="preserve">пос. Никель, Мурманской обл., ул. Пионерская, д. 2, зал заседаний.</w:t>
      </w:r>
      <w:r>
        <w:rPr>
          <w:iCs/>
          <w:sz w:val="24"/>
          <w:szCs w:val="24"/>
        </w:rPr>
      </w:r>
      <w:r>
        <w:rPr>
          <w:iCs/>
          <w:sz w:val="24"/>
          <w:szCs w:val="24"/>
        </w:rPr>
      </w:r>
    </w:p>
    <w:p>
      <w:pPr>
        <w:ind w:firstLine="709"/>
        <w:jc w:val="both"/>
        <w:tabs>
          <w:tab w:val="num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Образовать и утвердить организационный комитет по подготовке и проведению публичных слушаний по проекту решения «</w:t>
      </w:r>
      <w:r>
        <w:rPr>
          <w:sz w:val="24"/>
          <w:szCs w:val="24"/>
        </w:rPr>
        <w:t xml:space="preserve">Об исполнении бюджета округа за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год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в следующем составе: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606" w:type="dxa"/>
        <w:tblLook w:val="04A0" w:firstRow="1" w:lastRow="0" w:firstColumn="1" w:lastColumn="0" w:noHBand="0" w:noVBand="1"/>
      </w:tblPr>
      <w:tblGrid>
        <w:gridCol w:w="2235"/>
        <w:gridCol w:w="296"/>
        <w:gridCol w:w="7075"/>
      </w:tblGrid>
      <w:tr>
        <w:tblPrEx/>
        <w:trPr/>
        <w:tc>
          <w:tcPr>
            <w:tcW w:w="2235" w:type="dxa"/>
            <w:textDirection w:val="lrTb"/>
            <w:noWrap w:val="false"/>
          </w:tcPr>
          <w:p>
            <w:pPr>
              <w:jc w:val="both"/>
              <w:tabs>
                <w:tab w:val="num" w:pos="0" w:leader="none"/>
                <w:tab w:val="num" w:pos="1080" w:leader="none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Царевская </w:t>
            </w:r>
            <w:r>
              <w:rPr>
                <w:iCs/>
                <w:sz w:val="24"/>
                <w:szCs w:val="24"/>
              </w:rPr>
              <w:t xml:space="preserve">Ю.</w:t>
            </w:r>
            <w:r>
              <w:rPr>
                <w:iCs/>
                <w:sz w:val="24"/>
                <w:szCs w:val="24"/>
              </w:rPr>
              <w:t xml:space="preserve">М.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jc w:val="both"/>
              <w:tabs>
                <w:tab w:val="num" w:pos="0" w:leader="none"/>
                <w:tab w:val="num" w:pos="1080" w:leader="none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-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  <w:tc>
          <w:tcPr>
            <w:tcW w:w="7075" w:type="dxa"/>
            <w:textDirection w:val="lrTb"/>
            <w:noWrap w:val="false"/>
          </w:tcPr>
          <w:p>
            <w:pPr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п</w:t>
            </w:r>
            <w:bookmarkStart w:id="0" w:name="_GoBack"/>
            <w:r/>
            <w:bookmarkEnd w:id="0"/>
            <w:r>
              <w:rPr>
                <w:iCs/>
                <w:sz w:val="24"/>
                <w:szCs w:val="24"/>
              </w:rPr>
              <w:t xml:space="preserve">редседатель Контрольно-счетной палаты</w:t>
            </w:r>
            <w:r>
              <w:rPr>
                <w:iCs/>
                <w:sz w:val="24"/>
                <w:szCs w:val="24"/>
              </w:rPr>
              <w:t xml:space="preserve"> Печенгского муниципальног</w:t>
            </w:r>
            <w:r>
              <w:rPr>
                <w:iCs/>
                <w:sz w:val="24"/>
                <w:szCs w:val="24"/>
              </w:rPr>
              <w:t xml:space="preserve">о округа</w:t>
            </w:r>
            <w:r>
              <w:rPr>
                <w:iCs/>
                <w:sz w:val="24"/>
                <w:szCs w:val="24"/>
              </w:rPr>
              <w:t xml:space="preserve">;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</w:tr>
      <w:tr>
        <w:tblPrEx/>
        <w:trPr/>
        <w:tc>
          <w:tcPr>
            <w:tcW w:w="2235" w:type="dxa"/>
            <w:textDirection w:val="lrTb"/>
            <w:noWrap w:val="false"/>
          </w:tcPr>
          <w:p>
            <w:pPr>
              <w:jc w:val="both"/>
              <w:tabs>
                <w:tab w:val="num" w:pos="0" w:leader="none"/>
                <w:tab w:val="num" w:pos="1080" w:leader="none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Ионова О.В.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jc w:val="both"/>
              <w:tabs>
                <w:tab w:val="num" w:pos="0" w:leader="none"/>
                <w:tab w:val="num" w:pos="1080" w:leader="none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-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  <w:tc>
          <w:tcPr>
            <w:tcW w:w="7075" w:type="dxa"/>
            <w:textDirection w:val="lrTb"/>
            <w:noWrap w:val="false"/>
          </w:tcPr>
          <w:p>
            <w:pPr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начальник финансового управления администрации Печенгского муниципального округа;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</w:tr>
      <w:tr>
        <w:tblPrEx/>
        <w:trPr/>
        <w:tc>
          <w:tcPr>
            <w:tcW w:w="2235" w:type="dxa"/>
            <w:textDirection w:val="lrTb"/>
            <w:noWrap w:val="false"/>
          </w:tcPr>
          <w:p>
            <w:pPr>
              <w:jc w:val="both"/>
              <w:tabs>
                <w:tab w:val="num" w:pos="0" w:leader="none"/>
                <w:tab w:val="num" w:pos="1080" w:leader="none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Кустов П.Д.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jc w:val="both"/>
              <w:tabs>
                <w:tab w:val="num" w:pos="0" w:leader="none"/>
                <w:tab w:val="num" w:pos="1080" w:leader="none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-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  <w:tc>
          <w:tcPr>
            <w:tcW w:w="7075" w:type="dxa"/>
            <w:textDirection w:val="lrTb"/>
            <w:noWrap w:val="false"/>
          </w:tcPr>
          <w:p>
            <w:pPr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консультант-юрисконсульт</w:t>
            </w:r>
            <w:r>
              <w:rPr>
                <w:iCs/>
                <w:sz w:val="24"/>
                <w:szCs w:val="24"/>
              </w:rPr>
              <w:t xml:space="preserve"> аппарата Совета депутатов Печенгского муниципального округа;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</w:tr>
      <w:tr>
        <w:tblPrEx/>
        <w:trPr/>
        <w:tc>
          <w:tcPr>
            <w:tcW w:w="2235" w:type="dxa"/>
            <w:textDirection w:val="lrTb"/>
            <w:noWrap w:val="false"/>
          </w:tcPr>
          <w:p>
            <w:pPr>
              <w:jc w:val="both"/>
              <w:tabs>
                <w:tab w:val="num" w:pos="0" w:leader="none"/>
                <w:tab w:val="num" w:pos="1080" w:leader="none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Морозов А.В.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jc w:val="both"/>
              <w:tabs>
                <w:tab w:val="num" w:pos="0" w:leader="none"/>
                <w:tab w:val="num" w:pos="1080" w:leader="none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-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  <w:tc>
          <w:tcPr>
            <w:tcW w:w="7075" w:type="dxa"/>
            <w:textDirection w:val="lrTb"/>
            <w:noWrap w:val="false"/>
          </w:tcPr>
          <w:p>
            <w:pPr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заместитель председателя Совета депутатов Печенгского муниципального округа;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</w:tr>
      <w:tr>
        <w:tblPrEx/>
        <w:trPr/>
        <w:tc>
          <w:tcPr>
            <w:tcW w:w="2235" w:type="dxa"/>
            <w:textDirection w:val="lrTb"/>
            <w:noWrap w:val="false"/>
          </w:tcPr>
          <w:p>
            <w:pPr>
              <w:jc w:val="both"/>
              <w:tabs>
                <w:tab w:val="num" w:pos="0" w:leader="none"/>
                <w:tab w:val="num" w:pos="1080" w:leader="none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Смирнова В.И.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jc w:val="both"/>
              <w:tabs>
                <w:tab w:val="num" w:pos="0" w:leader="none"/>
                <w:tab w:val="num" w:pos="1080" w:leader="none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-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  <w:tc>
          <w:tcPr>
            <w:tcW w:w="7075" w:type="dxa"/>
            <w:textDirection w:val="lrTb"/>
            <w:noWrap w:val="false"/>
          </w:tcPr>
          <w:p>
            <w:pPr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представитель общественности.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</w:tr>
    </w:tbl>
    <w:p>
      <w:pPr>
        <w:ind w:firstLine="709"/>
        <w:jc w:val="both"/>
        <w:tabs>
          <w:tab w:val="left" w:pos="0" w:leader="none"/>
        </w:tabs>
        <w:rPr>
          <w:sz w:val="24"/>
          <w:szCs w:val="24"/>
        </w:rPr>
      </w:pPr>
      <w:r>
        <w:rPr>
          <w:iCs/>
          <w:sz w:val="24"/>
          <w:szCs w:val="24"/>
        </w:rPr>
        <w:t xml:space="preserve">5</w:t>
      </w:r>
      <w:r>
        <w:rPr>
          <w:iCs/>
          <w:sz w:val="24"/>
          <w:szCs w:val="24"/>
        </w:rPr>
        <w:t xml:space="preserve">. Организационному комитету по подготовке и проведению публичных слушаний по </w:t>
      </w:r>
      <w:r>
        <w:rPr>
          <w:sz w:val="24"/>
          <w:szCs w:val="24"/>
        </w:rPr>
        <w:t xml:space="preserve">проекту решения «</w:t>
      </w:r>
      <w:r>
        <w:rPr>
          <w:sz w:val="24"/>
          <w:szCs w:val="24"/>
        </w:rPr>
        <w:t xml:space="preserve">Об исполнении бюджета округа за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год</w:t>
      </w:r>
      <w:r>
        <w:rPr>
          <w:sz w:val="24"/>
          <w:szCs w:val="24"/>
        </w:rPr>
        <w:t xml:space="preserve">» обеспечить опубликование информации о проведении публичных слушаний, дате, времени и месте проведения публичных слушаний не позднее 10 дней до даты проведения публичных слушаний</w:t>
      </w:r>
      <w:r>
        <w:rPr>
          <w:bCs/>
          <w:iCs/>
          <w:sz w:val="24"/>
          <w:szCs w:val="24"/>
        </w:rPr>
        <w:t xml:space="preserve">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</w:tabs>
        <w:rPr>
          <w:rFonts w:eastAsia="Calibri"/>
          <w:b/>
          <w:sz w:val="24"/>
          <w:szCs w:val="24"/>
          <w:lang w:eastAsia="en-US"/>
        </w:rPr>
      </w:pP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 Предложения по проекту решения «</w:t>
      </w:r>
      <w:r>
        <w:rPr>
          <w:sz w:val="24"/>
          <w:szCs w:val="24"/>
        </w:rPr>
        <w:t xml:space="preserve">Об исполнении бюджета округа за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год</w:t>
      </w:r>
      <w:r>
        <w:rPr>
          <w:sz w:val="24"/>
          <w:szCs w:val="24"/>
        </w:rPr>
        <w:t xml:space="preserve">», а также извещени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 жителей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 о желании принять участие в публичных слушаниях и выступить на них, следует направлять в письменном виде в </w:t>
      </w:r>
      <w:r>
        <w:rPr>
          <w:iCs/>
          <w:sz w:val="24"/>
          <w:szCs w:val="24"/>
        </w:rPr>
        <w:t xml:space="preserve">организационный комитет по подготовке и проведению публичных слушаний</w:t>
      </w:r>
      <w:r>
        <w:rPr>
          <w:sz w:val="24"/>
          <w:szCs w:val="24"/>
        </w:rPr>
        <w:t xml:space="preserve"> по адресу: 184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21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п.</w:t>
      </w:r>
      <w:r>
        <w:rPr>
          <w:sz w:val="24"/>
          <w:szCs w:val="24"/>
        </w:rPr>
        <w:t xml:space="preserve">г.</w:t>
      </w:r>
      <w:r>
        <w:rPr>
          <w:sz w:val="24"/>
          <w:szCs w:val="24"/>
        </w:rPr>
        <w:t xml:space="preserve">т.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Никель</w:t>
      </w:r>
      <w:r>
        <w:rPr>
          <w:sz w:val="24"/>
          <w:szCs w:val="24"/>
        </w:rPr>
        <w:t xml:space="preserve">, Мурманск</w:t>
      </w:r>
      <w:r>
        <w:rPr>
          <w:sz w:val="24"/>
          <w:szCs w:val="24"/>
        </w:rPr>
        <w:t xml:space="preserve">ая</w:t>
      </w:r>
      <w:r>
        <w:rPr>
          <w:sz w:val="24"/>
          <w:szCs w:val="24"/>
        </w:rPr>
        <w:t xml:space="preserve"> обл</w:t>
      </w:r>
      <w:r>
        <w:rPr>
          <w:sz w:val="24"/>
          <w:szCs w:val="24"/>
        </w:rPr>
        <w:t xml:space="preserve">.,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ул. Пионерская, д. 2, </w:t>
      </w:r>
      <w:r>
        <w:rPr>
          <w:sz w:val="24"/>
          <w:szCs w:val="24"/>
        </w:rPr>
        <w:t xml:space="preserve">кабинет №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либо</w:t>
      </w:r>
      <w:r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представить </w:t>
      </w:r>
      <w:r>
        <w:rPr>
          <w:rFonts w:eastAsia="Calibri"/>
          <w:sz w:val="24"/>
          <w:szCs w:val="24"/>
          <w:lang w:eastAsia="en-US"/>
        </w:rPr>
        <w:t xml:space="preserve">на сайт</w:t>
      </w:r>
      <w:r>
        <w:rPr>
          <w:rFonts w:eastAsia="Calibri"/>
          <w:sz w:val="24"/>
          <w:szCs w:val="24"/>
          <w:lang w:eastAsia="en-US"/>
        </w:rPr>
        <w:t xml:space="preserve">е</w:t>
      </w:r>
      <w:r>
        <w:rPr>
          <w:rFonts w:eastAsia="Calibri"/>
          <w:sz w:val="24"/>
          <w:szCs w:val="24"/>
          <w:lang w:eastAsia="en-US"/>
        </w:rPr>
        <w:t xml:space="preserve"> Печенгского </w:t>
      </w:r>
      <w:r>
        <w:rPr>
          <w:rFonts w:eastAsia="Calibri"/>
          <w:sz w:val="24"/>
          <w:szCs w:val="24"/>
          <w:lang w:eastAsia="en-US"/>
        </w:rPr>
        <w:t xml:space="preserve">муниципального округа</w:t>
      </w:r>
      <w:r>
        <w:rPr>
          <w:rFonts w:eastAsia="Calibri"/>
          <w:sz w:val="24"/>
          <w:szCs w:val="24"/>
          <w:lang w:eastAsia="en-US"/>
        </w:rPr>
        <w:t xml:space="preserve"> </w:t>
      </w:r>
      <w:hyperlink r:id="rId11" w:tooltip="http://pechengamr.gov-murman.ru/" w:history="1">
        <w:r>
          <w:rPr>
            <w:rStyle w:val="840"/>
            <w:rFonts w:eastAsia="Calibri"/>
            <w:color w:val="auto"/>
            <w:sz w:val="24"/>
            <w:szCs w:val="24"/>
            <w:u w:val="none"/>
            <w:lang w:eastAsia="en-US"/>
          </w:rPr>
          <w:t xml:space="preserve">http://pechengamr.gov-murman.ru/</w:t>
        </w:r>
      </w:hyperlink>
      <w:r>
        <w:rPr>
          <w:rFonts w:eastAsia="Calibri"/>
          <w:sz w:val="24"/>
          <w:szCs w:val="24"/>
          <w:lang w:eastAsia="en-US"/>
        </w:rPr>
        <w:t xml:space="preserve"> во вкладке: </w:t>
      </w:r>
      <w:r>
        <w:rPr>
          <w:rFonts w:eastAsia="Calibri"/>
          <w:sz w:val="24"/>
          <w:szCs w:val="24"/>
          <w:lang w:eastAsia="en-US"/>
        </w:rPr>
        <w:t xml:space="preserve">Главная/Контакты/Обратная связь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срок не позднее </w:t>
      </w:r>
      <w:r>
        <w:rPr>
          <w:b/>
          <w:sz w:val="24"/>
          <w:szCs w:val="24"/>
        </w:rPr>
        <w:t xml:space="preserve">17 </w:t>
      </w:r>
      <w:r>
        <w:rPr>
          <w:b/>
          <w:sz w:val="24"/>
          <w:szCs w:val="24"/>
        </w:rPr>
        <w:t xml:space="preserve">часов </w:t>
      </w:r>
      <w:r>
        <w:rPr>
          <w:b/>
          <w:sz w:val="24"/>
          <w:szCs w:val="24"/>
        </w:rPr>
        <w:br/>
        <w:t xml:space="preserve">2</w:t>
      </w:r>
      <w:r>
        <w:rPr>
          <w:b/>
          <w:sz w:val="24"/>
          <w:szCs w:val="24"/>
        </w:rPr>
        <w:t xml:space="preserve">9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мая 202</w:t>
      </w:r>
      <w:r>
        <w:rPr>
          <w:b/>
          <w:sz w:val="24"/>
          <w:szCs w:val="24"/>
        </w:rPr>
        <w:t xml:space="preserve">5</w:t>
      </w:r>
      <w:r>
        <w:rPr>
          <w:b/>
          <w:sz w:val="24"/>
          <w:szCs w:val="24"/>
        </w:rPr>
        <w:t xml:space="preserve"> года.</w:t>
      </w:r>
      <w:r>
        <w:rPr>
          <w:rFonts w:eastAsia="Calibri"/>
          <w:b/>
          <w:sz w:val="24"/>
          <w:szCs w:val="24"/>
          <w:lang w:eastAsia="en-US"/>
        </w:rPr>
      </w:r>
      <w:r>
        <w:rPr>
          <w:rFonts w:eastAsia="Calibri"/>
          <w:b/>
          <w:sz w:val="24"/>
          <w:szCs w:val="24"/>
          <w:lang w:eastAsia="en-US"/>
        </w:rPr>
      </w:r>
    </w:p>
    <w:p>
      <w:pPr>
        <w:ind w:firstLine="709"/>
        <w:jc w:val="both"/>
        <w:tabs>
          <w:tab w:val="left" w:pos="0" w:leader="none"/>
        </w:tabs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7.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Опубликовать настоящее решение в газете «Печенга» и разместить на сайте Печенгского муниципального округа http://pechengamr.gov-murman.ru/.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Печенгского муниципального округа         </w:t>
      </w:r>
      <w:r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А.В. </w:t>
      </w:r>
      <w:r>
        <w:rPr>
          <w:sz w:val="24"/>
          <w:szCs w:val="24"/>
        </w:rPr>
        <w:t xml:space="preserve">Кузнецов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bCs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  <w:highlight w:val="none"/>
        </w:rPr>
      </w:r>
    </w:p>
    <w:p>
      <w:pPr>
        <w:jc w:val="left"/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jc w:val="left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left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left"/>
        <w:rPr>
          <w:sz w:val="24"/>
          <w:szCs w:val="24"/>
          <w:highlight w:val="none"/>
        </w:rPr>
      </w:pPr>
      <w:r>
        <w:rPr>
          <w:sz w:val="24"/>
          <w:szCs w:val="24"/>
        </w:rPr>
      </w:r>
      <w:r>
        <w:rPr>
          <w:sz w:val="20"/>
          <w:szCs w:val="20"/>
        </w:rPr>
        <w:t xml:space="preserve">Самойлов С.А., 5</w:t>
      </w:r>
      <w:r>
        <w:rPr>
          <w:sz w:val="20"/>
          <w:szCs w:val="20"/>
        </w:rPr>
        <w:t xml:space="preserve">0534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firstLine="5880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sectPr>
      <w:footnotePr/>
      <w:endnotePr/>
      <w:type w:val="nextPage"/>
      <w:pgSz w:w="11906" w:h="16838" w:orient="portrait"/>
      <w:pgMar w:top="851" w:right="1080" w:bottom="1440" w:left="1080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libri">
    <w:panose1 w:val="020F050202020403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6">
    <w:name w:val="Heading 1 Char"/>
    <w:basedOn w:val="833"/>
    <w:link w:val="832"/>
    <w:uiPriority w:val="9"/>
    <w:rPr>
      <w:rFonts w:ascii="Arial" w:hAnsi="Arial" w:eastAsia="Arial" w:cs="Arial"/>
      <w:sz w:val="40"/>
      <w:szCs w:val="40"/>
    </w:rPr>
  </w:style>
  <w:style w:type="paragraph" w:styleId="657">
    <w:name w:val="Heading 2"/>
    <w:basedOn w:val="831"/>
    <w:next w:val="831"/>
    <w:link w:val="65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8">
    <w:name w:val="Heading 2 Char"/>
    <w:basedOn w:val="833"/>
    <w:link w:val="657"/>
    <w:uiPriority w:val="9"/>
    <w:rPr>
      <w:rFonts w:ascii="Arial" w:hAnsi="Arial" w:eastAsia="Arial" w:cs="Arial"/>
      <w:sz w:val="34"/>
    </w:rPr>
  </w:style>
  <w:style w:type="paragraph" w:styleId="659">
    <w:name w:val="Heading 3"/>
    <w:basedOn w:val="831"/>
    <w:next w:val="831"/>
    <w:link w:val="66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0">
    <w:name w:val="Heading 3 Char"/>
    <w:basedOn w:val="833"/>
    <w:link w:val="659"/>
    <w:uiPriority w:val="9"/>
    <w:rPr>
      <w:rFonts w:ascii="Arial" w:hAnsi="Arial" w:eastAsia="Arial" w:cs="Arial"/>
      <w:sz w:val="30"/>
      <w:szCs w:val="30"/>
    </w:rPr>
  </w:style>
  <w:style w:type="paragraph" w:styleId="661">
    <w:name w:val="Heading 4"/>
    <w:basedOn w:val="831"/>
    <w:next w:val="831"/>
    <w:link w:val="66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2">
    <w:name w:val="Heading 4 Char"/>
    <w:basedOn w:val="833"/>
    <w:link w:val="661"/>
    <w:uiPriority w:val="9"/>
    <w:rPr>
      <w:rFonts w:ascii="Arial" w:hAnsi="Arial" w:eastAsia="Arial" w:cs="Arial"/>
      <w:b/>
      <w:bCs/>
      <w:sz w:val="26"/>
      <w:szCs w:val="26"/>
    </w:rPr>
  </w:style>
  <w:style w:type="paragraph" w:styleId="663">
    <w:name w:val="Heading 5"/>
    <w:basedOn w:val="831"/>
    <w:next w:val="831"/>
    <w:link w:val="66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4">
    <w:name w:val="Heading 5 Char"/>
    <w:basedOn w:val="833"/>
    <w:link w:val="663"/>
    <w:uiPriority w:val="9"/>
    <w:rPr>
      <w:rFonts w:ascii="Arial" w:hAnsi="Arial" w:eastAsia="Arial" w:cs="Arial"/>
      <w:b/>
      <w:bCs/>
      <w:sz w:val="24"/>
      <w:szCs w:val="24"/>
    </w:rPr>
  </w:style>
  <w:style w:type="paragraph" w:styleId="665">
    <w:name w:val="Heading 6"/>
    <w:basedOn w:val="831"/>
    <w:next w:val="831"/>
    <w:link w:val="66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6">
    <w:name w:val="Heading 6 Char"/>
    <w:basedOn w:val="833"/>
    <w:link w:val="665"/>
    <w:uiPriority w:val="9"/>
    <w:rPr>
      <w:rFonts w:ascii="Arial" w:hAnsi="Arial" w:eastAsia="Arial" w:cs="Arial"/>
      <w:b/>
      <w:bCs/>
      <w:sz w:val="22"/>
      <w:szCs w:val="22"/>
    </w:rPr>
  </w:style>
  <w:style w:type="paragraph" w:styleId="667">
    <w:name w:val="Heading 7"/>
    <w:basedOn w:val="831"/>
    <w:next w:val="831"/>
    <w:link w:val="66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8">
    <w:name w:val="Heading 7 Char"/>
    <w:basedOn w:val="833"/>
    <w:link w:val="66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9">
    <w:name w:val="Heading 8"/>
    <w:basedOn w:val="831"/>
    <w:next w:val="831"/>
    <w:link w:val="67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0">
    <w:name w:val="Heading 8 Char"/>
    <w:basedOn w:val="833"/>
    <w:link w:val="669"/>
    <w:uiPriority w:val="9"/>
    <w:rPr>
      <w:rFonts w:ascii="Arial" w:hAnsi="Arial" w:eastAsia="Arial" w:cs="Arial"/>
      <w:i/>
      <w:iCs/>
      <w:sz w:val="22"/>
      <w:szCs w:val="22"/>
    </w:rPr>
  </w:style>
  <w:style w:type="paragraph" w:styleId="671">
    <w:name w:val="Heading 9"/>
    <w:basedOn w:val="831"/>
    <w:next w:val="831"/>
    <w:link w:val="67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2">
    <w:name w:val="Heading 9 Char"/>
    <w:basedOn w:val="833"/>
    <w:link w:val="671"/>
    <w:uiPriority w:val="9"/>
    <w:rPr>
      <w:rFonts w:ascii="Arial" w:hAnsi="Arial" w:eastAsia="Arial" w:cs="Arial"/>
      <w:i/>
      <w:iCs/>
      <w:sz w:val="21"/>
      <w:szCs w:val="21"/>
    </w:rPr>
  </w:style>
  <w:style w:type="paragraph" w:styleId="673">
    <w:name w:val="List Paragraph"/>
    <w:basedOn w:val="831"/>
    <w:uiPriority w:val="34"/>
    <w:qFormat/>
    <w:pPr>
      <w:contextualSpacing/>
      <w:ind w:left="720"/>
    </w:pPr>
  </w:style>
  <w:style w:type="paragraph" w:styleId="674">
    <w:name w:val="No Spacing"/>
    <w:uiPriority w:val="1"/>
    <w:qFormat/>
    <w:pPr>
      <w:spacing w:before="0" w:after="0" w:line="240" w:lineRule="auto"/>
    </w:pPr>
  </w:style>
  <w:style w:type="paragraph" w:styleId="675">
    <w:name w:val="Title"/>
    <w:basedOn w:val="831"/>
    <w:next w:val="831"/>
    <w:link w:val="67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6">
    <w:name w:val="Title Char"/>
    <w:basedOn w:val="833"/>
    <w:link w:val="675"/>
    <w:uiPriority w:val="10"/>
    <w:rPr>
      <w:sz w:val="48"/>
      <w:szCs w:val="48"/>
    </w:rPr>
  </w:style>
  <w:style w:type="paragraph" w:styleId="677">
    <w:name w:val="Subtitle"/>
    <w:basedOn w:val="831"/>
    <w:next w:val="831"/>
    <w:link w:val="678"/>
    <w:uiPriority w:val="11"/>
    <w:qFormat/>
    <w:pPr>
      <w:spacing w:before="200" w:after="200"/>
    </w:pPr>
    <w:rPr>
      <w:sz w:val="24"/>
      <w:szCs w:val="24"/>
    </w:rPr>
  </w:style>
  <w:style w:type="character" w:styleId="678">
    <w:name w:val="Subtitle Char"/>
    <w:basedOn w:val="833"/>
    <w:link w:val="677"/>
    <w:uiPriority w:val="11"/>
    <w:rPr>
      <w:sz w:val="24"/>
      <w:szCs w:val="24"/>
    </w:rPr>
  </w:style>
  <w:style w:type="paragraph" w:styleId="679">
    <w:name w:val="Quote"/>
    <w:basedOn w:val="831"/>
    <w:next w:val="831"/>
    <w:link w:val="680"/>
    <w:uiPriority w:val="29"/>
    <w:qFormat/>
    <w:pPr>
      <w:ind w:left="720" w:right="720"/>
    </w:pPr>
    <w:rPr>
      <w:i/>
    </w:rPr>
  </w:style>
  <w:style w:type="character" w:styleId="680">
    <w:name w:val="Quote Char"/>
    <w:link w:val="679"/>
    <w:uiPriority w:val="29"/>
    <w:rPr>
      <w:i/>
    </w:rPr>
  </w:style>
  <w:style w:type="paragraph" w:styleId="681">
    <w:name w:val="Intense Quote"/>
    <w:basedOn w:val="831"/>
    <w:next w:val="831"/>
    <w:link w:val="68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2">
    <w:name w:val="Intense Quote Char"/>
    <w:link w:val="681"/>
    <w:uiPriority w:val="30"/>
    <w:rPr>
      <w:i/>
    </w:rPr>
  </w:style>
  <w:style w:type="character" w:styleId="683">
    <w:name w:val="Header Char"/>
    <w:basedOn w:val="833"/>
    <w:link w:val="836"/>
    <w:uiPriority w:val="99"/>
  </w:style>
  <w:style w:type="paragraph" w:styleId="684">
    <w:name w:val="Footer"/>
    <w:basedOn w:val="831"/>
    <w:link w:val="68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5">
    <w:name w:val="Footer Char"/>
    <w:basedOn w:val="833"/>
    <w:link w:val="684"/>
    <w:uiPriority w:val="99"/>
  </w:style>
  <w:style w:type="paragraph" w:styleId="686">
    <w:name w:val="Caption"/>
    <w:basedOn w:val="831"/>
    <w:next w:val="83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7">
    <w:name w:val="Caption Char"/>
    <w:basedOn w:val="686"/>
    <w:link w:val="684"/>
    <w:uiPriority w:val="99"/>
  </w:style>
  <w:style w:type="table" w:styleId="688">
    <w:name w:val="Table Grid"/>
    <w:basedOn w:val="83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9">
    <w:name w:val="Table Grid Light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Plain Table 1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1">
    <w:name w:val="Plain Table 2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3">
    <w:name w:val="Plain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Plain Table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5">
    <w:name w:val="Grid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7">
    <w:name w:val="Grid Table 4 - Accent 1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8">
    <w:name w:val="Grid Table 4 - Accent 2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9">
    <w:name w:val="Grid Table 4 - Accent 3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0">
    <w:name w:val="Grid Table 4 - Accent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1">
    <w:name w:val="Grid Table 4 - Accent 5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2">
    <w:name w:val="Grid Table 4 - Accent 6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3">
    <w:name w:val="Grid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4">
    <w:name w:val="Grid Table 5 Dark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7">
    <w:name w:val="Grid Table 5 Dark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0">
    <w:name w:val="Grid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1">
    <w:name w:val="Grid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2">
    <w:name w:val="Grid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3">
    <w:name w:val="Grid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4">
    <w:name w:val="Grid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5">
    <w:name w:val="Grid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6">
    <w:name w:val="Grid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2">
    <w:name w:val="List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3">
    <w:name w:val="List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4">
    <w:name w:val="List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5">
    <w:name w:val="List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6">
    <w:name w:val="List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7">
    <w:name w:val="List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8">
    <w:name w:val="List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0">
    <w:name w:val="List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1">
    <w:name w:val="List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2">
    <w:name w:val="List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3">
    <w:name w:val="List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4">
    <w:name w:val="List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5">
    <w:name w:val="List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6">
    <w:name w:val="List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7">
    <w:name w:val="List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8">
    <w:name w:val="List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9">
    <w:name w:val="List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0">
    <w:name w:val="List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1">
    <w:name w:val="List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2">
    <w:name w:val="List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3">
    <w:name w:val="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4">
    <w:name w:val="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5">
    <w:name w:val="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6">
    <w:name w:val="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7">
    <w:name w:val="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8">
    <w:name w:val="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9">
    <w:name w:val="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0">
    <w:name w:val="Bordered &amp; 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1">
    <w:name w:val="Bordered &amp; 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2">
    <w:name w:val="Bordered &amp; 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3">
    <w:name w:val="Bordered &amp; 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4">
    <w:name w:val="Bordered &amp; 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5">
    <w:name w:val="Bordered &amp; 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6">
    <w:name w:val="Bordered &amp; 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7">
    <w:name w:val="Bordered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8">
    <w:name w:val="Bordered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9">
    <w:name w:val="Bordered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0">
    <w:name w:val="Bordered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1">
    <w:name w:val="Bordered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2">
    <w:name w:val="Bordered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3">
    <w:name w:val="Bordered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4">
    <w:name w:val="footnote text"/>
    <w:basedOn w:val="831"/>
    <w:link w:val="815"/>
    <w:uiPriority w:val="99"/>
    <w:semiHidden/>
    <w:unhideWhenUsed/>
    <w:pPr>
      <w:spacing w:after="40" w:line="240" w:lineRule="auto"/>
    </w:pPr>
    <w:rPr>
      <w:sz w:val="18"/>
    </w:rPr>
  </w:style>
  <w:style w:type="character" w:styleId="815">
    <w:name w:val="Footnote Text Char"/>
    <w:link w:val="814"/>
    <w:uiPriority w:val="99"/>
    <w:rPr>
      <w:sz w:val="18"/>
    </w:rPr>
  </w:style>
  <w:style w:type="character" w:styleId="816">
    <w:name w:val="footnote reference"/>
    <w:basedOn w:val="833"/>
    <w:uiPriority w:val="99"/>
    <w:unhideWhenUsed/>
    <w:rPr>
      <w:vertAlign w:val="superscript"/>
    </w:rPr>
  </w:style>
  <w:style w:type="paragraph" w:styleId="817">
    <w:name w:val="endnote text"/>
    <w:basedOn w:val="831"/>
    <w:link w:val="818"/>
    <w:uiPriority w:val="99"/>
    <w:semiHidden/>
    <w:unhideWhenUsed/>
    <w:pPr>
      <w:spacing w:after="0" w:line="240" w:lineRule="auto"/>
    </w:pPr>
    <w:rPr>
      <w:sz w:val="20"/>
    </w:rPr>
  </w:style>
  <w:style w:type="character" w:styleId="818">
    <w:name w:val="Endnote Text Char"/>
    <w:link w:val="817"/>
    <w:uiPriority w:val="99"/>
    <w:rPr>
      <w:sz w:val="20"/>
    </w:rPr>
  </w:style>
  <w:style w:type="character" w:styleId="819">
    <w:name w:val="endnote reference"/>
    <w:basedOn w:val="833"/>
    <w:uiPriority w:val="99"/>
    <w:semiHidden/>
    <w:unhideWhenUsed/>
    <w:rPr>
      <w:vertAlign w:val="superscript"/>
    </w:rPr>
  </w:style>
  <w:style w:type="paragraph" w:styleId="820">
    <w:name w:val="toc 1"/>
    <w:basedOn w:val="831"/>
    <w:next w:val="831"/>
    <w:uiPriority w:val="39"/>
    <w:unhideWhenUsed/>
    <w:pPr>
      <w:ind w:left="0" w:right="0" w:firstLine="0"/>
      <w:spacing w:after="57"/>
    </w:pPr>
  </w:style>
  <w:style w:type="paragraph" w:styleId="821">
    <w:name w:val="toc 2"/>
    <w:basedOn w:val="831"/>
    <w:next w:val="831"/>
    <w:uiPriority w:val="39"/>
    <w:unhideWhenUsed/>
    <w:pPr>
      <w:ind w:left="283" w:right="0" w:firstLine="0"/>
      <w:spacing w:after="57"/>
    </w:pPr>
  </w:style>
  <w:style w:type="paragraph" w:styleId="822">
    <w:name w:val="toc 3"/>
    <w:basedOn w:val="831"/>
    <w:next w:val="831"/>
    <w:uiPriority w:val="39"/>
    <w:unhideWhenUsed/>
    <w:pPr>
      <w:ind w:left="567" w:right="0" w:firstLine="0"/>
      <w:spacing w:after="57"/>
    </w:pPr>
  </w:style>
  <w:style w:type="paragraph" w:styleId="823">
    <w:name w:val="toc 4"/>
    <w:basedOn w:val="831"/>
    <w:next w:val="831"/>
    <w:uiPriority w:val="39"/>
    <w:unhideWhenUsed/>
    <w:pPr>
      <w:ind w:left="850" w:right="0" w:firstLine="0"/>
      <w:spacing w:after="57"/>
    </w:pPr>
  </w:style>
  <w:style w:type="paragraph" w:styleId="824">
    <w:name w:val="toc 5"/>
    <w:basedOn w:val="831"/>
    <w:next w:val="831"/>
    <w:uiPriority w:val="39"/>
    <w:unhideWhenUsed/>
    <w:pPr>
      <w:ind w:left="1134" w:right="0" w:firstLine="0"/>
      <w:spacing w:after="57"/>
    </w:pPr>
  </w:style>
  <w:style w:type="paragraph" w:styleId="825">
    <w:name w:val="toc 6"/>
    <w:basedOn w:val="831"/>
    <w:next w:val="831"/>
    <w:uiPriority w:val="39"/>
    <w:unhideWhenUsed/>
    <w:pPr>
      <w:ind w:left="1417" w:right="0" w:firstLine="0"/>
      <w:spacing w:after="57"/>
    </w:pPr>
  </w:style>
  <w:style w:type="paragraph" w:styleId="826">
    <w:name w:val="toc 7"/>
    <w:basedOn w:val="831"/>
    <w:next w:val="831"/>
    <w:uiPriority w:val="39"/>
    <w:unhideWhenUsed/>
    <w:pPr>
      <w:ind w:left="1701" w:right="0" w:firstLine="0"/>
      <w:spacing w:after="57"/>
    </w:pPr>
  </w:style>
  <w:style w:type="paragraph" w:styleId="827">
    <w:name w:val="toc 8"/>
    <w:basedOn w:val="831"/>
    <w:next w:val="831"/>
    <w:uiPriority w:val="39"/>
    <w:unhideWhenUsed/>
    <w:pPr>
      <w:ind w:left="1984" w:right="0" w:firstLine="0"/>
      <w:spacing w:after="57"/>
    </w:pPr>
  </w:style>
  <w:style w:type="paragraph" w:styleId="828">
    <w:name w:val="toc 9"/>
    <w:basedOn w:val="831"/>
    <w:next w:val="831"/>
    <w:uiPriority w:val="39"/>
    <w:unhideWhenUsed/>
    <w:pPr>
      <w:ind w:left="2268" w:right="0" w:firstLine="0"/>
      <w:spacing w:after="57"/>
    </w:pPr>
  </w:style>
  <w:style w:type="paragraph" w:styleId="829">
    <w:name w:val="TOC Heading"/>
    <w:uiPriority w:val="39"/>
    <w:unhideWhenUsed/>
  </w:style>
  <w:style w:type="paragraph" w:styleId="830">
    <w:name w:val="table of figures"/>
    <w:basedOn w:val="831"/>
    <w:next w:val="831"/>
    <w:uiPriority w:val="99"/>
    <w:unhideWhenUsed/>
    <w:pPr>
      <w:spacing w:after="0" w:afterAutospacing="0"/>
    </w:pPr>
  </w:style>
  <w:style w:type="paragraph" w:styleId="831" w:default="1">
    <w:name w:val="Normal"/>
    <w:qFormat/>
    <w:rPr>
      <w:sz w:val="28"/>
    </w:rPr>
  </w:style>
  <w:style w:type="paragraph" w:styleId="832">
    <w:name w:val="Heading 1"/>
    <w:basedOn w:val="831"/>
    <w:next w:val="831"/>
    <w:qFormat/>
    <w:pPr>
      <w:jc w:val="center"/>
      <w:keepNext/>
      <w:outlineLvl w:val="0"/>
    </w:pPr>
    <w:rPr>
      <w:b/>
      <w:sz w:val="56"/>
    </w:rPr>
  </w:style>
  <w:style w:type="character" w:styleId="833" w:default="1">
    <w:name w:val="Default Paragraph Font"/>
    <w:uiPriority w:val="1"/>
    <w:semiHidden/>
    <w:unhideWhenUsed/>
  </w:style>
  <w:style w:type="table" w:styleId="83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5" w:default="1">
    <w:name w:val="No List"/>
    <w:uiPriority w:val="99"/>
    <w:semiHidden/>
    <w:unhideWhenUsed/>
  </w:style>
  <w:style w:type="paragraph" w:styleId="836">
    <w:name w:val="Header"/>
    <w:basedOn w:val="831"/>
    <w:pPr>
      <w:tabs>
        <w:tab w:val="center" w:pos="4153" w:leader="none"/>
        <w:tab w:val="right" w:pos="8306" w:leader="none"/>
      </w:tabs>
    </w:pPr>
    <w:rPr>
      <w:sz w:val="20"/>
    </w:rPr>
  </w:style>
  <w:style w:type="paragraph" w:styleId="837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838">
    <w:name w:val="Document Map"/>
    <w:basedOn w:val="831"/>
    <w:link w:val="839"/>
    <w:rPr>
      <w:rFonts w:ascii="Tahoma" w:hAnsi="Tahoma" w:cs="Tahoma"/>
      <w:sz w:val="16"/>
      <w:szCs w:val="16"/>
    </w:rPr>
  </w:style>
  <w:style w:type="character" w:styleId="839" w:customStyle="1">
    <w:name w:val="Схема документа Знак"/>
    <w:link w:val="838"/>
    <w:rPr>
      <w:rFonts w:ascii="Tahoma" w:hAnsi="Tahoma" w:cs="Tahoma"/>
      <w:sz w:val="16"/>
      <w:szCs w:val="16"/>
    </w:rPr>
  </w:style>
  <w:style w:type="character" w:styleId="840">
    <w:name w:val="Hyperlink"/>
    <w:uiPriority w:val="99"/>
    <w:unhideWhenUsed/>
    <w:rPr>
      <w:color w:val="0000ff"/>
      <w:u w:val="single"/>
    </w:rPr>
  </w:style>
  <w:style w:type="paragraph" w:styleId="841">
    <w:name w:val="Balloon Text"/>
    <w:basedOn w:val="831"/>
    <w:link w:val="842"/>
    <w:rPr>
      <w:rFonts w:ascii="Tahoma" w:hAnsi="Tahoma" w:cs="Tahoma"/>
      <w:sz w:val="16"/>
      <w:szCs w:val="16"/>
    </w:rPr>
  </w:style>
  <w:style w:type="character" w:styleId="842" w:customStyle="1">
    <w:name w:val="Текст выноски Знак"/>
    <w:basedOn w:val="833"/>
    <w:link w:val="841"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mr.gov-murman.ru/" TargetMode="External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byryakova</dc:creator>
  <cp:revision>26</cp:revision>
  <dcterms:created xsi:type="dcterms:W3CDTF">2025-04-14T09:27:00Z</dcterms:created>
  <dcterms:modified xsi:type="dcterms:W3CDTF">2025-05-15T09:57:59Z</dcterms:modified>
</cp:coreProperties>
</file>