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4"/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488" cy="742732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488" cy="7427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99pt;height:58.48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44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pStyle w:val="84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both"/>
        <w:widowControl w:val="off"/>
        <w:rPr>
          <w:b/>
          <w:bCs/>
          <w:color w:val="000000"/>
          <w:sz w:val="20"/>
          <w:szCs w:val="20"/>
        </w:rPr>
      </w:pPr>
      <w:r>
        <w:rPr>
          <w:b/>
          <w:color w:val="000000"/>
          <w:sz w:val="20"/>
          <w:szCs w:val="16"/>
          <w:highlight w:val="none"/>
        </w:rPr>
      </w:r>
      <w:r>
        <w:rPr>
          <w:b/>
          <w:color w:val="000000"/>
          <w:sz w:val="20"/>
          <w:szCs w:val="16"/>
          <w:highlight w:val="none"/>
        </w:rPr>
      </w:r>
      <w:r>
        <w:rPr>
          <w:b/>
          <w:bCs/>
          <w:color w:val="000000"/>
          <w:sz w:val="20"/>
          <w:szCs w:val="20"/>
        </w:rPr>
      </w:r>
    </w:p>
    <w:p>
      <w:pPr>
        <w:jc w:val="both"/>
        <w:widowControl w:val="off"/>
        <w:rPr>
          <w:b/>
          <w:bCs/>
          <w:color w:val="000000"/>
          <w:sz w:val="20"/>
          <w:szCs w:val="20"/>
          <w:highlight w:val="none"/>
        </w:rPr>
      </w:pPr>
      <w:r>
        <w:rPr>
          <w:b/>
          <w:color w:val="000000"/>
          <w:sz w:val="20"/>
          <w:szCs w:val="16"/>
          <w:highlight w:val="none"/>
        </w:rPr>
      </w:r>
      <w:r>
        <w:rPr>
          <w:b/>
          <w:color w:val="000000"/>
          <w:sz w:val="20"/>
          <w:szCs w:val="16"/>
          <w:highlight w:val="none"/>
        </w:rPr>
      </w:r>
      <w:r>
        <w:rPr>
          <w:b/>
          <w:bCs/>
          <w:color w:val="000000"/>
          <w:sz w:val="20"/>
          <w:szCs w:val="20"/>
          <w:highlight w:val="none"/>
        </w:rPr>
      </w:r>
    </w:p>
    <w:p>
      <w:pPr>
        <w:pStyle w:val="844"/>
        <w:jc w:val="both"/>
        <w:widowControl w:val="off"/>
        <w:rPr>
          <w:b/>
          <w:bCs/>
          <w:color w:val="000000"/>
          <w:sz w:val="24"/>
          <w:szCs w:val="24"/>
          <w:highlight w:val="none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19.05.2025</w:t>
        <w:tab/>
        <w:tab/>
        <w:tab/>
        <w:tab/>
        <w:tab/>
        <w:tab/>
        <w:tab/>
        <w:tab/>
        <w:tab/>
        <w:tab/>
      </w:r>
      <w:r>
        <w:rPr>
          <w:b/>
          <w:color w:val="000000"/>
          <w:sz w:val="24"/>
        </w:rPr>
        <w:t xml:space="preserve">         </w:t>
      </w:r>
      <w:r>
        <w:rPr>
          <w:b/>
          <w:color w:val="000000"/>
          <w:sz w:val="24"/>
        </w:rPr>
        <w:t xml:space="preserve">      </w:t>
      </w:r>
      <w:r>
        <w:rPr>
          <w:b/>
          <w:color w:val="000000"/>
          <w:sz w:val="24"/>
        </w:rPr>
        <w:t xml:space="preserve">№</w:t>
      </w:r>
      <w:r>
        <w:rPr>
          <w:b/>
          <w:color w:val="000000"/>
          <w:sz w:val="24"/>
        </w:rPr>
        <w:t xml:space="preserve"> 817</w:t>
      </w:r>
      <w:r>
        <w:rPr>
          <w:b/>
          <w:bCs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  <w:highlight w:val="none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4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44"/>
        <w:jc w:val="center"/>
        <w:tabs>
          <w:tab w:val="left" w:pos="0" w:leader="none"/>
          <w:tab w:val="left" w:pos="2694" w:leader="none"/>
          <w:tab w:val="left" w:pos="3119" w:leader="none"/>
          <w:tab w:val="left" w:pos="3261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  <w:bCs/>
        </w:rPr>
        <w:t xml:space="preserve">Положение</w:t>
      </w:r>
      <w:r>
        <w:rPr>
          <w:b/>
          <w:bCs/>
        </w:rPr>
        <w:t xml:space="preserve"> об организационном комитете по проведению общественных обсуждений по проектам генеральных планов, проектам правил землепользования и застройки, </w:t>
      </w:r>
      <w:r>
        <w:rPr>
          <w:b/>
          <w:bCs/>
        </w:rPr>
        <w:t xml:space="preserve">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</w:t>
      </w:r>
      <w:r>
        <w:rPr>
          <w:b/>
          <w:bCs/>
        </w:rPr>
        <w:t xml:space="preserve">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</w:t>
      </w:r>
      <w:r>
        <w:rPr>
          <w:b/>
          <w:bCs/>
        </w:rPr>
        <w:t xml:space="preserve">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Печенгского муниципального округа</w:t>
      </w:r>
      <w:r>
        <w:rPr>
          <w:b/>
          <w:bCs/>
        </w:rPr>
        <w:t xml:space="preserve">, утвержденное </w:t>
      </w:r>
      <w:r>
        <w:rPr>
          <w:b/>
        </w:rPr>
        <w:t xml:space="preserve">постановление</w:t>
      </w:r>
      <w:r>
        <w:rPr>
          <w:b/>
        </w:rPr>
        <w:t xml:space="preserve">м</w:t>
      </w:r>
      <w:r>
        <w:rPr>
          <w:b/>
        </w:rPr>
        <w:t xml:space="preserve"> администрации Печенгск</w:t>
      </w:r>
      <w:r>
        <w:rPr>
          <w:b/>
        </w:rPr>
        <w:t xml:space="preserve">ого муниципального округа</w:t>
      </w:r>
      <w:r>
        <w:rPr>
          <w:b/>
        </w:rPr>
        <w:t xml:space="preserve"> </w:t>
      </w:r>
      <w:r>
        <w:rPr>
          <w:b/>
        </w:rPr>
        <w:t xml:space="preserve">от 11.07.2022 № 957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</w:r>
    </w:p>
    <w:p>
      <w:pPr>
        <w:pStyle w:val="844"/>
        <w:ind w:right="-5"/>
        <w:jc w:val="center"/>
        <w:tabs>
          <w:tab w:val="left" w:pos="9900" w:leader="none"/>
        </w:tabs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</w:r>
    </w:p>
    <w:p>
      <w:pPr>
        <w:pStyle w:val="844"/>
        <w:ind w:left="-108" w:right="-108" w:firstLine="81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</w:t>
      </w:r>
      <w:r>
        <w:rPr>
          <w:sz w:val="24"/>
          <w:szCs w:val="24"/>
        </w:rPr>
        <w:t xml:space="preserve">ководствуясь Градостроительным кодексом</w:t>
      </w:r>
      <w:r>
        <w:rPr>
          <w:sz w:val="24"/>
          <w:szCs w:val="24"/>
        </w:rPr>
        <w:t xml:space="preserve"> Российской Федерации,</w:t>
      </w:r>
      <w:r>
        <w:rPr>
          <w:sz w:val="24"/>
          <w:szCs w:val="24"/>
        </w:rPr>
        <w:t xml:space="preserve"> Законом Мурманской области </w:t>
      </w:r>
      <w:r>
        <w:rPr>
          <w:sz w:val="24"/>
          <w:szCs w:val="24"/>
        </w:rPr>
        <w:t xml:space="preserve">от 06.11.2018 № </w:t>
      </w:r>
      <w:r>
        <w:rPr>
          <w:sz w:val="24"/>
          <w:szCs w:val="24"/>
        </w:rPr>
        <w:t xml:space="preserve">2304-01-ЗМО</w:t>
      </w:r>
      <w:r>
        <w:rPr>
          <w:sz w:val="24"/>
          <w:szCs w:val="24"/>
        </w:rPr>
        <w:t xml:space="preserve"> «О градостроительной деятельности н</w:t>
      </w:r>
      <w:r>
        <w:rPr>
          <w:sz w:val="24"/>
          <w:szCs w:val="24"/>
        </w:rPr>
        <w:t xml:space="preserve">а территории Мурманской области»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4"/>
        <w:ind w:left="180" w:right="-105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3"/>
        </w:numPr>
        <w:ind w:left="0" w:right="42" w:firstLine="720"/>
        <w:jc w:val="both"/>
        <w:tabs>
          <w:tab w:val="left" w:pos="1134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Внести в </w:t>
      </w:r>
      <w:r>
        <w:rPr>
          <w:bCs/>
          <w:sz w:val="24"/>
          <w:szCs w:val="24"/>
        </w:rPr>
        <w:t xml:space="preserve">Положение </w:t>
      </w:r>
      <w:r>
        <w:rPr>
          <w:bCs/>
          <w:sz w:val="24"/>
          <w:szCs w:val="24"/>
        </w:rPr>
        <w:t xml:space="preserve">об организационном комитете по проведению общественных обсуждений по проектам генеральных планов, проектам правил землепользования и застройки, проектам плани</w:t>
      </w:r>
      <w:r>
        <w:rPr>
          <w:bCs/>
          <w:sz w:val="24"/>
          <w:szCs w:val="24"/>
        </w:rPr>
        <w:t xml:space="preserve">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</w:t>
      </w:r>
      <w:r>
        <w:rPr>
          <w:bCs/>
          <w:sz w:val="24"/>
          <w:szCs w:val="24"/>
        </w:rPr>
        <w:t xml:space="preserve">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Печенгского муниципального округа</w:t>
      </w:r>
      <w:r>
        <w:rPr>
          <w:bCs/>
          <w:sz w:val="24"/>
          <w:szCs w:val="24"/>
        </w:rPr>
        <w:t xml:space="preserve">, утвержденное </w:t>
      </w:r>
      <w:r>
        <w:rPr>
          <w:bCs/>
          <w:sz w:val="24"/>
          <w:szCs w:val="24"/>
        </w:rPr>
        <w:t xml:space="preserve">постановление</w:t>
      </w:r>
      <w:r>
        <w:rPr>
          <w:bCs/>
          <w:sz w:val="24"/>
          <w:szCs w:val="24"/>
        </w:rPr>
        <w:t xml:space="preserve">м</w:t>
      </w:r>
      <w:r>
        <w:rPr>
          <w:bCs/>
          <w:sz w:val="24"/>
          <w:szCs w:val="24"/>
        </w:rPr>
        <w:t xml:space="preserve"> администрации Печенгского муниципального округа от </w:t>
      </w:r>
      <w:r>
        <w:rPr>
          <w:bCs/>
          <w:sz w:val="24"/>
          <w:szCs w:val="24"/>
        </w:rPr>
        <w:t xml:space="preserve">11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07.2022 №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957</w:t>
      </w:r>
      <w:r>
        <w:rPr>
          <w:bCs/>
          <w:sz w:val="24"/>
          <w:szCs w:val="24"/>
        </w:rPr>
        <w:t xml:space="preserve">,</w:t>
      </w:r>
      <w:r>
        <w:rPr>
          <w:bCs/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1"/>
          <w:numId w:val="4"/>
        </w:numPr>
        <w:ind w:right="42"/>
        <w:jc w:val="both"/>
        <w:tabs>
          <w:tab w:val="left" w:pos="1134" w:leader="none"/>
        </w:tabs>
        <w:rPr>
          <w:sz w:val="24"/>
        </w:rPr>
      </w:pPr>
      <w:r>
        <w:rPr>
          <w:bCs/>
          <w:sz w:val="24"/>
          <w:szCs w:val="24"/>
        </w:rPr>
        <w:t xml:space="preserve"> Раздел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2 дополнить </w:t>
      </w:r>
      <w:r>
        <w:rPr>
          <w:bCs/>
          <w:sz w:val="24"/>
          <w:szCs w:val="24"/>
        </w:rPr>
        <w:t xml:space="preserve">пунктом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девятым </w:t>
      </w:r>
      <w:r>
        <w:rPr>
          <w:bCs/>
          <w:sz w:val="24"/>
          <w:szCs w:val="24"/>
        </w:rPr>
        <w:t xml:space="preserve">следующего содержания</w:t>
      </w:r>
      <w:r>
        <w:rPr>
          <w:bCs/>
          <w:sz w:val="24"/>
          <w:szCs w:val="24"/>
        </w:rPr>
        <w:t xml:space="preserve">:</w:t>
      </w:r>
      <w:r>
        <w:rPr>
          <w:sz w:val="24"/>
        </w:rPr>
      </w:r>
      <w:r>
        <w:rPr>
          <w:sz w:val="24"/>
        </w:rPr>
      </w:r>
    </w:p>
    <w:p>
      <w:pPr>
        <w:pStyle w:val="8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«9)</w:t>
      </w:r>
      <w:r>
        <w:rPr>
          <w:rFonts w:ascii="Times New Roman" w:hAnsi="Times New Roman" w:cs="Times New Roman"/>
          <w:bCs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В случае поступления предложения</w:t>
      </w:r>
      <w:r>
        <w:rPr>
          <w:rFonts w:ascii="Times New Roman" w:hAnsi="Times New Roman" w:cs="Times New Roman"/>
          <w:sz w:val="24"/>
          <w:szCs w:val="24"/>
        </w:rPr>
        <w:t xml:space="preserve"> о внесении изменения</w:t>
      </w:r>
      <w:r>
        <w:rPr>
          <w:rFonts w:ascii="Times New Roman" w:hAnsi="Times New Roman" w:cs="Times New Roman"/>
          <w:sz w:val="24"/>
          <w:szCs w:val="24"/>
        </w:rPr>
        <w:t xml:space="preserve"> в Правила землепользования и застройки муниципального образования Печенгский муниципальный округ Мурманской области (далее - Правила землепользования и застройки) от лиц, указанных в </w:t>
      </w:r>
      <w:r>
        <w:fldChar w:fldCharType="begin"/>
      </w:r>
      <w:r>
        <w:instrText xml:space="preserve"> HYPERLINK "consultantplus://offline/ref=1E87EAA3ECD98642A0C4EF5221A13695EE3515892F26CA68EB0F35AB12ABFFCACD4EF7921B5D58D05D62A5841805380302445B22DD0B297AV8R2L"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 xml:space="preserve">части 3 статьи 33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 (далее - ГрК РФ), Организационный комитет </w:t>
      </w:r>
      <w:r>
        <w:rPr>
          <w:rFonts w:ascii="Times New Roman" w:hAnsi="Times New Roman" w:cs="Times New Roman"/>
          <w:sz w:val="24"/>
          <w:szCs w:val="24"/>
        </w:rPr>
        <w:t xml:space="preserve">в течение </w:t>
      </w:r>
      <w:r>
        <w:rPr>
          <w:rFonts w:ascii="Times New Roman" w:hAnsi="Times New Roman" w:cs="Times New Roman"/>
          <w:sz w:val="24"/>
          <w:szCs w:val="24"/>
        </w:rPr>
        <w:t xml:space="preserve">двадцати пяти</w:t>
      </w:r>
      <w:r>
        <w:rPr>
          <w:rFonts w:ascii="Times New Roman" w:hAnsi="Times New Roman" w:cs="Times New Roman"/>
          <w:sz w:val="24"/>
          <w:szCs w:val="24"/>
        </w:rPr>
        <w:t xml:space="preserve"> дней </w:t>
      </w:r>
      <w:r>
        <w:rPr>
          <w:rFonts w:ascii="Times New Roman" w:hAnsi="Times New Roman" w:cs="Times New Roman"/>
          <w:sz w:val="24"/>
          <w:szCs w:val="24"/>
        </w:rPr>
        <w:t xml:space="preserve">со дня поступления предложения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 подготовку </w:t>
      </w:r>
      <w:r>
        <w:rPr>
          <w:rFonts w:ascii="Times New Roman" w:hAnsi="Times New Roman" w:cs="Times New Roman"/>
          <w:sz w:val="24"/>
          <w:szCs w:val="24"/>
        </w:rPr>
        <w:t xml:space="preserve">протокола, в котором фиксируются вопросы, вынесенные на рассмотрение Организационного комитета, и принятые по ним решения, а также </w:t>
      </w:r>
      <w:r>
        <w:rPr>
          <w:rFonts w:ascii="Times New Roman" w:hAnsi="Times New Roman" w:cs="Times New Roman"/>
          <w:sz w:val="24"/>
          <w:szCs w:val="24"/>
        </w:rPr>
        <w:t xml:space="preserve">заключения, в котором содержатся рекомендации о внесении в соответствии с по</w:t>
      </w:r>
      <w:r>
        <w:rPr>
          <w:rFonts w:ascii="Times New Roman" w:hAnsi="Times New Roman" w:cs="Times New Roman"/>
          <w:sz w:val="24"/>
          <w:szCs w:val="24"/>
        </w:rPr>
        <w:t xml:space="preserve">ступившим предложением изменения</w:t>
      </w:r>
      <w:r>
        <w:rPr>
          <w:rFonts w:ascii="Times New Roman" w:hAnsi="Times New Roman" w:cs="Times New Roman"/>
          <w:sz w:val="24"/>
          <w:szCs w:val="24"/>
        </w:rPr>
        <w:t xml:space="preserve"> в Правила землепользования и застройки или об отклонении такого предложения с указанием причин </w:t>
      </w:r>
      <w:r>
        <w:rPr>
          <w:rFonts w:ascii="Times New Roman" w:hAnsi="Times New Roman" w:cs="Times New Roman"/>
          <w:sz w:val="24"/>
          <w:szCs w:val="24"/>
        </w:rPr>
        <w:t xml:space="preserve">отклонения,</w:t>
      </w:r>
      <w:r>
        <w:rPr>
          <w:rFonts w:ascii="Times New Roman" w:hAnsi="Times New Roman" w:cs="Times New Roman"/>
          <w:sz w:val="24"/>
          <w:szCs w:val="24"/>
        </w:rPr>
        <w:t xml:space="preserve"> направляет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протокол и </w:t>
      </w:r>
      <w:r>
        <w:rPr>
          <w:rFonts w:ascii="Times New Roman" w:hAnsi="Times New Roman" w:cs="Times New Roman"/>
          <w:sz w:val="24"/>
          <w:szCs w:val="24"/>
        </w:rPr>
        <w:t xml:space="preserve">заключение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уполномоченный исполнительный орган государственной власти Мурманской области на осуществление полномочий, предусмотренных </w:t>
      </w:r>
      <w:r>
        <w:fldChar w:fldCharType="begin"/>
      </w:r>
      <w:r>
        <w:instrText xml:space="preserve"> HYPERLINK "consultantplus://offline/ref=1E87EAA3ECD98642A0C4F15F37CD6890EA3A49842520C337B0506EF645A2F59D8A01AED05F505CD25C69F0D75704644555575924DD092D6680BFCCVFR6L"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 xml:space="preserve">пунктом 1 статьи 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Закона Му</w:t>
      </w:r>
      <w:r>
        <w:rPr>
          <w:rFonts w:ascii="Times New Roman" w:hAnsi="Times New Roman" w:cs="Times New Roman"/>
          <w:sz w:val="24"/>
          <w:szCs w:val="24"/>
        </w:rPr>
        <w:t xml:space="preserve">рманской области от 27.12.2019 №</w:t>
      </w:r>
      <w:r>
        <w:rPr>
          <w:rFonts w:ascii="Times New Roman" w:hAnsi="Times New Roman" w:cs="Times New Roman"/>
          <w:sz w:val="24"/>
          <w:szCs w:val="24"/>
        </w:rPr>
        <w:t xml:space="preserve"> 2459-01-ЗМО «О перераспределении отдельны</w:t>
      </w:r>
      <w:r>
        <w:rPr>
          <w:rFonts w:ascii="Times New Roman" w:hAnsi="Times New Roman" w:cs="Times New Roman"/>
          <w:sz w:val="24"/>
          <w:szCs w:val="24"/>
        </w:rPr>
        <w:t xml:space="preserve">х полномочий в области градостроительной деятельности и в области земельных отношений между органами местного самоуправления муниципальных образований Мурманской области и органами государственной власти Мурманской области» (далее - Уполномоченный орган). </w:t>
      </w:r>
      <w:r>
        <w:rPr>
          <w:rFonts w:ascii="Times New Roman" w:hAnsi="Times New Roman" w:cs="Times New Roman"/>
          <w:sz w:val="24"/>
          <w:szCs w:val="24"/>
        </w:rPr>
        <w:t xml:space="preserve">Организационный комитет </w:t>
      </w:r>
      <w:r>
        <w:rPr>
          <w:rFonts w:ascii="Times New Roman" w:hAnsi="Times New Roman" w:cs="Times New Roman"/>
          <w:sz w:val="24"/>
          <w:szCs w:val="24"/>
        </w:rPr>
        <w:t xml:space="preserve">в течение трех рабочих дней со дня поступления предложения о внесении изменений в Правила землепользования и застройки направляет копию указанного предложения в Уполномоченный орган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0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Пункт 3.1 раздела 3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0"/>
        <w:ind w:left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«3.1. В состав Организационного комитета </w:t>
      </w:r>
      <w:r>
        <w:rPr>
          <w:rFonts w:ascii="Times New Roman" w:hAnsi="Times New Roman" w:cs="Times New Roman"/>
          <w:sz w:val="24"/>
          <w:szCs w:val="24"/>
        </w:rPr>
        <w:t xml:space="preserve">входят: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numPr>
          <w:ilvl w:val="0"/>
          <w:numId w:val="6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заместитель Главы Печенгского муниципального округа;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6"/>
        </w:numPr>
        <w:ind w:left="0" w:right="0" w:firstLine="709"/>
        <w:jc w:val="both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представители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отдела строительства и ЖКХ администрации Печенгского муниципального округа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6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представители</w:t>
      </w:r>
      <w:r>
        <w:rPr>
          <w:sz w:val="24"/>
          <w:szCs w:val="24"/>
        </w:rPr>
        <w:t xml:space="preserve"> К</w:t>
      </w:r>
      <w:r>
        <w:rPr>
          <w:sz w:val="24"/>
          <w:szCs w:val="24"/>
        </w:rPr>
        <w:t xml:space="preserve">омитета по </w:t>
      </w:r>
      <w:r>
        <w:rPr>
          <w:sz w:val="24"/>
          <w:szCs w:val="24"/>
        </w:rPr>
        <w:t xml:space="preserve">управлению имуществом администрации Печенгского муниципального округа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6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</w:t>
      </w:r>
      <w:r>
        <w:rPr>
          <w:sz w:val="24"/>
          <w:szCs w:val="24"/>
        </w:rPr>
        <w:t xml:space="preserve">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МКУ «Управления благоустройства и развития» Печенгского муниципального округа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6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</w:t>
      </w:r>
      <w:r>
        <w:rPr>
          <w:sz w:val="24"/>
          <w:szCs w:val="24"/>
        </w:rPr>
        <w:t xml:space="preserve">юридического отдела администрации Печенгского муниципального округа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6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отдела культуры, спорта и молодежной политики администрации Печенгского муниципального округа;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6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Сов</w:t>
      </w:r>
      <w:r>
        <w:rPr>
          <w:sz w:val="24"/>
          <w:szCs w:val="24"/>
        </w:rPr>
        <w:t xml:space="preserve">ета депутатов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состав Организационного комитета могут входить представители органов государственной власти, в том числе органов государственного контроля (надзора), а также объединений юридических лиц и (или) граждан.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firstLine="708"/>
        <w:jc w:val="both"/>
      </w:pPr>
      <w:r>
        <w:rPr>
          <w:sz w:val="24"/>
          <w:szCs w:val="24"/>
        </w:rPr>
        <w:t xml:space="preserve">Численность членов Организационного комитета составляе</w:t>
      </w:r>
      <w:r>
        <w:rPr>
          <w:sz w:val="24"/>
          <w:szCs w:val="24"/>
        </w:rPr>
        <w:t xml:space="preserve">т не менее девяти человек и не б</w:t>
      </w:r>
      <w:r>
        <w:rPr>
          <w:sz w:val="24"/>
          <w:szCs w:val="24"/>
        </w:rPr>
        <w:t xml:space="preserve">олее семнадцати человек.</w:t>
      </w:r>
      <w:r>
        <w:rPr>
          <w:sz w:val="24"/>
          <w:szCs w:val="24"/>
        </w:rPr>
      </w:r>
      <w:r/>
    </w:p>
    <w:p>
      <w:pPr>
        <w:pStyle w:val="84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Минимальное число представителей отдела строительства и ЖКХ администрации Печенгского муниципального округа и К</w:t>
      </w:r>
      <w:r>
        <w:rPr>
          <w:sz w:val="24"/>
          <w:szCs w:val="24"/>
        </w:rPr>
        <w:t xml:space="preserve">омитета по </w:t>
      </w:r>
      <w:r>
        <w:rPr>
          <w:sz w:val="24"/>
          <w:szCs w:val="24"/>
        </w:rPr>
        <w:t xml:space="preserve">управлению имуществом администрации Печенгского муниципального округа должно составлять не менее двух третей от установленного числа членов Организационного комитета.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Пункт 3.2 раздела дополнить предложением следующего содержания: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«На период отсутствия членов Организационного комитета (</w:t>
      </w:r>
      <w:r>
        <w:rPr>
          <w:rFonts w:ascii="Times New Roman" w:hAnsi="Times New Roman" w:cs="Times New Roman"/>
          <w:sz w:val="24"/>
          <w:szCs w:val="24"/>
        </w:rPr>
        <w:t xml:space="preserve">командировка</w:t>
      </w:r>
      <w:r>
        <w:rPr>
          <w:rFonts w:ascii="Times New Roman" w:hAnsi="Times New Roman" w:cs="Times New Roman"/>
          <w:sz w:val="24"/>
          <w:szCs w:val="24"/>
        </w:rPr>
        <w:t xml:space="preserve">, о</w:t>
      </w:r>
      <w:r>
        <w:rPr>
          <w:rFonts w:ascii="Times New Roman" w:hAnsi="Times New Roman" w:cs="Times New Roman"/>
          <w:sz w:val="24"/>
          <w:szCs w:val="24"/>
        </w:rPr>
        <w:t xml:space="preserve">тпуск, болезнь, иные причины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в заседаниях Организационного комитета принимают участие лица их замещающие.».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0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Пункт 3.4 раздела 3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«3.4. </w:t>
      </w:r>
      <w:r>
        <w:rPr>
          <w:sz w:val="24"/>
          <w:szCs w:val="24"/>
        </w:rPr>
        <w:t xml:space="preserve">Организационный комитет осуществляет свою деятельность в форме заседаний.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Заседания Организационного комитета считаются правомочными, если на них присутствует не менее </w:t>
      </w:r>
      <w:r>
        <w:rPr>
          <w:sz w:val="24"/>
          <w:szCs w:val="24"/>
        </w:rPr>
        <w:t xml:space="preserve">двух третей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общего </w:t>
      </w:r>
      <w:r>
        <w:rPr>
          <w:sz w:val="24"/>
          <w:szCs w:val="24"/>
        </w:rPr>
        <w:t xml:space="preserve">числа членов Организационного комитета.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numPr>
          <w:ilvl w:val="0"/>
          <w:numId w:val="4"/>
        </w:numPr>
        <w:ind w:left="0" w:firstLine="709"/>
        <w:jc w:val="both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sz w:val="24"/>
          <w:szCs w:val="24"/>
        </w:rPr>
        <w:t xml:space="preserve">после</w:t>
      </w:r>
      <w:r>
        <w:rPr>
          <w:rFonts w:ascii="Times New Roman" w:hAnsi="Times New Roman" w:cs="Times New Roman"/>
          <w:sz w:val="24"/>
          <w:szCs w:val="24"/>
        </w:rPr>
        <w:t xml:space="preserve"> его подписания и распространяется на правоотношения, возникшие с 01.01.2025.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0"/>
        <w:numPr>
          <w:ilvl w:val="0"/>
          <w:numId w:val="4"/>
        </w:numPr>
        <w:ind w:left="0" w:firstLine="709"/>
        <w:jc w:val="both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Настоящее постановление разместить на официальном сайте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"https://pechengamr.gov-murman.ru/"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Style w:val="861"/>
          <w:rFonts w:ascii="Times New Roman" w:hAnsi="Times New Roman" w:cs="Times New Roman"/>
          <w:color w:val="000000"/>
          <w:sz w:val="24"/>
          <w:szCs w:val="24"/>
          <w:u w:val="none"/>
          <w:lang w:eastAsia="zh-CN"/>
        </w:rPr>
        <w:t xml:space="preserve">https://pechengamr.gov-murman.ru/</w:t>
      </w:r>
      <w:r>
        <w:rPr>
          <w:rStyle w:val="861"/>
          <w:rFonts w:ascii="Times New Roman" w:hAnsi="Times New Roman" w:cs="Times New Roman"/>
          <w:color w:val="000000"/>
          <w:sz w:val="24"/>
          <w:szCs w:val="24"/>
          <w:u w:val="none"/>
          <w:lang w:eastAsia="zh-CN"/>
        </w:rPr>
        <w:fldChar w:fldCharType="end"/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0"/>
        <w:numPr>
          <w:ilvl w:val="0"/>
          <w:numId w:val="4"/>
        </w:numPr>
        <w:ind w:left="709" w:firstLine="0"/>
        <w:jc w:val="both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Контроль за исполнением настоящего постановления </w:t>
      </w:r>
      <w:r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оставляю за собой</w:t>
      </w:r>
      <w:r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ind w:left="360"/>
        <w:jc w:val="left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pStyle w:val="84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rPr>
          <w:sz w:val="16"/>
          <w:szCs w:val="16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униципального округа                               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44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44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44"/>
        <w:jc w:val="both"/>
        <w:rPr>
          <w:sz w:val="24"/>
          <w:szCs w:val="24"/>
        </w:rPr>
      </w:pPr>
      <w:r>
        <w:rPr>
          <w:sz w:val="20"/>
          <w:szCs w:val="20"/>
        </w:rPr>
        <w:t xml:space="preserve">Лаврущик С.С</w:t>
      </w:r>
      <w:r>
        <w:rPr>
          <w:sz w:val="20"/>
          <w:szCs w:val="20"/>
        </w:rPr>
        <w:t xml:space="preserve">., 50579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jc w:val="center"/>
        <w:rPr>
          <w:b/>
          <w:sz w:val="24"/>
          <w:szCs w:val="24"/>
        </w:rPr>
      </w:pPr>
      <w:r>
        <w:rPr>
          <w:sz w:val="16"/>
          <w:szCs w:val="16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709" w:right="850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45" w:hanging="1035"/>
      </w:pPr>
    </w:lvl>
    <w:lvl w:ilvl="1">
      <w:start w:val="1"/>
      <w:numFmt w:val="decimal"/>
      <w:isLgl w:val="false"/>
      <w:suff w:val="tab"/>
      <w:lvlText w:val="%1.%2"/>
      <w:lvlJc w:val="left"/>
      <w:pPr>
        <w:ind w:left="1070" w:hanging="36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43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43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79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79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15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150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510" w:hanging="180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07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4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5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2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3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7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1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80" w:hanging="180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07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4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5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2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3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7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1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80" w:hanging="1800"/>
      </w:pPr>
    </w:lvl>
  </w:abstractNum>
  <w:abstractNum w:abstractNumId="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4"/>
    <w:next w:val="844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4"/>
    <w:next w:val="844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4"/>
    <w:next w:val="844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link w:val="670"/>
    <w:uiPriority w:val="9"/>
    <w:rPr>
      <w:rFonts w:ascii="Arial" w:hAnsi="Arial" w:eastAsia="Arial" w:cs="Arial"/>
      <w:sz w:val="30"/>
      <w:szCs w:val="30"/>
    </w:rPr>
  </w:style>
  <w:style w:type="paragraph" w:styleId="672">
    <w:name w:val="Heading 4"/>
    <w:basedOn w:val="844"/>
    <w:next w:val="844"/>
    <w:link w:val="6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3">
    <w:name w:val="Heading 4 Char"/>
    <w:link w:val="672"/>
    <w:uiPriority w:val="9"/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844"/>
    <w:next w:val="844"/>
    <w:link w:val="6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5">
    <w:name w:val="Heading 5 Char"/>
    <w:link w:val="674"/>
    <w:uiPriority w:val="9"/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844"/>
    <w:next w:val="844"/>
    <w:link w:val="6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7">
    <w:name w:val="Heading 6 Char"/>
    <w:link w:val="676"/>
    <w:uiPriority w:val="9"/>
    <w:rPr>
      <w:rFonts w:ascii="Arial" w:hAnsi="Arial" w:eastAsia="Arial" w:cs="Arial"/>
      <w:b/>
      <w:bCs/>
      <w:sz w:val="22"/>
      <w:szCs w:val="22"/>
    </w:rPr>
  </w:style>
  <w:style w:type="paragraph" w:styleId="678">
    <w:name w:val="Heading 7"/>
    <w:basedOn w:val="844"/>
    <w:next w:val="844"/>
    <w:link w:val="6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9">
    <w:name w:val="Heading 7 Char"/>
    <w:link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844"/>
    <w:next w:val="844"/>
    <w:link w:val="6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1">
    <w:name w:val="Heading 8 Char"/>
    <w:link w:val="680"/>
    <w:uiPriority w:val="9"/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844"/>
    <w:next w:val="844"/>
    <w:link w:val="68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>
    <w:name w:val="Heading 9 Char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84">
    <w:name w:val="List Paragraph"/>
    <w:basedOn w:val="844"/>
    <w:uiPriority w:val="34"/>
    <w:qFormat/>
    <w:pPr>
      <w:contextualSpacing/>
      <w:ind w:left="720"/>
    </w:p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4"/>
    <w:next w:val="844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link w:val="686"/>
    <w:uiPriority w:val="10"/>
    <w:rPr>
      <w:sz w:val="48"/>
      <w:szCs w:val="48"/>
    </w:rPr>
  </w:style>
  <w:style w:type="paragraph" w:styleId="688">
    <w:name w:val="Subtitle"/>
    <w:basedOn w:val="844"/>
    <w:next w:val="844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link w:val="688"/>
    <w:uiPriority w:val="11"/>
    <w:rPr>
      <w:sz w:val="24"/>
      <w:szCs w:val="24"/>
    </w:rPr>
  </w:style>
  <w:style w:type="paragraph" w:styleId="690">
    <w:name w:val="Quote"/>
    <w:basedOn w:val="844"/>
    <w:next w:val="844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4"/>
    <w:next w:val="844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4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Header Char"/>
    <w:link w:val="694"/>
    <w:uiPriority w:val="99"/>
  </w:style>
  <w:style w:type="paragraph" w:styleId="696">
    <w:name w:val="Footer"/>
    <w:basedOn w:val="844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Footer Char"/>
    <w:link w:val="696"/>
    <w:uiPriority w:val="99"/>
  </w:style>
  <w:style w:type="paragraph" w:styleId="698">
    <w:name w:val="Caption"/>
    <w:basedOn w:val="844"/>
    <w:next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698"/>
    <w:link w:val="696"/>
    <w:uiPriority w:val="99"/>
  </w:style>
  <w:style w:type="table" w:styleId="70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6">
    <w:name w:val="Hyperlink"/>
    <w:uiPriority w:val="99"/>
    <w:unhideWhenUsed/>
    <w:rPr>
      <w:color w:val="0000ff" w:themeColor="hyperlink"/>
      <w:u w:val="single"/>
    </w:r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next w:val="844"/>
    <w:link w:val="844"/>
    <w:qFormat/>
    <w:rPr>
      <w:lang w:val="ru-RU" w:eastAsia="ru-RU" w:bidi="ar-SA"/>
    </w:rPr>
  </w:style>
  <w:style w:type="paragraph" w:styleId="845">
    <w:name w:val="Заголовок 1"/>
    <w:basedOn w:val="844"/>
    <w:next w:val="844"/>
    <w:link w:val="844"/>
    <w:qFormat/>
    <w:pPr>
      <w:jc w:val="center"/>
      <w:keepNext/>
      <w:outlineLvl w:val="0"/>
    </w:pPr>
    <w:rPr>
      <w:sz w:val="24"/>
    </w:rPr>
  </w:style>
  <w:style w:type="character" w:styleId="846">
    <w:name w:val="Основной шрифт абзаца, Знак Знак1 Знак Знак Знак Знак Знак Знак"/>
    <w:next w:val="846"/>
    <w:link w:val="854"/>
    <w:semiHidden/>
  </w:style>
  <w:style w:type="table" w:styleId="847">
    <w:name w:val="Обычная таблица"/>
    <w:next w:val="847"/>
    <w:link w:val="844"/>
    <w:semiHidden/>
    <w:tblPr/>
  </w:style>
  <w:style w:type="numbering" w:styleId="848">
    <w:name w:val="Нет списка"/>
    <w:next w:val="848"/>
    <w:link w:val="844"/>
    <w:semiHidden/>
  </w:style>
  <w:style w:type="paragraph" w:styleId="849">
    <w:name w:val="Основной текст"/>
    <w:basedOn w:val="844"/>
    <w:next w:val="849"/>
    <w:link w:val="844"/>
    <w:pPr>
      <w:jc w:val="both"/>
    </w:pPr>
    <w:rPr>
      <w:sz w:val="24"/>
      <w:szCs w:val="24"/>
    </w:rPr>
  </w:style>
  <w:style w:type="paragraph" w:styleId="850">
    <w:name w:val="Основной текст с отступом"/>
    <w:basedOn w:val="844"/>
    <w:next w:val="850"/>
    <w:link w:val="844"/>
    <w:pPr>
      <w:ind w:left="283"/>
      <w:spacing w:after="120"/>
    </w:pPr>
  </w:style>
  <w:style w:type="paragraph" w:styleId="851">
    <w:name w:val="Основной текст 2"/>
    <w:basedOn w:val="844"/>
    <w:next w:val="851"/>
    <w:link w:val="84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52">
    <w:name w:val="Основной текст с отступом 2"/>
    <w:basedOn w:val="844"/>
    <w:next w:val="852"/>
    <w:link w:val="844"/>
    <w:pPr>
      <w:ind w:firstLine="709"/>
      <w:jc w:val="both"/>
    </w:pPr>
    <w:rPr>
      <w:bCs/>
      <w:sz w:val="26"/>
      <w:szCs w:val="26"/>
    </w:rPr>
  </w:style>
  <w:style w:type="paragraph" w:styleId="853">
    <w:name w:val="Основной текст с отступом 3"/>
    <w:basedOn w:val="844"/>
    <w:next w:val="853"/>
    <w:link w:val="84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54">
    <w:name w:val=" Знак Знак1 Знак Знак Знак Знак"/>
    <w:basedOn w:val="844"/>
    <w:next w:val="854"/>
    <w:link w:val="84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5">
    <w:name w:val="Основной текст 3"/>
    <w:basedOn w:val="844"/>
    <w:next w:val="855"/>
    <w:link w:val="856"/>
    <w:pPr>
      <w:spacing w:after="120"/>
    </w:pPr>
    <w:rPr>
      <w:sz w:val="16"/>
      <w:szCs w:val="16"/>
    </w:rPr>
  </w:style>
  <w:style w:type="character" w:styleId="856">
    <w:name w:val="Основной текст 3 Знак"/>
    <w:next w:val="856"/>
    <w:link w:val="855"/>
    <w:rPr>
      <w:sz w:val="16"/>
      <w:szCs w:val="16"/>
    </w:rPr>
  </w:style>
  <w:style w:type="table" w:styleId="857">
    <w:name w:val="Сетка таблицы"/>
    <w:basedOn w:val="847"/>
    <w:next w:val="857"/>
    <w:link w:val="844"/>
    <w:tblPr/>
  </w:style>
  <w:style w:type="paragraph" w:styleId="858">
    <w:name w:val="Текст выноски"/>
    <w:basedOn w:val="844"/>
    <w:next w:val="858"/>
    <w:link w:val="859"/>
    <w:rPr>
      <w:rFonts w:ascii="Tahoma" w:hAnsi="Tahoma" w:cs="Tahoma"/>
      <w:sz w:val="16"/>
      <w:szCs w:val="16"/>
    </w:rPr>
  </w:style>
  <w:style w:type="character" w:styleId="859">
    <w:name w:val="Текст выноски Знак"/>
    <w:next w:val="859"/>
    <w:link w:val="858"/>
    <w:rPr>
      <w:rFonts w:ascii="Tahoma" w:hAnsi="Tahoma" w:cs="Tahoma"/>
      <w:sz w:val="16"/>
      <w:szCs w:val="16"/>
    </w:rPr>
  </w:style>
  <w:style w:type="paragraph" w:styleId="860">
    <w:name w:val="ConsPlusNormal"/>
    <w:next w:val="860"/>
    <w:link w:val="844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character" w:styleId="861">
    <w:name w:val="Гиперссылка"/>
    <w:next w:val="861"/>
    <w:link w:val="844"/>
    <w:uiPriority w:val="99"/>
    <w:unhideWhenUsed/>
    <w:rPr>
      <w:color w:val="0000ff"/>
      <w:u w:val="single"/>
    </w:rPr>
  </w:style>
  <w:style w:type="character" w:styleId="862" w:default="1">
    <w:name w:val="Default Paragraph Font"/>
    <w:uiPriority w:val="1"/>
    <w:semiHidden/>
    <w:unhideWhenUsed/>
  </w:style>
  <w:style w:type="numbering" w:styleId="863" w:default="1">
    <w:name w:val="No List"/>
    <w:uiPriority w:val="99"/>
    <w:semiHidden/>
    <w:unhideWhenUsed/>
  </w:style>
  <w:style w:type="table" w:styleId="86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6</cp:revision>
  <dcterms:created xsi:type="dcterms:W3CDTF">2025-05-19T06:26:00Z</dcterms:created>
  <dcterms:modified xsi:type="dcterms:W3CDTF">2025-05-23T13:39:55Z</dcterms:modified>
  <cp:version>917504</cp:version>
</cp:coreProperties>
</file>