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28.05.2025</w:t>
      </w:r>
      <w:r>
        <w:rPr>
          <w:b/>
        </w:rPr>
        <w:t xml:space="preserve">         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№ </w:t>
      </w:r>
      <w:r>
        <w:rPr>
          <w:b/>
        </w:rPr>
        <w:t xml:space="preserve">914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</w:t>
      </w:r>
      <w:r>
        <w:rPr>
          <w:b/>
          <w:sz w:val="20"/>
          <w:szCs w:val="20"/>
        </w:rPr>
        <w:t xml:space="preserve">утверждении перспективного </w:t>
      </w:r>
      <w:r>
        <w:rPr>
          <w:b/>
          <w:sz w:val="20"/>
          <w:szCs w:val="20"/>
        </w:rPr>
        <w:t xml:space="preserve">плана проведения комплексн</w:t>
      </w:r>
      <w:r>
        <w:rPr>
          <w:b/>
          <w:sz w:val="20"/>
          <w:szCs w:val="20"/>
        </w:rPr>
        <w:t xml:space="preserve">ых </w:t>
      </w:r>
      <w:r>
        <w:rPr>
          <w:b/>
          <w:sz w:val="20"/>
          <w:szCs w:val="20"/>
        </w:rPr>
        <w:t xml:space="preserve">оцен</w:t>
      </w:r>
      <w:r>
        <w:rPr>
          <w:b/>
          <w:sz w:val="20"/>
          <w:szCs w:val="20"/>
        </w:rPr>
        <w:t xml:space="preserve">ок</w:t>
      </w:r>
      <w:r>
        <w:rPr>
          <w:b/>
          <w:sz w:val="20"/>
          <w:szCs w:val="20"/>
        </w:rPr>
        <w:t xml:space="preserve"> технического</w:t>
      </w:r>
      <w:r>
        <w:rPr>
          <w:b/>
          <w:sz w:val="20"/>
          <w:szCs w:val="20"/>
        </w:rPr>
        <w:t xml:space="preserve"> состояния защитных</w:t>
      </w:r>
      <w:r>
        <w:rPr>
          <w:b/>
          <w:sz w:val="20"/>
          <w:szCs w:val="20"/>
        </w:rPr>
        <w:t xml:space="preserve"> сооружений гражданской</w:t>
      </w:r>
      <w:r>
        <w:rPr>
          <w:b/>
          <w:sz w:val="20"/>
          <w:szCs w:val="20"/>
        </w:rPr>
        <w:t xml:space="preserve"> обороны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расположенных на территории Печенгского муниципального округа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соответствии с требованиями Федеральных</w:t>
      </w:r>
      <w:r>
        <w:t xml:space="preserve"> законов от 12.02.1998 № 28-ФЗ </w:t>
        <w:br/>
        <w:t xml:space="preserve">«О гражданской обороне», от 21.12.1994 </w:t>
      </w:r>
      <w:r>
        <w:t xml:space="preserve">№-68-ФЗ «О защите населения и территорий от чрезвычайных ситуаций природного и техногенного характер</w:t>
      </w:r>
      <w:r>
        <w:t xml:space="preserve">а</w:t>
      </w:r>
      <w:r>
        <w:t xml:space="preserve">»</w:t>
      </w:r>
      <w:r>
        <w:t xml:space="preserve">,</w:t>
      </w:r>
      <w:r>
        <w:rPr>
          <w:rFonts w:ascii="Calibri" w:hAnsi="Calibri"/>
        </w:rPr>
        <w:t xml:space="preserve"> </w:t>
      </w:r>
      <w:r>
        <w:t xml:space="preserve">от 06.10.2003</w:t>
      </w:r>
      <w:r>
        <w:t xml:space="preserve"> </w:t>
      </w:r>
      <w:r>
        <w:t xml:space="preserve">№ 131-ФЗ «</w:t>
      </w:r>
      <w:r>
        <w:t xml:space="preserve">Об общих принципах организации местного самоуп</w:t>
      </w:r>
      <w:r>
        <w:t xml:space="preserve">равления в Российской Федерации»</w:t>
      </w:r>
      <w:r>
        <w:t xml:space="preserve">, Приказа МЧ</w:t>
      </w:r>
      <w:r>
        <w:t xml:space="preserve">С России от 15.12.2002</w:t>
      </w:r>
      <w:r>
        <w:t xml:space="preserve"> № 583 «Об утверждении и введении в действие Правил эксплуатации защитных со</w:t>
      </w:r>
      <w:r>
        <w:t xml:space="preserve">оружений гражданской обороны», </w:t>
      </w:r>
      <w:r>
        <w:t xml:space="preserve">в целях организации</w:t>
      </w:r>
      <w:r>
        <w:t xml:space="preserve"> планирования и проведения мероприятий по подготовке, содержанию и готовности защитных с</w:t>
      </w:r>
      <w:r>
        <w:t xml:space="preserve">ооружений гражданской обороны, </w:t>
      </w:r>
      <w:r>
        <w:t xml:space="preserve">расположенных на территории Печенгского муниципального округа к приему укрываемых, их учету, техническому обслуживанию, текущему и капитальному ремонту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ind w:right="-1" w:firstLine="709"/>
        <w:jc w:val="both"/>
      </w:pPr>
      <w:r>
        <w:t xml:space="preserve">1.Утвердить перспективный план проведения комплексн</w:t>
      </w:r>
      <w:r>
        <w:t xml:space="preserve">ых</w:t>
      </w:r>
      <w:r>
        <w:t xml:space="preserve"> оцен</w:t>
      </w:r>
      <w:r>
        <w:t xml:space="preserve">ок</w:t>
      </w:r>
      <w:r>
        <w:t xml:space="preserve"> технического состояния защитных сооружений гражданской обороны, расположенных на территории Печенгского муниципального округа на 202</w:t>
      </w:r>
      <w:r>
        <w:t xml:space="preserve">5 </w:t>
      </w:r>
      <w:r>
        <w:t xml:space="preserve">- 202</w:t>
      </w:r>
      <w:r>
        <w:t xml:space="preserve">7</w:t>
      </w:r>
      <w:r>
        <w:t xml:space="preserve"> годы (далее - Перспективный план) согласно приложению №</w:t>
      </w:r>
      <w:r>
        <w:t xml:space="preserve"> </w:t>
      </w:r>
      <w:r>
        <w:t xml:space="preserve">1 к настоящему постановлению.</w:t>
      </w:r>
      <w:r/>
    </w:p>
    <w:p>
      <w:pPr>
        <w:ind w:right="-1" w:firstLine="709"/>
        <w:jc w:val="both"/>
      </w:pPr>
      <w:r>
        <w:t xml:space="preserve">2.</w:t>
      </w:r>
      <w:r>
        <w:t xml:space="preserve"> Утвердить </w:t>
      </w:r>
      <w:r>
        <w:t xml:space="preserve">состав </w:t>
      </w:r>
      <w:r>
        <w:t xml:space="preserve">к</w:t>
      </w:r>
      <w:r>
        <w:t xml:space="preserve">омиссии</w:t>
      </w:r>
      <w:r>
        <w:t xml:space="preserve"> по проведению комплексн</w:t>
      </w:r>
      <w:r>
        <w:t xml:space="preserve">ых</w:t>
      </w:r>
      <w:r>
        <w:t xml:space="preserve"> оцен</w:t>
      </w:r>
      <w:r>
        <w:t xml:space="preserve">ок</w:t>
      </w:r>
      <w:r>
        <w:t xml:space="preserve"> технического состояния защитных сооружений гражданской обороны</w:t>
      </w:r>
      <w:r>
        <w:t xml:space="preserve"> расположенных</w:t>
      </w:r>
      <w:r>
        <w:t xml:space="preserve"> на территории </w:t>
      </w:r>
      <w:r>
        <w:t xml:space="preserve">Печенгского муниципального округа</w:t>
      </w:r>
      <w:r>
        <w:t xml:space="preserve"> согласно приложению №</w:t>
      </w:r>
      <w:r>
        <w:t xml:space="preserve"> </w:t>
      </w:r>
      <w:r>
        <w:t xml:space="preserve">2 к настоящему постановлению.</w:t>
      </w:r>
      <w:r/>
    </w:p>
    <w:p>
      <w:pPr>
        <w:ind w:right="-1" w:firstLine="709"/>
        <w:jc w:val="both"/>
      </w:pPr>
      <w:r>
        <w:t xml:space="preserve">3. Рекомендовать руководителям организаций, эксплуатирующих и имеющих на своем балансе или в оперативном управлении защитные сооружения гражданской обороны:</w:t>
      </w:r>
      <w:r/>
    </w:p>
    <w:p>
      <w:pPr>
        <w:ind w:right="-1" w:firstLine="709"/>
        <w:jc w:val="both"/>
      </w:pPr>
      <w:r>
        <w:t xml:space="preserve">3.1. Создать комиссию по проведению комплексной проверки состояния защитных сооружений гражданской обороны и обеспечить организацию работ в соответствии с разделом IV «Оценка технического состояния защитных сооружений гражданской обороны» прика</w:t>
      </w:r>
      <w:r>
        <w:t xml:space="preserve">за МЧС России от 15.12.2002 </w:t>
      </w:r>
      <w:r>
        <w:t xml:space="preserve">№ 583 «Об утверждении и введении в действие Правил эксплуатации защитных сооружений гражданской обороны»;</w:t>
      </w:r>
      <w:r/>
    </w:p>
    <w:p>
      <w:pPr>
        <w:ind w:right="-1" w:firstLine="709"/>
        <w:jc w:val="both"/>
      </w:pPr>
      <w:r>
        <w:t xml:space="preserve">3.2. Провести комплексную оценку технического состояния защитных сооружений гражданской обороны в установленные Перспективным планом </w:t>
      </w:r>
      <w:r>
        <w:t xml:space="preserve">сроки, результаты  </w:t>
      </w:r>
      <w:r>
        <w:t xml:space="preserve">оформить актом по форме</w:t>
      </w:r>
      <w:r>
        <w:t xml:space="preserve">, установленным приложением №</w:t>
      </w:r>
      <w:r>
        <w:t xml:space="preserve"> 13 приказа МЧС России </w:t>
        <w:br/>
        <w:t xml:space="preserve">от </w:t>
      </w:r>
      <w:r>
        <w:t xml:space="preserve">15.12.2002 </w:t>
      </w:r>
      <w:r>
        <w:t xml:space="preserve">№ 583</w:t>
      </w:r>
      <w:r>
        <w:t xml:space="preserve"> </w:t>
      </w:r>
      <w:r>
        <w:t xml:space="preserve">«Об утверждении и введении в действие Правил эксплуатации защитных сооружений гражданской обороны»</w:t>
      </w:r>
      <w:r>
        <w:t xml:space="preserve">;</w:t>
      </w:r>
      <w:r>
        <w:t xml:space="preserve"> </w:t>
      </w:r>
      <w:r/>
    </w:p>
    <w:p>
      <w:pPr>
        <w:ind w:right="-1" w:firstLine="709"/>
        <w:jc w:val="both"/>
      </w:pPr>
      <w:r>
        <w:t xml:space="preserve">3.3.</w:t>
      </w:r>
      <w:r>
        <w:t xml:space="preserve"> </w:t>
      </w:r>
      <w:r>
        <w:t xml:space="preserve">Копию акта, указанного</w:t>
      </w:r>
      <w:r>
        <w:t xml:space="preserve"> в п. 3.2. настоящего постановления, направлять в </w:t>
      </w:r>
      <w:r>
        <w:t xml:space="preserve">отдел ГО, ЧС и ПБ </w:t>
      </w:r>
      <w:r>
        <w:t xml:space="preserve">администраци</w:t>
      </w:r>
      <w:r>
        <w:t xml:space="preserve">и</w:t>
      </w:r>
      <w:r>
        <w:t xml:space="preserve"> </w:t>
      </w:r>
      <w:r>
        <w:t xml:space="preserve">Печенгского муниципального округа</w:t>
      </w:r>
      <w:r>
        <w:t xml:space="preserve"> в течени</w:t>
      </w:r>
      <w:r>
        <w:t xml:space="preserve">е</w:t>
      </w:r>
      <w:r>
        <w:t xml:space="preserve"> 10 дней после проведения проверки защитных сооружений гражданской обороны.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4. 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5.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  <w:t xml:space="preserve">  </w:t>
      </w:r>
      <w:r>
        <w:t xml:space="preserve">   </w:t>
      </w:r>
      <w:r>
        <w:t xml:space="preserve">        А.В. Кузнецов</w:t>
      </w:r>
      <w:r/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</w:rPr>
        <w:t xml:space="preserve">Тарасов А.Г.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709" w:firstLine="4820"/>
        <w:widowControl w:val="off"/>
        <w:rPr>
          <w:szCs w:val="20"/>
        </w:rPr>
        <w:framePr w:hSpace="180" w:wrap="around" w:vAnchor="text" w:hAnchor="margin" w:xAlign="right" w:y="1"/>
      </w:pPr>
      <w:r>
        <w:rPr>
          <w:szCs w:val="20"/>
        </w:rPr>
        <w:t xml:space="preserve">Приложение </w:t>
      </w:r>
      <w:r>
        <w:rPr>
          <w:szCs w:val="20"/>
        </w:rPr>
        <w:t xml:space="preserve">№ </w:t>
      </w:r>
      <w:r>
        <w:rPr>
          <w:szCs w:val="20"/>
        </w:rPr>
        <w:t xml:space="preserve">1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  <w:framePr w:hSpace="180" w:wrap="around" w:vAnchor="text" w:hAnchor="margin" w:xAlign="right" w:y="1"/>
      </w:pPr>
      <w:r>
        <w:rPr>
          <w:szCs w:val="20"/>
        </w:rPr>
        <w:t xml:space="preserve">к постановлению администрации 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  <w:framePr w:hSpace="180" w:wrap="around" w:vAnchor="text" w:hAnchor="margin" w:xAlign="right" w:y="1"/>
      </w:pPr>
      <w:r>
        <w:rPr>
          <w:szCs w:val="20"/>
        </w:rPr>
        <w:t xml:space="preserve">Печенгского муниципального округа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  <w:framePr w:hSpace="180" w:wrap="around" w:vAnchor="text" w:hAnchor="margin" w:xAlign="right" w:y="1"/>
      </w:pPr>
      <w:r>
        <w:rPr>
          <w:szCs w:val="20"/>
        </w:rPr>
        <w:t xml:space="preserve">от </w:t>
      </w:r>
      <w:r>
        <w:rPr>
          <w:szCs w:val="20"/>
        </w:rPr>
        <w:t xml:space="preserve">28.05.2025 № </w:t>
      </w:r>
      <w:r>
        <w:rPr>
          <w:szCs w:val="20"/>
        </w:rPr>
        <w:t xml:space="preserve">914</w:t>
      </w:r>
      <w:r>
        <w:rPr>
          <w:szCs w:val="20"/>
        </w:rPr>
      </w:r>
      <w:r>
        <w:rPr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</w:pPr>
      <w:r>
        <w:t xml:space="preserve">Перспективный п</w:t>
      </w:r>
      <w:r>
        <w:t xml:space="preserve">лан </w:t>
      </w:r>
      <w:r>
        <w:t xml:space="preserve">проведения комплексных оценок технического состояния защитных </w:t>
      </w:r>
      <w:r>
        <w:t xml:space="preserve">сооружений </w:t>
      </w:r>
      <w:r>
        <w:t xml:space="preserve">гражданской обороны расположенных</w:t>
      </w:r>
      <w:r>
        <w:t xml:space="preserve"> на территории Печенгского муниципального округа на 2025 – 2027 годы</w:t>
      </w:r>
      <w:r/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9645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541"/>
        <w:gridCol w:w="3883"/>
        <w:gridCol w:w="1135"/>
        <w:gridCol w:w="1135"/>
        <w:gridCol w:w="113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п\</w:t>
            </w:r>
            <w:r>
              <w:rPr>
                <w:lang w:eastAsia="en-US"/>
              </w:rPr>
              <w:t xml:space="preserve">п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vMerge w:val="restart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инвентарный номер ПРУ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vMerge w:val="restart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объекта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5" w:type="dxa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Срок проверки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vAlign w:val="center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vAlign w:val="center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ind w:right="-1"/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724-52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43"/>
              <w:jc w:val="center"/>
              <w:rPr>
                <w:u w:val="single"/>
                <w:lang w:eastAsia="en-US"/>
              </w:rPr>
            </w:pPr>
            <w:r>
              <w:rPr>
                <w:sz w:val="18"/>
                <w:szCs w:val="18"/>
              </w:rPr>
              <w:t xml:space="preserve">п. Никель, </w:t>
            </w:r>
            <w:r>
              <w:rPr>
                <w:sz w:val="18"/>
                <w:szCs w:val="18"/>
              </w:rPr>
              <w:t xml:space="preserve">пр</w:t>
            </w:r>
            <w:r>
              <w:rPr>
                <w:sz w:val="18"/>
                <w:szCs w:val="18"/>
              </w:rPr>
              <w:t xml:space="preserve"> .</w:t>
            </w:r>
            <w:r>
              <w:rPr>
                <w:sz w:val="18"/>
                <w:szCs w:val="18"/>
              </w:rPr>
              <w:t xml:space="preserve">Гвардейский д.37, третий подъезд</w:t>
            </w:r>
            <w:r>
              <w:rPr>
                <w:u w:val="single"/>
                <w:lang w:eastAsia="en-US"/>
              </w:rPr>
            </w:r>
            <w:r>
              <w:rPr>
                <w:u w:val="single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744-52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п. Никель, </w:t>
            </w:r>
            <w:r>
              <w:rPr>
                <w:sz w:val="18"/>
                <w:szCs w:val="18"/>
              </w:rPr>
              <w:t xml:space="preserve">пр</w:t>
            </w:r>
            <w:r>
              <w:rPr>
                <w:sz w:val="18"/>
                <w:szCs w:val="18"/>
              </w:rPr>
              <w:t xml:space="preserve">.Г</w:t>
            </w:r>
            <w:r>
              <w:rPr>
                <w:sz w:val="18"/>
                <w:szCs w:val="18"/>
              </w:rPr>
              <w:t xml:space="preserve">вардейский</w:t>
            </w:r>
            <w:r>
              <w:rPr>
                <w:sz w:val="18"/>
                <w:szCs w:val="18"/>
              </w:rPr>
              <w:t xml:space="preserve"> д.37, возле первого подъезда с торца дома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732-52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п. Никель, пр. Гвардейский д.21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734-52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п. Никель, ул. </w:t>
            </w:r>
            <w:r>
              <w:rPr>
                <w:sz w:val="18"/>
                <w:szCs w:val="18"/>
              </w:rPr>
              <w:t xml:space="preserve">Бредова</w:t>
            </w:r>
            <w:r>
              <w:rPr>
                <w:sz w:val="18"/>
                <w:szCs w:val="18"/>
              </w:rPr>
              <w:t xml:space="preserve">,  д. 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777-52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Сафонова,  д. 9а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799-52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184405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u w:val="single"/>
                <w:lang w:eastAsia="en-US"/>
              </w:rPr>
            </w:pPr>
            <w:r>
              <w:rPr>
                <w:sz w:val="18"/>
                <w:szCs w:val="18"/>
              </w:rPr>
              <w:t xml:space="preserve">п. </w:t>
            </w:r>
            <w:r>
              <w:rPr>
                <w:sz w:val="18"/>
                <w:szCs w:val="18"/>
              </w:rPr>
              <w:t xml:space="preserve">Корзуново</w:t>
            </w:r>
            <w:r>
              <w:rPr>
                <w:sz w:val="18"/>
                <w:szCs w:val="18"/>
              </w:rPr>
              <w:t xml:space="preserve"> ул. Печенгская</w:t>
            </w:r>
            <w:r>
              <w:rPr>
                <w:u w:val="single"/>
                <w:lang w:eastAsia="en-US"/>
              </w:rPr>
            </w:r>
            <w:r>
              <w:rPr>
                <w:u w:val="single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727-52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п. Никель ул. </w:t>
            </w:r>
            <w:r>
              <w:rPr>
                <w:sz w:val="18"/>
                <w:szCs w:val="18"/>
              </w:rPr>
              <w:t xml:space="preserve">Октябрьская</w:t>
            </w:r>
            <w:r>
              <w:rPr>
                <w:sz w:val="18"/>
                <w:szCs w:val="18"/>
              </w:rPr>
              <w:t xml:space="preserve"> д.1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 31.12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737-52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п. Никель, ул. </w:t>
            </w:r>
            <w:r>
              <w:rPr>
                <w:sz w:val="18"/>
                <w:szCs w:val="18"/>
              </w:rPr>
              <w:t xml:space="preserve">Спортивная</w:t>
            </w:r>
            <w:r>
              <w:rPr>
                <w:sz w:val="18"/>
                <w:szCs w:val="18"/>
              </w:rPr>
              <w:t xml:space="preserve">, д.16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780-52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Юбилейная, д.13б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767-52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 здание АБК управления подвал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766-52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 здание АБК транспортного цеха подвал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726-52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п. Никель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ГМК», здание АБК цеха СП и ЭР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722-52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п. Никель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ГМК», здание АБК шахты  рудника «</w:t>
            </w:r>
            <w:r>
              <w:rPr>
                <w:sz w:val="18"/>
                <w:szCs w:val="18"/>
              </w:rPr>
              <w:t xml:space="preserve">Каула-Котсельваара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763-52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«Кольская ГМК» в районе ТЭЦ Цеха</w:t>
            </w:r>
            <w:r>
              <w:rPr>
                <w:sz w:val="18"/>
                <w:szCs w:val="18"/>
              </w:rPr>
              <w:t xml:space="preserve"> Э</w:t>
            </w:r>
            <w:r>
              <w:rPr>
                <w:sz w:val="18"/>
                <w:szCs w:val="18"/>
              </w:rPr>
              <w:t xml:space="preserve"> и ЭС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762-52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 ЦЭ и ЭС (бывшее ЦСП и ЭР)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761-52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 в районе АТЦ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760-52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«Кольская ГМК» горная выработка рудника «Северный»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759-52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Заполярный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АО «</w:t>
            </w:r>
            <w:r>
              <w:rPr>
                <w:sz w:val="18"/>
                <w:szCs w:val="18"/>
              </w:rPr>
              <w:t xml:space="preserve">Кольская</w:t>
            </w:r>
            <w:r>
              <w:rPr>
                <w:sz w:val="18"/>
                <w:szCs w:val="18"/>
              </w:rPr>
              <w:t xml:space="preserve"> ГМК» в районе главного корпуса ОФ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801-52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184421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п. Никель </w:t>
            </w:r>
            <w:r>
              <w:rPr>
                <w:sz w:val="18"/>
                <w:szCs w:val="18"/>
              </w:rPr>
              <w:t xml:space="preserve">промплощадка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АО «Кольская ГМК», шахта «</w:t>
            </w:r>
            <w:r>
              <w:rPr>
                <w:sz w:val="18"/>
                <w:szCs w:val="18"/>
              </w:rPr>
              <w:t xml:space="preserve">Каула-Котсельваара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горная выработка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</w:t>
            </w:r>
            <w:r>
              <w:rPr>
                <w:lang w:val="en-US" w:eastAsia="en-US"/>
              </w:rPr>
            </w:r>
            <w:r>
              <w:rPr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ascii="Calibri" w:hAnsi="Calibri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  <w:r>
              <w:rPr>
                <w:rFonts w:ascii="Calibri" w:hAnsi="Calibri"/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772-52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Ленина, д. 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1, 2 подъезд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775-52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Ленина, д. 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3, 4 подъезд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773-52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Ленина, д. 37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797-52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Юбилейная, д. 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793-52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Юбилейная, д. 10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795-52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Юбилейная, д. 12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770-52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Юбилейная, д. 14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789-52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</w:t>
            </w:r>
            <w:r>
              <w:rPr>
                <w:sz w:val="18"/>
                <w:szCs w:val="18"/>
              </w:rPr>
              <w:t xml:space="preserve">Бабикова</w:t>
            </w:r>
            <w:r>
              <w:rPr>
                <w:sz w:val="18"/>
                <w:szCs w:val="18"/>
              </w:rPr>
              <w:t xml:space="preserve">, д. 15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779-52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</w:t>
            </w:r>
            <w:r>
              <w:rPr>
                <w:sz w:val="18"/>
                <w:szCs w:val="18"/>
              </w:rPr>
              <w:t xml:space="preserve">Бабикова</w:t>
            </w:r>
            <w:r>
              <w:rPr>
                <w:sz w:val="18"/>
                <w:szCs w:val="18"/>
              </w:rPr>
              <w:t xml:space="preserve">, д. 18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790-52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</w:t>
            </w:r>
            <w:r>
              <w:rPr>
                <w:sz w:val="18"/>
                <w:szCs w:val="18"/>
              </w:rPr>
              <w:t xml:space="preserve">Бабикова</w:t>
            </w:r>
            <w:r>
              <w:rPr>
                <w:sz w:val="18"/>
                <w:szCs w:val="18"/>
              </w:rPr>
              <w:t xml:space="preserve">, д. 22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771-52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Заполярный, ул. </w:t>
            </w:r>
            <w:r>
              <w:rPr>
                <w:sz w:val="18"/>
                <w:szCs w:val="18"/>
              </w:rPr>
              <w:t xml:space="preserve">Бабикова</w:t>
            </w:r>
            <w:r>
              <w:rPr>
                <w:sz w:val="18"/>
                <w:szCs w:val="18"/>
              </w:rPr>
              <w:t xml:space="preserve">, д. 24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1" w:type="dxa"/>
            <w:textDirection w:val="lrTb"/>
            <w:noWrap w:val="false"/>
          </w:tcPr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784-52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184430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"/>
              <w:jc w:val="center"/>
              <w:rPr>
                <w:lang w:eastAsia="en-US"/>
              </w:rPr>
            </w:pPr>
            <w:r>
              <w:rPr>
                <w:sz w:val="18"/>
                <w:szCs w:val="18"/>
              </w:rPr>
              <w:t xml:space="preserve">г. </w:t>
            </w:r>
            <w:r>
              <w:rPr>
                <w:sz w:val="18"/>
                <w:szCs w:val="18"/>
              </w:rPr>
              <w:t xml:space="preserve">Заполярный</w:t>
            </w:r>
            <w:r>
              <w:rPr>
                <w:sz w:val="18"/>
                <w:szCs w:val="18"/>
              </w:rPr>
              <w:t xml:space="preserve">, ул. Сафонова, д. 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/>
                <w:sz w:val="22"/>
                <w:szCs w:val="22"/>
                <w:lang w:val="en-US" w:eastAsia="en-US"/>
              </w:rP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5" w:type="dxa"/>
            <w:textDirection w:val="lrTb"/>
            <w:noWrap w:val="false"/>
          </w:tcPr>
          <w:p>
            <w:r>
              <w:rPr>
                <w:lang w:eastAsia="en-US"/>
              </w:rPr>
              <w:t xml:space="preserve">До 31.12</w:t>
            </w:r>
            <w:r/>
          </w:p>
        </w:tc>
      </w:tr>
    </w:tbl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left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709" w:firstLine="4820"/>
        <w:widowControl w:val="off"/>
        <w:rPr>
          <w:szCs w:val="20"/>
        </w:rPr>
      </w:pPr>
      <w:r>
        <w:rPr>
          <w:szCs w:val="20"/>
        </w:rPr>
        <w:t xml:space="preserve">Приложение </w:t>
      </w:r>
      <w:r>
        <w:rPr>
          <w:szCs w:val="20"/>
        </w:rPr>
        <w:t xml:space="preserve">№ </w:t>
      </w:r>
      <w:r>
        <w:rPr>
          <w:szCs w:val="20"/>
        </w:rPr>
        <w:t xml:space="preserve">2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</w:pPr>
      <w:r>
        <w:rPr>
          <w:szCs w:val="20"/>
        </w:rPr>
        <w:t xml:space="preserve">к постановлению администрации 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</w:pPr>
      <w:r>
        <w:rPr>
          <w:szCs w:val="20"/>
        </w:rPr>
        <w:t xml:space="preserve">Печенгского муниципального округа</w:t>
      </w:r>
      <w:r>
        <w:rPr>
          <w:szCs w:val="20"/>
        </w:rPr>
      </w:r>
      <w:r>
        <w:rPr>
          <w:szCs w:val="20"/>
        </w:rPr>
      </w:r>
    </w:p>
    <w:p>
      <w:pPr>
        <w:ind w:left="709" w:firstLine="4820"/>
        <w:widowControl w:val="off"/>
        <w:rPr>
          <w:szCs w:val="20"/>
        </w:rPr>
      </w:pPr>
      <w:r>
        <w:rPr>
          <w:szCs w:val="20"/>
        </w:rPr>
        <w:t xml:space="preserve">от </w:t>
      </w:r>
      <w:r>
        <w:rPr>
          <w:szCs w:val="20"/>
        </w:rPr>
        <w:t xml:space="preserve">28.05.2025 № </w:t>
      </w:r>
      <w:r>
        <w:rPr>
          <w:szCs w:val="20"/>
        </w:rPr>
        <w:t xml:space="preserve">914</w:t>
      </w:r>
      <w:r>
        <w:rPr>
          <w:szCs w:val="20"/>
        </w:rPr>
      </w:r>
      <w:r>
        <w:rPr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  <w:t xml:space="preserve">СОСТАВ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Cs/>
        </w:rPr>
      </w:pPr>
      <w:r/>
      <w:bookmarkStart w:id="0" w:name="_GoBack"/>
      <w:r/>
      <w:bookmarkEnd w:id="0"/>
      <w:r>
        <w:rPr>
          <w:bCs/>
        </w:rPr>
        <w:t xml:space="preserve">комиссии по проведению комплексной оценки технического состояния защитных сооружений гражданской обороны</w:t>
      </w:r>
      <w:r>
        <w:rPr>
          <w:bCs/>
        </w:rPr>
        <w:t xml:space="preserve">, расположенных на территории Печенгского муниципального округа</w:t>
      </w:r>
      <w:r>
        <w:rPr>
          <w:bCs/>
        </w:rPr>
      </w:r>
      <w:r>
        <w:rPr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540"/>
        <w:jc w:val="both"/>
        <w:widowControl w:val="off"/>
      </w:pPr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2724"/>
        <w:gridCol w:w="355"/>
        <w:gridCol w:w="6492"/>
      </w:tblGrid>
      <w:tr>
        <w:tblPrEx/>
        <w:trPr>
          <w:trHeight w:val="828"/>
        </w:trPr>
        <w:tc>
          <w:tcPr>
            <w:tcW w:w="272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Кузнецов</w:t>
            </w:r>
            <w:r/>
          </w:p>
          <w:p>
            <w:pPr>
              <w:jc w:val="both"/>
              <w:widowControl w:val="off"/>
            </w:pPr>
            <w:r>
              <w:t xml:space="preserve">Андрей Валентинович</w:t>
            </w:r>
            <w:r>
              <w:t xml:space="preserve">     </w:t>
            </w:r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Глав</w:t>
            </w:r>
            <w:r>
              <w:t xml:space="preserve">а</w:t>
            </w:r>
            <w:r>
              <w:t xml:space="preserve"> Печенгского муниципального округа, председатель комиссии</w:t>
            </w:r>
            <w:r>
              <w:t xml:space="preserve">;</w:t>
            </w:r>
            <w:r/>
          </w:p>
        </w:tc>
      </w:tr>
      <w:tr>
        <w:tblPrEx/>
        <w:trPr>
          <w:trHeight w:val="828"/>
        </w:trPr>
        <w:tc>
          <w:tcPr>
            <w:tcW w:w="272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Соболев</w:t>
            </w:r>
            <w:r/>
          </w:p>
          <w:p>
            <w:pPr>
              <w:jc w:val="both"/>
              <w:widowControl w:val="off"/>
            </w:pPr>
            <w:r>
              <w:t xml:space="preserve">Андрей Владимирович         </w:t>
            </w:r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начальник отдела ГО, ЧС и ПБ администрации Печенгского муниципального округа, заместитель председателя комиссии</w:t>
            </w:r>
            <w:r>
              <w:t xml:space="preserve">;</w:t>
            </w:r>
            <w:r/>
          </w:p>
          <w:p>
            <w:pPr>
              <w:jc w:val="both"/>
              <w:widowControl w:val="off"/>
            </w:pPr>
            <w:r/>
            <w:r/>
          </w:p>
        </w:tc>
      </w:tr>
      <w:tr>
        <w:tblPrEx/>
        <w:trPr>
          <w:trHeight w:val="828"/>
        </w:trPr>
        <w:tc>
          <w:tcPr>
            <w:tcW w:w="272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Тарасов </w:t>
            </w:r>
            <w:r/>
          </w:p>
          <w:p>
            <w:pPr>
              <w:jc w:val="both"/>
              <w:widowControl w:val="off"/>
            </w:pPr>
            <w:r>
              <w:t xml:space="preserve">Александр Геннадьевич</w:t>
            </w:r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ведущий специалист отдела ГО, ЧС и ПБ администрации Печенгского муниципального округа, секретарь комиссии</w:t>
            </w:r>
            <w:r>
              <w:t xml:space="preserve">;</w:t>
            </w:r>
            <w:r/>
          </w:p>
        </w:tc>
      </w:tr>
      <w:tr>
        <w:tblPrEx/>
        <w:trPr>
          <w:trHeight w:val="244"/>
        </w:trPr>
        <w:tc>
          <w:tcPr>
            <w:tcW w:w="272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Члены комиссии:</w:t>
            </w:r>
            <w:r/>
          </w:p>
          <w:p>
            <w:pPr>
              <w:jc w:val="both"/>
              <w:widowControl w:val="off"/>
            </w:pPr>
            <w:r/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</w:tr>
      <w:tr>
        <w:tblPrEx/>
        <w:trPr>
          <w:trHeight w:val="828"/>
        </w:trPr>
        <w:tc>
          <w:tcPr>
            <w:tcW w:w="2724" w:type="dxa"/>
            <w:textDirection w:val="lrTb"/>
            <w:noWrap w:val="false"/>
          </w:tcPr>
          <w:p>
            <w:r>
              <w:t xml:space="preserve">Ганоченко</w:t>
            </w:r>
            <w:r>
              <w:t xml:space="preserve"> </w:t>
            </w:r>
            <w:r/>
          </w:p>
          <w:p>
            <w:r>
              <w:t xml:space="preserve">Дмитрий Юрьевич</w:t>
            </w:r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</w:pPr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советник Главы Печенгского муниципального округа;</w:t>
            </w:r>
            <w:r/>
          </w:p>
          <w:p>
            <w:pPr>
              <w:jc w:val="both"/>
              <w:widowControl w:val="off"/>
            </w:pPr>
            <w:r/>
            <w:r/>
          </w:p>
          <w:p>
            <w:pPr>
              <w:jc w:val="both"/>
              <w:widowControl w:val="off"/>
            </w:pPr>
            <w:r/>
            <w:r/>
          </w:p>
        </w:tc>
      </w:tr>
      <w:tr>
        <w:tblPrEx/>
        <w:trPr>
          <w:trHeight w:val="828"/>
        </w:trPr>
        <w:tc>
          <w:tcPr>
            <w:tcW w:w="2724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t xml:space="preserve">Лаврущик </w:t>
            </w:r>
            <w:r>
              <w:rPr>
                <w:highlight w:val="none"/>
              </w:rPr>
            </w:r>
          </w:p>
          <w:p>
            <w:r>
              <w:rPr>
                <w:highlight w:val="none"/>
              </w:rPr>
              <w:t xml:space="preserve">Светлана Сергеевна</w:t>
            </w:r>
            <w:r>
              <w:rPr>
                <w:highlight w:val="none"/>
              </w:rPr>
            </w:r>
            <w:r/>
          </w:p>
        </w:tc>
        <w:tc>
          <w:tcPr>
            <w:tcW w:w="35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rPr>
                <w:b w:val="0"/>
                <w:bCs w:val="0"/>
              </w:rPr>
              <w:t xml:space="preserve">-</w:t>
            </w:r>
            <w:r>
              <w:rPr>
                <w:b w:val="0"/>
                <w:bCs w:val="0"/>
              </w:rPr>
            </w:r>
            <w:r/>
          </w:p>
          <w:p>
            <w:r/>
            <w:r/>
          </w:p>
        </w:tc>
        <w:tc>
          <w:tcPr>
            <w:tcW w:w="6492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председатель комитета по управлению имуществом администрации Печенгского муниципального округа (по согласованию);</w:t>
            </w:r>
            <w:r/>
          </w:p>
        </w:tc>
      </w:tr>
      <w:tr>
        <w:tblPrEx/>
        <w:trPr>
          <w:trHeight w:val="662"/>
        </w:trPr>
        <w:tc>
          <w:tcPr>
            <w:tcW w:w="2724" w:type="dxa"/>
            <w:textDirection w:val="lrTb"/>
            <w:noWrap w:val="false"/>
          </w:tcPr>
          <w:p>
            <w:r>
              <w:t xml:space="preserve">Жулидова</w:t>
            </w:r>
            <w:r>
              <w:t xml:space="preserve"> </w:t>
            </w:r>
            <w:r/>
          </w:p>
          <w:p>
            <w:r>
              <w:t xml:space="preserve">Наталия Юрьевна</w:t>
            </w:r>
            <w:r/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</w:pPr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начальник отдела строительства и ЖКХ администрации Печенгского муниципального округа (по согласованию);</w:t>
            </w:r>
            <w:r/>
          </w:p>
          <w:p>
            <w:pPr>
              <w:jc w:val="both"/>
              <w:widowControl w:val="off"/>
            </w:pPr>
            <w:r/>
            <w:r/>
          </w:p>
        </w:tc>
      </w:tr>
      <w:tr>
        <w:tblPrEx/>
        <w:trPr>
          <w:trHeight w:val="798"/>
        </w:trPr>
        <w:tc>
          <w:tcPr>
            <w:tcW w:w="2724" w:type="dxa"/>
            <w:textDirection w:val="lrTb"/>
            <w:noWrap w:val="false"/>
          </w:tcPr>
          <w:p>
            <w:r>
              <w:t xml:space="preserve">Кудряшова</w:t>
            </w:r>
            <w:r/>
          </w:p>
          <w:p>
            <w:r>
              <w:t xml:space="preserve">Ольга Леонидовна</w:t>
            </w:r>
            <w:r/>
          </w:p>
          <w:p>
            <w:r/>
            <w:r/>
          </w:p>
        </w:tc>
        <w:tc>
          <w:tcPr>
            <w:tcW w:w="355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649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директор ООО «</w:t>
            </w:r>
            <w:r>
              <w:t xml:space="preserve">Благоникель</w:t>
            </w:r>
            <w:r>
              <w:t xml:space="preserve">»</w:t>
            </w:r>
            <w:r>
              <w:t xml:space="preserve"> (по согласованию).</w:t>
            </w:r>
            <w:r/>
          </w:p>
          <w:p>
            <w:pPr>
              <w:jc w:val="both"/>
              <w:widowControl w:val="off"/>
            </w:pPr>
            <w:r/>
            <w:r/>
          </w:p>
        </w:tc>
      </w:tr>
    </w:tbl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3 Char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5 Char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689"/>
    <w:link w:val="702"/>
    <w:uiPriority w:val="10"/>
    <w:rPr>
      <w:sz w:val="48"/>
      <w:szCs w:val="48"/>
    </w:rPr>
  </w:style>
  <w:style w:type="character" w:styleId="672">
    <w:name w:val="Subtitle Char"/>
    <w:basedOn w:val="689"/>
    <w:link w:val="704"/>
    <w:uiPriority w:val="11"/>
    <w:rPr>
      <w:sz w:val="24"/>
      <w:szCs w:val="24"/>
    </w:rPr>
  </w:style>
  <w:style w:type="character" w:styleId="673">
    <w:name w:val="Quote Char"/>
    <w:link w:val="706"/>
    <w:uiPriority w:val="29"/>
    <w:rPr>
      <w:i/>
    </w:rPr>
  </w:style>
  <w:style w:type="character" w:styleId="674">
    <w:name w:val="Intense Quote Char"/>
    <w:link w:val="708"/>
    <w:uiPriority w:val="30"/>
    <w:rPr>
      <w:i/>
    </w:rPr>
  </w:style>
  <w:style w:type="character" w:styleId="675">
    <w:name w:val="Header Char"/>
    <w:basedOn w:val="689"/>
    <w:link w:val="710"/>
    <w:uiPriority w:val="99"/>
  </w:style>
  <w:style w:type="character" w:styleId="676">
    <w:name w:val="Caption Char"/>
    <w:basedOn w:val="714"/>
    <w:link w:val="712"/>
    <w:uiPriority w:val="99"/>
  </w:style>
  <w:style w:type="character" w:styleId="677">
    <w:name w:val="Footnote Text Char"/>
    <w:link w:val="841"/>
    <w:uiPriority w:val="99"/>
    <w:rPr>
      <w:sz w:val="18"/>
    </w:rPr>
  </w:style>
  <w:style w:type="character" w:styleId="678">
    <w:name w:val="Endnote Text Char"/>
    <w:link w:val="844"/>
    <w:uiPriority w:val="99"/>
    <w:rPr>
      <w:sz w:val="20"/>
    </w:rPr>
  </w:style>
  <w:style w:type="paragraph" w:styleId="679" w:default="1">
    <w:name w:val="Normal"/>
    <w:qFormat/>
    <w:rPr>
      <w:sz w:val="24"/>
      <w:szCs w:val="24"/>
    </w:rPr>
  </w:style>
  <w:style w:type="paragraph" w:styleId="680">
    <w:name w:val="Heading 1"/>
    <w:basedOn w:val="679"/>
    <w:next w:val="679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82">
    <w:name w:val="Heading 3"/>
    <w:basedOn w:val="679"/>
    <w:next w:val="679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4">
    <w:name w:val="Heading 5"/>
    <w:basedOn w:val="679"/>
    <w:next w:val="67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5">
    <w:name w:val="Heading 6"/>
    <w:basedOn w:val="679"/>
    <w:next w:val="67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79"/>
    <w:next w:val="679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89"/>
    <w:link w:val="702"/>
    <w:uiPriority w:val="10"/>
    <w:rPr>
      <w:sz w:val="48"/>
      <w:szCs w:val="48"/>
    </w:rPr>
  </w:style>
  <w:style w:type="paragraph" w:styleId="704">
    <w:name w:val="Subtitle"/>
    <w:basedOn w:val="679"/>
    <w:next w:val="679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89"/>
    <w:link w:val="704"/>
    <w:uiPriority w:val="11"/>
    <w:rPr>
      <w:sz w:val="24"/>
      <w:szCs w:val="24"/>
    </w:rPr>
  </w:style>
  <w:style w:type="paragraph" w:styleId="706">
    <w:name w:val="Quote"/>
    <w:basedOn w:val="679"/>
    <w:next w:val="679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79"/>
    <w:next w:val="679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79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89"/>
    <w:link w:val="710"/>
    <w:uiPriority w:val="99"/>
  </w:style>
  <w:style w:type="paragraph" w:styleId="712">
    <w:name w:val="Footer"/>
    <w:basedOn w:val="679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89"/>
    <w:uiPriority w:val="99"/>
  </w:style>
  <w:style w:type="paragraph" w:styleId="71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9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9"/>
    <w:uiPriority w:val="99"/>
    <w:unhideWhenUsed/>
    <w:rPr>
      <w:vertAlign w:val="superscript"/>
    </w:rPr>
  </w:style>
  <w:style w:type="paragraph" w:styleId="844">
    <w:name w:val="endnote text"/>
    <w:basedOn w:val="679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9"/>
    <w:uiPriority w:val="99"/>
    <w:semiHidden/>
    <w:unhideWhenUsed/>
    <w:rPr>
      <w:vertAlign w:val="superscript"/>
    </w:rPr>
  </w:style>
  <w:style w:type="paragraph" w:styleId="847">
    <w:name w:val="toc 1"/>
    <w:basedOn w:val="679"/>
    <w:next w:val="679"/>
    <w:uiPriority w:val="39"/>
    <w:unhideWhenUsed/>
    <w:pPr>
      <w:spacing w:after="57"/>
    </w:pPr>
  </w:style>
  <w:style w:type="paragraph" w:styleId="848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49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0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1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2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3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54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55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9"/>
    <w:next w:val="679"/>
    <w:uiPriority w:val="99"/>
    <w:unhideWhenUsed/>
  </w:style>
  <w:style w:type="character" w:styleId="858" w:customStyle="1">
    <w:name w:val="Заголовок 2 Знак"/>
    <w:link w:val="68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83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79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79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79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90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79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79"/>
    <w:uiPriority w:val="34"/>
    <w:qFormat/>
    <w:pPr>
      <w:contextualSpacing/>
      <w:ind w:left="720"/>
    </w:pPr>
  </w:style>
  <w:style w:type="character" w:styleId="874">
    <w:name w:val="Hyperlink"/>
    <w:basedOn w:val="689"/>
    <w:unhideWhenUsed/>
    <w:rPr>
      <w:color w:val="0000ff" w:themeColor="hyperlink"/>
      <w:u w:val="single"/>
    </w:rPr>
  </w:style>
  <w:style w:type="numbering" w:styleId="875" w:customStyle="1">
    <w:name w:val="Нет списка1"/>
    <w:next w:val="69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A2E8C-F5FA-424B-9A9E-867865774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savina</dc:creator>
  <cp:revision>6</cp:revision>
  <dcterms:created xsi:type="dcterms:W3CDTF">2025-05-21T09:18:00Z</dcterms:created>
  <dcterms:modified xsi:type="dcterms:W3CDTF">2025-05-30T12:04:36Z</dcterms:modified>
</cp:coreProperties>
</file>