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framePr w:wrap="auto" w:vAnchor="page" w:hAnchor="margin" w:y="1"/>
      </w:pPr>
      <w:r>
        <w:t xml:space="preserve"> </w:t>
      </w:r>
      <w:r>
        <w:t xml:space="preserve"> </w:t>
      </w:r>
      <w:r/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/>
      <w:bookmarkStart w:id="0" w:name="Par29"/>
      <w:r/>
      <w:bookmarkStart w:id="1" w:name="Par1"/>
      <w:r/>
      <w:bookmarkStart w:id="2" w:name="Par36"/>
      <w:r/>
      <w:bookmarkStart w:id="3" w:name="Par49"/>
      <w:r/>
      <w:bookmarkEnd w:id="0"/>
      <w:r/>
      <w:bookmarkEnd w:id="1"/>
      <w:r/>
      <w:bookmarkEnd w:id="2"/>
      <w:r/>
      <w:bookmarkEnd w:id="3"/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2708321</wp:posOffset>
                </wp:positionH>
                <wp:positionV relativeFrom="paragraph">
                  <wp:posOffset>-90458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3.25pt;mso-position-horizontal:absolute;mso-position-vertical-relative:text;margin-top:-7.12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о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30.05.2025                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     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      № 949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О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внесении изменений в муниципальную программу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Печенгского муниципального округа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«Культура» 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на 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2025 - 2027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годы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, утвержденную постановлением администрации 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br/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Печенгс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кого мун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иципального округа от 01.11.2024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№ 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1708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12"/>
          <w:between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Руководствуясь статьей 179 Бюджетного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повышени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эффективности использования бюджетных средств,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cs="Times New Roman"/>
          <w:sz w:val="24"/>
          <w:szCs w:val="18"/>
          <w:lang w:eastAsia="ru-RU"/>
        </w:rPr>
      </w:pPr>
      <w:r>
        <w:rPr>
          <w:rFonts w:ascii="Times New Roman" w:hAnsi="Times New Roman" w:cs="Times New Roman"/>
          <w:sz w:val="24"/>
          <w:szCs w:val="18"/>
          <w:lang w:eastAsia="ru-RU"/>
        </w:rPr>
      </w:r>
      <w:r>
        <w:rPr>
          <w:rFonts w:ascii="Times New Roman" w:hAnsi="Times New Roman" w:cs="Times New Roman"/>
          <w:sz w:val="24"/>
          <w:szCs w:val="18"/>
          <w:lang w:eastAsia="ru-RU"/>
        </w:rPr>
      </w:r>
      <w:r>
        <w:rPr>
          <w:rFonts w:ascii="Times New Roman" w:hAnsi="Times New Roman" w:cs="Times New Roman"/>
          <w:sz w:val="24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18"/>
          <w:lang w:eastAsia="ru-RU"/>
        </w:rPr>
      </w:pPr>
      <w:r>
        <w:rPr>
          <w:rFonts w:ascii="Times New Roman" w:hAnsi="Times New Roman" w:cs="Times New Roman"/>
          <w:sz w:val="24"/>
          <w:szCs w:val="18"/>
          <w:lang w:eastAsia="ru-RU"/>
        </w:rPr>
      </w:r>
      <w:r>
        <w:rPr>
          <w:rFonts w:ascii="Times New Roman" w:hAnsi="Times New Roman" w:cs="Times New Roman"/>
          <w:sz w:val="24"/>
          <w:szCs w:val="18"/>
          <w:lang w:eastAsia="ru-RU"/>
        </w:rPr>
      </w:r>
      <w:r>
        <w:rPr>
          <w:rFonts w:ascii="Times New Roman" w:hAnsi="Times New Roman" w:cs="Times New Roman"/>
          <w:sz w:val="24"/>
          <w:szCs w:val="18"/>
          <w:lang w:eastAsia="ru-RU"/>
        </w:rPr>
      </w:r>
    </w:p>
    <w:p>
      <w:pPr>
        <w:contextualSpacing/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1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 М</w:t>
      </w:r>
      <w:r>
        <w:rPr>
          <w:rFonts w:ascii="Times New Roman" w:hAnsi="Times New Roman" w:cs="Times New Roman"/>
          <w:sz w:val="24"/>
          <w:szCs w:val="24"/>
        </w:rPr>
        <w:t xml:space="preserve">униципальную программу Печенгского муниципального округа «</w:t>
      </w:r>
      <w:r>
        <w:rPr>
          <w:rFonts w:ascii="Times New Roman" w:hAnsi="Times New Roman" w:cs="Times New Roman"/>
          <w:sz w:val="24"/>
          <w:szCs w:val="24"/>
        </w:rPr>
        <w:t xml:space="preserve">Культура</w:t>
      </w:r>
      <w:r>
        <w:rPr>
          <w:rFonts w:ascii="Times New Roman" w:hAnsi="Times New Roman" w:cs="Times New Roman"/>
          <w:sz w:val="24"/>
          <w:szCs w:val="24"/>
        </w:rPr>
        <w:t xml:space="preserve">» на 2025 - 2027 годы, утвержденную постановлением администрации</w:t>
      </w:r>
      <w:r>
        <w:rPr>
          <w:rFonts w:ascii="Times New Roman" w:hAnsi="Times New Roman" w:cs="Times New Roman"/>
          <w:bCs/>
          <w:sz w:val="24"/>
          <w:szCs w:val="24"/>
        </w:rPr>
        <w:t xml:space="preserve"> Печенгского муниципального округа от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01.11.2024 № 1708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(в редакции постановления администрации Печенгс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кого муниципального округа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от 2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4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.01.2025 № 102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) </w:t>
      </w:r>
      <w:r>
        <w:rPr>
          <w:rFonts w:ascii="Times New Roman" w:hAnsi="Times New Roman" w:cs="Times New Roman"/>
          <w:bCs/>
          <w:sz w:val="24"/>
          <w:szCs w:val="24"/>
        </w:rPr>
        <w:t xml:space="preserve">изложить</w:t>
      </w:r>
      <w:r>
        <w:rPr>
          <w:rFonts w:ascii="Times New Roman" w:hAnsi="Times New Roman" w:cs="Times New Roman"/>
          <w:bCs/>
          <w:sz w:val="24"/>
          <w:szCs w:val="24"/>
        </w:rPr>
        <w:t xml:space="preserve"> в редакции </w:t>
      </w:r>
      <w:r>
        <w:rPr>
          <w:rFonts w:ascii="Times New Roman" w:hAnsi="Times New Roman" w:cs="Times New Roman"/>
          <w:sz w:val="24"/>
          <w:szCs w:val="24"/>
        </w:rPr>
        <w:t xml:space="preserve">согласно приложению</w:t>
      </w:r>
      <w:bookmarkStart w:id="4" w:name="_GoBack"/>
      <w:r/>
      <w:bookmarkEnd w:id="4"/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78"/>
        <w:numPr>
          <w:ilvl w:val="0"/>
          <w:numId w:val="9"/>
        </w:numPr>
        <w:contextualSpacing/>
        <w:ind w:left="0" w:firstLine="709"/>
        <w:jc w:val="both"/>
        <w:widowControl w:val="off"/>
        <w:rPr>
          <w:rFonts w:eastAsia="Times New Roman"/>
          <w:sz w:val="24"/>
          <w:szCs w:val="24"/>
        </w:rPr>
      </w:pPr>
      <w:r>
        <w:rPr>
          <w:sz w:val="24"/>
          <w:szCs w:val="24"/>
          <w:lang w:eastAsia="en-US"/>
        </w:rPr>
        <w:t xml:space="preserve">Настоящее пост</w:t>
      </w:r>
      <w:r>
        <w:rPr>
          <w:sz w:val="24"/>
          <w:szCs w:val="24"/>
          <w:lang w:eastAsia="en-US"/>
        </w:rPr>
        <w:t xml:space="preserve">а</w:t>
      </w:r>
      <w:r>
        <w:rPr>
          <w:sz w:val="24"/>
          <w:szCs w:val="24"/>
          <w:lang w:eastAsia="en-US"/>
        </w:rPr>
        <w:t xml:space="preserve">новление вступает в силу с 02.06</w:t>
      </w:r>
      <w:r>
        <w:rPr>
          <w:sz w:val="24"/>
          <w:szCs w:val="24"/>
          <w:lang w:eastAsia="en-US"/>
        </w:rPr>
        <w:t xml:space="preserve">.2025 года.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pStyle w:val="878"/>
        <w:numPr>
          <w:ilvl w:val="0"/>
          <w:numId w:val="10"/>
        </w:numPr>
        <w:contextualSpacing/>
        <w:ind w:left="0"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Печенгского муниципального округа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sz w:val="24"/>
          <w:szCs w:val="24"/>
        </w:rPr>
        <w:t xml:space="preserve">  А.В. Кузнецов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4"/>
          <w:highlight w:val="none"/>
        </w:rPr>
      </w:r>
      <w:r>
        <w:rPr>
          <w:rFonts w:ascii="Times New Roman" w:hAnsi="Times New Roman" w:cs="Times New Roman"/>
          <w:bCs/>
          <w:sz w:val="20"/>
          <w:szCs w:val="24"/>
          <w:highlight w:val="none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bCs/>
          <w:sz w:val="20"/>
          <w:szCs w:val="24"/>
          <w:highlight w:val="none"/>
        </w:rPr>
      </w:r>
      <w:r>
        <w:rPr>
          <w:rFonts w:ascii="Times New Roman" w:hAnsi="Times New Roman" w:cs="Times New Roman"/>
          <w:bCs/>
          <w:sz w:val="20"/>
          <w:szCs w:val="24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spacing w:after="0" w:line="240" w:lineRule="auto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bCs/>
          <w:sz w:val="20"/>
          <w:szCs w:val="24"/>
        </w:rPr>
        <w:t xml:space="preserve">Большакова О.В., 52725</w:t>
      </w:r>
      <w:r>
        <w:rPr>
          <w:rFonts w:ascii="Times New Roman" w:hAnsi="Times New Roman" w:cs="Times New Roman"/>
          <w:sz w:val="20"/>
          <w:szCs w:val="24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ind w:left="5529"/>
        <w:jc w:val="both"/>
        <w:pageBreakBefore/>
        <w:spacing w:after="0" w:line="240" w:lineRule="auto"/>
        <w:tabs>
          <w:tab w:val="left" w:pos="6237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Приложение</w:t>
      </w: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left="5529"/>
        <w:jc w:val="both"/>
        <w:spacing w:after="0" w:line="240" w:lineRule="auto"/>
        <w:tabs>
          <w:tab w:val="left" w:pos="5565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к постановлению администрации Печенгского муниципального округа 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left="5529"/>
        <w:jc w:val="both"/>
        <w:spacing w:after="0" w:line="240" w:lineRule="auto"/>
        <w:tabs>
          <w:tab w:val="left" w:pos="5565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от 30.05.2025 № 949 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left="5529"/>
        <w:jc w:val="both"/>
        <w:spacing w:after="0" w:line="240" w:lineRule="auto"/>
        <w:tabs>
          <w:tab w:val="left" w:pos="5565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left="5529"/>
        <w:spacing w:after="0" w:line="240" w:lineRule="auto"/>
        <w:tabs>
          <w:tab w:val="left" w:pos="5580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«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left="5529"/>
        <w:jc w:val="both"/>
        <w:spacing w:after="0" w:line="240" w:lineRule="auto"/>
        <w:tabs>
          <w:tab w:val="left" w:pos="720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к постановлению администрации Печенгского муниципального округа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left="552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от 01.11.2024 № 1708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right="-1" w:firstLine="5387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right="-1" w:firstLine="5387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right="-1"/>
        <w:jc w:val="center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МУНИЦИПАЛЬНАЯ ПРОГРАММА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</w:p>
    <w:p>
      <w:pPr>
        <w:ind w:right="-1"/>
        <w:jc w:val="center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</w:p>
    <w:p>
      <w:pPr>
        <w:ind w:right="-1"/>
        <w:jc w:val="center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«Культура» на 2025 - 2027 годы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Cs/>
          <w:sz w:val="24"/>
          <w:szCs w:val="24"/>
        </w:rPr>
        <w:outlineLvl w:val="1"/>
      </w:pP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24"/>
          <w:szCs w:val="24"/>
        </w:rPr>
        <w:outlineLvl w:val="1"/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ПАСПОРТ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Cs/>
          <w:sz w:val="24"/>
          <w:szCs w:val="24"/>
        </w:rPr>
        <w:outlineLvl w:val="1"/>
      </w:pPr>
      <w:r>
        <w:rPr>
          <w:rFonts w:ascii="Times New Roman" w:hAnsi="Times New Roman" w:cs="Times New Roman"/>
          <w:bCs/>
          <w:sz w:val="24"/>
          <w:szCs w:val="24"/>
        </w:rPr>
        <w:t xml:space="preserve">муниципальной программы Печенгского муниципального округа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Cs/>
          <w:sz w:val="24"/>
          <w:szCs w:val="24"/>
        </w:rPr>
        <w:outlineLvl w:val="1"/>
      </w:pPr>
      <w:r>
        <w:rPr>
          <w:rFonts w:ascii="Times New Roman" w:hAnsi="Times New Roman" w:cs="Times New Roman"/>
          <w:bCs/>
          <w:sz w:val="24"/>
          <w:szCs w:val="24"/>
        </w:rPr>
        <w:t xml:space="preserve">«Культура» на 2025 - 2027 годы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Cs/>
          <w:sz w:val="24"/>
          <w:szCs w:val="24"/>
        </w:rPr>
        <w:outlineLvl w:val="1"/>
      </w:pP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tbl>
      <w:tblPr>
        <w:tblW w:w="5000" w:type="pct"/>
        <w:jc w:val="center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71"/>
        <w:gridCol w:w="7616"/>
      </w:tblGrid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09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Цель 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91" w:type="pct"/>
            <w:textDirection w:val="lrTb"/>
            <w:noWrap w:val="false"/>
          </w:tcPr>
          <w:p>
            <w:pPr>
              <w:ind w:left="-4"/>
              <w:jc w:val="both"/>
              <w:spacing w:after="0" w:line="240" w:lineRule="auto"/>
              <w:tabs>
                <w:tab w:val="left" w:pos="28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творческого и культурного развития личности, участия населения в культурной жизни Печенгского муниципального округа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256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09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Задачи 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vertAlign w:val="superscript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vertAlign w:val="superscript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891" w:type="pct"/>
            <w:textDirection w:val="lrTb"/>
            <w:noWrap w:val="false"/>
          </w:tcPr>
          <w:p>
            <w:pPr>
              <w:pStyle w:val="878"/>
              <w:numPr>
                <w:ilvl w:val="0"/>
                <w:numId w:val="4"/>
              </w:numPr>
              <w:ind w:left="0" w:firstLine="32"/>
              <w:jc w:val="both"/>
              <w:tabs>
                <w:tab w:val="left" w:pos="0" w:leader="none"/>
                <w:tab w:val="left" w:pos="30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Создание условий по организации досуга, развития народного творчества и обеспечение жителей округа услугами организаций культуры. Обеспечение развития творческого потенциала и организация досуга населения.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878"/>
              <w:numPr>
                <w:ilvl w:val="0"/>
                <w:numId w:val="4"/>
              </w:numPr>
              <w:ind w:left="0" w:firstLine="32"/>
              <w:jc w:val="both"/>
              <w:tabs>
                <w:tab w:val="left" w:pos="-217" w:leader="none"/>
                <w:tab w:val="left" w:pos="30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Повышение доступности и качества услуг дополнительного образования в сфере культуры и искусства. Совершенствование системы выявления и сопровождения одарённых детей, их специальной поддержки.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878"/>
              <w:numPr>
                <w:ilvl w:val="0"/>
                <w:numId w:val="4"/>
              </w:numPr>
              <w:ind w:left="66" w:hanging="34"/>
              <w:jc w:val="both"/>
              <w:tabs>
                <w:tab w:val="left" w:pos="0" w:leader="none"/>
                <w:tab w:val="left" w:pos="30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Сохранение, развитие и формирование культурных традиций, создание единого социокультурного пространства.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  <w:trHeight w:val="2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09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Показатели 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91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Выполнение муниципального задания учреждениями культуры.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2. Количество клубных формирований.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3. Количество культурно-массовых мероприятий, организованных учреждениями культуры.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4. Число посетителей (зрителей) культурно-массовых мероприятий.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5. Уровень удовлетворенности населения округа качеством предоставления услуг учреждениями культуры.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6. Количество книговыдач в библиотеках.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7. Число посетителей музея.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8. Количество предметов основного музейного фонда.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9. Выполнение указов Президента Российской Федерации по оплате труда и начислениям на выплаты по оплате труда работникам муниципальных учреждений.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10. Обеспечение развития и укрепления материально-технической базы учреждений культуры.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11. Проведение текущих ремонтов в учреждениях культуры.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12. Проведение капитального ремонта здания ДК «Восход».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13. Количество учреждений культуры, победителей конкурса получателей государственной поддержки.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14. Выполнение муниципального задания учреждениями дополнительного образования в сфере культуры и искусства.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15. Доля детей, осваивающих дополнительные общеразвивающие программы.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16. Доля детей, осваивающих дополнительные предпрофессиональные программы.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17. Обеспечение развития и укрепления материально-технической базы учреждений дополнительного образования в сфере культуры и искусства.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18. Проведение текущих ремонтов в учреждениях дополнительного образования в сфере культуры и искусства.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19. Число участников творческих конкурсов, фестивалей, выставок.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20. Количество культурно-массовых, праздничных мероприятий и мероприятий, посвященных памятным датам Российской Федерации, Мурманской области, Печенгского муниципального округа.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21. Количество мероприятий для лиц с ограниченными возможностями здоровья.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22. Количество благоустроенных памятников культурного наследия.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23. Количество созданных модельных муниципальных библиотек.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09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Сроки и этапы реализации 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91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2025 - 2027 годы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  <w:trHeight w:val="70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09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Перечень подпрограмм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vertAlign w:val="superscript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vertAlign w:val="superscript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9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1 «Развитие учреждений культуры».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2 «Развитие системы дополнительного образования в сфере культуры и искусства».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3 «Развитие культуры».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542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09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Финансовое обеспечение 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89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муниципальной программе: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85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712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,5 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14964,9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14964,9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0,0 тыс.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274191,3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91397,1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91397,1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91397,1 тыс.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548156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,3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193373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,1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198453,5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156329,7 тыс.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14400,0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4800,0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4800,0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4800,0 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09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Справочно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: объем налоговых расходов муниципального образования в рамках реализации 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91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Всего: 642,0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214,0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214,0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214,0 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09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Ожидаемые конечные результаты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реализации 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vertAlign w:val="superscript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vertAlign w:val="superscript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91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количества населения, посещающего учреждения культуры всех типов.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Сохранение количества обучающихся в учреждениях дополнительного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образования в сфере культуры и искусства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27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09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Ответственный исполнитель 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91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Отдел культуры, спорта и молодежной политики администрации Печенгского муниципального округа (далее – </w:t>
            </w:r>
            <w:r>
              <w:rPr>
                <w:rFonts w:ascii="Times New Roman" w:hAnsi="Times New Roman" w:eastAsia="Times New Roman" w:cs="Times New Roman"/>
                <w:sz w:val="24"/>
                <w:szCs w:val="20"/>
                <w:lang w:eastAsia="ru-RU"/>
              </w:rPr>
              <w:t xml:space="preserve">отдел </w:t>
            </w:r>
            <w:r>
              <w:rPr>
                <w:rFonts w:ascii="Times New Roman" w:hAnsi="Times New Roman" w:eastAsia="Times New Roman" w:cs="Times New Roman"/>
                <w:sz w:val="24"/>
                <w:szCs w:val="20"/>
                <w:lang w:eastAsia="ru-RU"/>
              </w:rPr>
              <w:t xml:space="preserve">КСиМП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09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Исполнители 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91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Муниципальное бюджетное учреждение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Историко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- краеведческий музей Печенгского муниципального округа» (далее – Музей).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Муниципальное бюджетное культурно-просветительное учреждение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Печенгское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межпоселенческое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библиотечное объединение» (далее – МБО).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Муниципальное бюджетное учреждение культуры клубного типа «Дворец культуры «Восход» Печенгского муниципального округа (далее – ДК «Восход»).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Муниципальное бюджетное учреждение культуры клубного типа «Дворец культуры «Октябрь» Печенгского муниципального округа (далее – ДК «Октябрь»).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Муниципальное бюджетное учреждение «Культурно-досуговый центр «Платформа» (далее – КДЦ «Платформа»).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Муниципальное бюджетное учреждение дополнительного образования «Детская музыкальная школа № 1 имени А.А. Келаревой» (далее - ДМШ № 1).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Муниципальное бюджетное учреждение дополнительного образования «Детская музыкальная школа № 2» (далее - ДМШ № 2).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Муниципальное бюджетное учреждение дополнительного образования «Детская музыкальная школа № 3» (далее - ДМШ № 3).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Муниципальное бюджетное учреждение дополнительного образования «Детская художественная школа № 1» (далее - ДХШ № 1).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Муниципальное бюджетное учреждение дополнительного образования «Детская художественная школа № 2» (далее - ДХШ № 2).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казенное учреждение «Управление по обеспечению деятельности администрации Печенгского муниципального округа» (Отдел работы с населением МКУ «Управление по ОДА» (далее – ОРН)).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Муниципальное бюджетное учреждение дополнительного образовани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я «Детская музыкальная школа» (далее - ДМШ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).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Муниципальное бюджетное учреждение дополнительного образования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Детская художественная школа» (далее - ДХШ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).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Муниципальное бюджетное учреждение культуры "Центр культуры Печенгского муниципального округа»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(далее – МБУК «ЦКПМО»).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09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Соисполнители 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91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</w:tbl>
    <w:p>
      <w:pPr>
        <w:pStyle w:val="868"/>
        <w:ind w:left="0" w:firstLine="709"/>
        <w:jc w:val="center"/>
        <w:widowControl w:val="off"/>
        <w:tabs>
          <w:tab w:val="left" w:pos="426" w:leader="none"/>
        </w:tabs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pStyle w:val="868"/>
        <w:numPr>
          <w:ilvl w:val="0"/>
          <w:numId w:val="8"/>
        </w:numPr>
        <w:ind w:left="0" w:firstLine="709"/>
        <w:jc w:val="center"/>
        <w:widowControl w:val="off"/>
        <w:tabs>
          <w:tab w:val="left" w:pos="426" w:leader="none"/>
          <w:tab w:val="left" w:pos="993" w:leader="none"/>
        </w:tabs>
        <w:rPr>
          <w:b/>
          <w:bCs/>
        </w:rPr>
      </w:pPr>
      <w:r>
        <w:rPr>
          <w:b/>
          <w:bCs/>
        </w:rPr>
        <w:t xml:space="preserve">Характеристика проблемы, на решение которой направлена программа</w:t>
      </w:r>
      <w:r>
        <w:rPr>
          <w:b/>
          <w:bCs/>
        </w:rPr>
      </w:r>
      <w:r>
        <w:rPr>
          <w:b/>
          <w:bCs/>
        </w:rPr>
      </w:r>
    </w:p>
    <w:p>
      <w:pPr>
        <w:pStyle w:val="868"/>
        <w:ind w:left="0" w:firstLine="709"/>
        <w:jc w:val="center"/>
        <w:widowControl w:val="off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72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Одними из при</w:t>
      </w:r>
      <w:r>
        <w:rPr>
          <w:rFonts w:ascii="Times New Roman" w:hAnsi="Times New Roman" w:cs="Times New Roman"/>
          <w:sz w:val="24"/>
          <w:szCs w:val="24"/>
        </w:rPr>
        <w:t xml:space="preserve">оритетных направлений социально-экономического развития Печенгского муниципального округа являются стабильное развитие сферы культуры, сохранение культурных и нравственных ценностей. Данная программа разработана в целях комплексного решения данных проблем.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72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Деятельность учреждений культуры и дополнительного обр</w:t>
      </w:r>
      <w:r>
        <w:rPr>
          <w:rFonts w:ascii="Times New Roman" w:hAnsi="Times New Roman" w:cs="Times New Roman"/>
          <w:sz w:val="24"/>
          <w:szCs w:val="24"/>
        </w:rPr>
        <w:t xml:space="preserve">азования в сфере культуры и искусства является одной из важнейших составляющих современной культурной жизни. Библиотеки, музей, клубы, музыкальные и художественные школы выполняют образовательные, воспитательные, досуговые функции в обществе, способствуют </w:t>
      </w:r>
      <w:r>
        <w:rPr>
          <w:rFonts w:ascii="Times New Roman" w:hAnsi="Times New Roman" w:cs="Times New Roman"/>
          <w:sz w:val="24"/>
          <w:szCs w:val="24"/>
        </w:rPr>
        <w:t xml:space="preserve">формированию его нравственно-эстетических основ, духовных потребностей и</w:t>
      </w:r>
      <w:r>
        <w:rPr>
          <w:rFonts w:ascii="Times New Roman" w:hAnsi="Times New Roman" w:cs="Times New Roman"/>
          <w:sz w:val="24"/>
          <w:szCs w:val="24"/>
        </w:rPr>
        <w:t xml:space="preserve"> ценностных ориентиров. Учреждения культуры являются одной из форм информационного обеспечения общества. Собранные и сохраняемые ими фонды, коллекции представляют собой часть культурного наследия и информационного ресурса Печенгского муниципального округа.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720" w:leader="none"/>
        </w:tabs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 течение последних лет в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Печенгском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муниципальном округе успешно осуществлялась реализация ряда муниципальных программ, напра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вленных на развитие и модернизацию учреждений культуры, дополнительного образования в сфере культуры и искусства, что позволило обеспечить высокий уровень доступности учреждений культуры и качества дополнительного образования в сфере культуры и искусства. 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72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состоянию </w:t>
      </w:r>
      <w:r>
        <w:rPr>
          <w:rFonts w:ascii="Times New Roman" w:hAnsi="Times New Roman" w:cs="Times New Roman"/>
          <w:sz w:val="24"/>
          <w:szCs w:val="24"/>
        </w:rPr>
        <w:t xml:space="preserve">на 01.01.2025 структура учреждений культуры Печенгского муниципального округа представлена 10 муниципальными учреждениями: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дополнительного образования детей – 5, из них - 3 ДМШ и 2 ДХШ;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МБО - 1, в состав, которой входят 2 библиотеки и 8 филиалов библиотек, расположенных по всей территории Печенгского муниципального округа;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20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музей – 1;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20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учреждения культурно-досугового типа - 3 (ДК, КДЦ).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Музей является своеобразной визитной карточкой муниципального образования, обладает огромным образовательно-воспитательным потенциалом, так как он сохраняет и экспонирует подлинные исторические документы о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Печенгском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муниципальном округе. Работники музея проводят поисково-собирательную работу, изучение и описание музейных предметов, создают экспозиции, проводят экскурсии, вечера, конференции, что способствует досугу жителей округа.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Библиотеки - наиболее распространенный демократический институт современного общества, приближенный к местам проживания граждан в городах и селах и максимально доступный. Библиотек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 участвуют в экономическом и социальном развитии территории округа, заботятся о развитии подрастающего поколения и о людях, нуждающихся в социокультурной поддержке. Традиционно библиотеки выполняют миссию просветительства, сохранения культурного наследия.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Для дальнейшего развития библиотечного и музейного дела в округе необходимо и дальше улучшать каче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ство обслуживания населения за счет внедрения современных компьютерных технологий, повышения уровня информационной культуры жителей округа, совершенствования и формирования в соответствии с современными требованиями материально-технической базы учреждений.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дополнительного образования детей - выявление и развитие способностей каждого </w:t>
      </w:r>
      <w:r>
        <w:rPr>
          <w:rFonts w:ascii="Times New Roman" w:hAnsi="Times New Roman" w:cs="Times New Roman"/>
          <w:sz w:val="24"/>
          <w:szCs w:val="24"/>
        </w:rPr>
        <w:t xml:space="preserve">ребенка, формирование духовно богатой, свободной, творчески мыслящей, социально активной личности, обладающей прочными знаниями, ориентированной на высокие нравственные ценности, способной впоследствии на участие в социальном и духовном развитии общества.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Основными базовыми принципами деятельности данных учреждений, являются творческое самовыражение, культурно-творческая деятельность и интеллектуальный досуг. </w:t>
      </w:r>
      <w:r>
        <w:rPr>
          <w:rFonts w:ascii="Times New Roman" w:hAnsi="Times New Roman" w:cs="Times New Roman"/>
          <w:sz w:val="24"/>
          <w:szCs w:val="24"/>
        </w:rPr>
        <w:t xml:space="preserve">В округе существует необходимость проведения крупных мероприятий с целью сохранения российских праздников и памятных дат, привлечению к участию в них наибольшего количества населения. Особенно важным представляется развитие различных форм семейного отдыха.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 настоящее время в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Печенгском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муниципальном округе сфера культуры и искусства в большей степени удовлетворяет культурные потребности населения и  находится на достаточно высоком уровне. В то же время существует ряд проблем, решение которых необходимо для дальнейшего развития  всех </w:t>
      </w:r>
      <w:r>
        <w:rPr>
          <w:rFonts w:ascii="Times New Roman" w:hAnsi="Times New Roman" w:cs="Times New Roman"/>
          <w:sz w:val="24"/>
          <w:szCs w:val="24"/>
        </w:rPr>
        <w:t xml:space="preserve">отраслей сферы культуры и искусства, а именно: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недостаточный уровень материально-технической базы учреждений культуры и искусства, ее несоответствие современным требованиям к качеству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предоставления услуг;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проблемы кадрового обеспечения учреждений, связанные со старением кадров и с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отсутствием квалифицированных специалистов в сфере культуры и искусства.</w:t>
      </w:r>
      <w:r>
        <w:rPr>
          <w:rFonts w:ascii="Times New Roman" w:hAnsi="Times New Roman" w:cs="Times New Roman"/>
          <w:sz w:val="24"/>
          <w:szCs w:val="24"/>
          <w:u w:val="single"/>
        </w:rPr>
      </w:r>
      <w:r>
        <w:rPr>
          <w:rFonts w:ascii="Times New Roman" w:hAnsi="Times New Roman" w:cs="Times New Roman"/>
          <w:sz w:val="24"/>
          <w:szCs w:val="24"/>
          <w:u w:val="single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Целью данной программы является обеспечение творческого и культурного развития личности, участия населения в культурной жизни Печенгского муниципального округа.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Достижение поставленной цели будет решаться посредством исполнения следующих задач: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numPr>
          <w:ilvl w:val="0"/>
          <w:numId w:val="2"/>
        </w:numPr>
        <w:ind w:left="0" w:right="0" w:firstLine="709"/>
        <w:jc w:val="both"/>
        <w:spacing w:after="0" w:line="240" w:lineRule="auto"/>
        <w:widowControl w:val="off"/>
        <w:tabs>
          <w:tab w:val="left" w:pos="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Создание условий по организации досуга, развития народного творчества и обеспечение жителей округа услугами организаций культуры. Обеспечение развития творческого потенциала и организация досуга населения.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numPr>
          <w:ilvl w:val="0"/>
          <w:numId w:val="2"/>
        </w:num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Повышение доступности и качества услуг дополнительного образования в сфере культуры и искусства.</w:t>
      </w:r>
      <w:r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Совершенствование системы выявления и сопровождения одарённых детей, их специальной поддержки.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numPr>
          <w:ilvl w:val="0"/>
          <w:numId w:val="2"/>
        </w:numPr>
        <w:ind w:left="0" w:right="0" w:firstLine="709"/>
        <w:jc w:val="both"/>
        <w:spacing w:after="0" w:line="240" w:lineRule="auto"/>
        <w:widowControl w:val="off"/>
        <w:tabs>
          <w:tab w:val="left" w:pos="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Сохранение, развитие и формирование культурных традиций Печенгского муниципального округа, создание единого социокультурного пространства.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ходе успешной реализации программы будет обеспечено: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увеличение доли населения, посещающего учреждения культуры всех типов;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увеличение доли населения, участвующего в культурно-массовых мероприятиях.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Кроме того, успешная реализация программы позволит сохранить культурное и историческое на</w:t>
      </w:r>
      <w:r>
        <w:rPr>
          <w:rFonts w:ascii="Times New Roman" w:hAnsi="Times New Roman" w:cs="Times New Roman"/>
          <w:sz w:val="24"/>
          <w:szCs w:val="24"/>
        </w:rPr>
        <w:t xml:space="preserve">следие, обеспечит расширение доступа населения к культурным ценностям и информации, обеспечит реализацию прав граждан на участие в культурной жизни, а также будет способствовать реализации творческого потенциала населения Печенгского муниципального округа.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20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8"/>
        <w:numPr>
          <w:ilvl w:val="0"/>
          <w:numId w:val="8"/>
        </w:numPr>
        <w:jc w:val="center"/>
        <w:widowControl w:val="off"/>
        <w:rPr>
          <w:b/>
          <w:bCs/>
        </w:rPr>
        <w:outlineLvl w:val="1"/>
      </w:pPr>
      <w:r>
        <w:rPr>
          <w:b/>
          <w:bCs/>
        </w:rPr>
        <w:t xml:space="preserve">Основные цели и задачи программы с указанием сроков и этапов ее реализации, </w:t>
        <w:br/>
        <w:t xml:space="preserve">а также перечень основных мероприятий и показателей</w:t>
      </w:r>
      <w:r>
        <w:rPr>
          <w:b/>
          <w:bCs/>
        </w:rPr>
      </w:r>
      <w:r>
        <w:rPr>
          <w:b/>
          <w:bCs/>
        </w:rPr>
      </w:r>
    </w:p>
    <w:p>
      <w:pPr>
        <w:pStyle w:val="868"/>
        <w:jc w:val="center"/>
        <w:widowControl w:val="off"/>
        <w:tabs>
          <w:tab w:val="left" w:pos="709" w:leader="none"/>
        </w:tabs>
        <w:rPr>
          <w:bCs/>
        </w:rPr>
        <w:outlineLvl w:val="1"/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pStyle w:val="868"/>
        <w:ind w:left="0" w:right="0" w:firstLine="709"/>
        <w:jc w:val="both"/>
        <w:widowControl w:val="off"/>
        <w:tabs>
          <w:tab w:val="left" w:pos="709" w:leader="none"/>
        </w:tabs>
        <w:rPr>
          <w:bCs/>
        </w:rPr>
        <w:outlineLvl w:val="1"/>
      </w:pPr>
      <w:r>
        <w:rPr>
          <w:bCs/>
        </w:rPr>
        <w:t xml:space="preserve">Целью данной программы является обеспечение творческого и культурного развития личности, участия населения в культурной жизни Печенгского муниципального округа.</w:t>
      </w:r>
      <w:r>
        <w:rPr>
          <w:bCs/>
        </w:rPr>
      </w:r>
      <w:r>
        <w:rPr>
          <w:bCs/>
        </w:rPr>
      </w:r>
    </w:p>
    <w:p>
      <w:pPr>
        <w:pStyle w:val="868"/>
        <w:ind w:left="0"/>
        <w:jc w:val="center"/>
        <w:widowControl w:val="off"/>
        <w:tabs>
          <w:tab w:val="left" w:pos="709" w:leader="none"/>
        </w:tabs>
        <w:rPr>
          <w:bCs/>
          <w:u w:val="single"/>
        </w:rPr>
        <w:outlineLvl w:val="1"/>
      </w:pPr>
      <w:r>
        <w:rPr>
          <w:bCs/>
          <w:u w:val="single"/>
        </w:rPr>
      </w:r>
      <w:r>
        <w:rPr>
          <w:bCs/>
          <w:u w:val="single"/>
        </w:rPr>
      </w:r>
      <w:r>
        <w:rPr>
          <w:bCs/>
          <w:u w:val="single"/>
        </w:rPr>
      </w:r>
    </w:p>
    <w:p>
      <w:pPr>
        <w:pStyle w:val="868"/>
        <w:ind w:left="0"/>
        <w:jc w:val="center"/>
        <w:widowControl w:val="off"/>
        <w:tabs>
          <w:tab w:val="left" w:pos="709" w:leader="none"/>
        </w:tabs>
        <w:rPr>
          <w:bCs/>
          <w:u w:val="single"/>
        </w:rPr>
        <w:outlineLvl w:val="1"/>
      </w:pPr>
      <w:r>
        <w:rPr>
          <w:bCs/>
          <w:u w:val="single"/>
        </w:rPr>
        <w:t xml:space="preserve">Основные показатели эффективности реализации программы</w:t>
      </w:r>
      <w:r>
        <w:rPr>
          <w:bCs/>
          <w:u w:val="single"/>
        </w:rPr>
      </w:r>
      <w:r>
        <w:rPr>
          <w:bCs/>
          <w:u w:val="single"/>
        </w:rPr>
      </w:r>
    </w:p>
    <w:p>
      <w:pPr>
        <w:pStyle w:val="868"/>
        <w:ind w:left="0"/>
        <w:jc w:val="center"/>
        <w:widowControl w:val="off"/>
        <w:tabs>
          <w:tab w:val="left" w:pos="709" w:leader="none"/>
        </w:tabs>
        <w:rPr>
          <w:bCs/>
          <w:u w:val="single"/>
        </w:rPr>
        <w:outlineLvl w:val="1"/>
      </w:pPr>
      <w:r>
        <w:rPr>
          <w:bCs/>
          <w:u w:val="single"/>
        </w:rPr>
      </w:r>
      <w:r>
        <w:rPr>
          <w:bCs/>
          <w:u w:val="single"/>
        </w:rPr>
      </w:r>
      <w:r>
        <w:rPr>
          <w:bCs/>
          <w:u w:val="single"/>
        </w:rPr>
      </w:r>
    </w:p>
    <w:tbl>
      <w:tblPr>
        <w:tblW w:w="9781" w:type="dxa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2537"/>
        <w:gridCol w:w="708"/>
        <w:gridCol w:w="9"/>
        <w:gridCol w:w="853"/>
        <w:gridCol w:w="849"/>
        <w:gridCol w:w="859"/>
        <w:gridCol w:w="853"/>
        <w:gridCol w:w="851"/>
        <w:gridCol w:w="1417"/>
      </w:tblGrid>
      <w:tr>
        <w:tblPrEx/>
        <w:trPr>
          <w:trHeight w:val="227"/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№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п/п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3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Цели, задачи, показатели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Ед. изм.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7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Значение показателя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Источник данных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45"/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37" w:type="dxa"/>
            <w:vMerge w:val="continue"/>
            <w:textDirection w:val="lrTb"/>
            <w:noWrap w:val="false"/>
          </w:tcPr>
          <w:p>
            <w:pPr>
              <w:ind w:firstLine="709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Merge w:val="continue"/>
            <w:textDirection w:val="lrTb"/>
            <w:noWrap w:val="false"/>
          </w:tcPr>
          <w:p>
            <w:pPr>
              <w:ind w:firstLine="709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отчёт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оценка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6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Годы реализации Программы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continue"/>
            <w:textDirection w:val="lrTb"/>
            <w:noWrap w:val="false"/>
          </w:tcPr>
          <w:p>
            <w:pPr>
              <w:ind w:firstLine="709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</w:tr>
      <w:tr>
        <w:tblPrEx/>
        <w:trPr>
          <w:gridAfter w:val="1"/>
          <w:trHeight w:val="235"/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37" w:type="dxa"/>
            <w:vMerge w:val="continue"/>
            <w:textDirection w:val="lrTb"/>
            <w:noWrap w:val="false"/>
          </w:tcPr>
          <w:p>
            <w:pPr>
              <w:ind w:firstLine="709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Merge w:val="continue"/>
            <w:textDirection w:val="lrTb"/>
            <w:noWrap w:val="false"/>
          </w:tcPr>
          <w:p>
            <w:pPr>
              <w:ind w:firstLine="709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2023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2024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2025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2026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2027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3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dxa"/>
            <w:textDirection w:val="lrTb"/>
            <w:noWrap w:val="false"/>
          </w:tcPr>
          <w:p>
            <w:pPr>
              <w:ind w:left="-4"/>
              <w:jc w:val="center"/>
              <w:spacing w:after="0" w:line="240" w:lineRule="auto"/>
              <w:tabs>
                <w:tab w:val="left" w:pos="280" w:leader="none"/>
              </w:tabs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93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Показатели цели муниципальной программы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</w:tr>
      <w:tr>
        <w:tblPrEx/>
        <w:trPr>
          <w:trHeight w:val="23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dxa"/>
            <w:textDirection w:val="lrTb"/>
            <w:noWrap w:val="false"/>
          </w:tcPr>
          <w:p>
            <w:pPr>
              <w:ind w:left="-4"/>
              <w:jc w:val="center"/>
              <w:spacing w:after="0" w:line="240" w:lineRule="auto"/>
              <w:tabs>
                <w:tab w:val="left" w:pos="28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ind w:left="-4"/>
              <w:jc w:val="center"/>
              <w:spacing w:after="0" w:line="240" w:lineRule="auto"/>
              <w:tabs>
                <w:tab w:val="left" w:pos="28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1.1.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936" w:type="dxa"/>
            <w:textDirection w:val="lrTb"/>
            <w:noWrap w:val="false"/>
          </w:tcPr>
          <w:p>
            <w:pPr>
              <w:ind w:left="-4"/>
              <w:jc w:val="both"/>
              <w:spacing w:after="0" w:line="240" w:lineRule="auto"/>
              <w:tabs>
                <w:tab w:val="left" w:pos="28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творческого и культурного развития личности, участия населения в культурной жизни Печенгского муниципального округа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23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2.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936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Показатели задач муниципальной программы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36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2.1.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936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Подпрограмма 1. «Развитие учреждений культуры»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6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2.1.1.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37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Выполнение муниципального задания учреждениями культуры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%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Годовые отчеты МБО, Музея,              ДК «Октябрь»,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ДК «Восход», КДЦ</w:t>
            </w:r>
            <w:r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«Платформа»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МБУК «ЦКПМО»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45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2.1.2.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37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клубных формирований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Шт.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54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54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54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Отчёты                  ДК «Октябрь»,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ДК «Восход», КДЦ</w:t>
            </w:r>
            <w:r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«Платформа»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МБУК «ЦКПМО»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45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2.1.3.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37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культурно-массовых мероприятий,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организованных учреждениями культуры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Шт.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451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450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450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450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450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Отчёты                   ДК «Октябрь»,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ДК «Восход»,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КДЦ</w:t>
            </w:r>
            <w:r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«Платформа»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МБУК «ЦКПМО»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7-НК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45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2.1.4.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37" w:type="dxa"/>
            <w:textDirection w:val="lrTb"/>
            <w:noWrap w:val="false"/>
          </w:tcPr>
          <w:p>
            <w:pPr>
              <w:ind w:right="22"/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Число посетителей (зрителей) культурно-массовых мероприятий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Чел.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114129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110000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110000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115000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115000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Отчёты                   ДК «Октябрь»,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ДК «Восход», КДЦ «Платформа»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МБУК «ЦКПМО»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7- НК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45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2.1.5.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37" w:type="dxa"/>
            <w:textDirection w:val="lrTb"/>
            <w:noWrap w:val="false"/>
          </w:tcPr>
          <w:p>
            <w:pPr>
              <w:ind w:right="22"/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Уровень удовлетворенности населения округа качеством предоставления услуг учреждениями культуры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%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95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95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96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97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97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Отчёты                     ДК «Октябрь»,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ДК «Восход», КДЦ</w:t>
            </w:r>
            <w:r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«Платформа»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МБУК «ЦКПМО»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45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2.1.6.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37" w:type="dxa"/>
            <w:textDirection w:val="lrTb"/>
            <w:noWrap w:val="false"/>
          </w:tcPr>
          <w:p>
            <w:pPr>
              <w:ind w:right="22"/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книговыдач в  библиотеках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Шт.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459229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 менее 500000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 менее 500000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 менее 510000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 менее 510000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Годовые отчеты МБО, 6-НК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45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2.1.7.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37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Число посетителей музея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Чел.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2654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 менее 2700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 менее 2700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 менее 2700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 менее 2700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Отчеты Музея,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стат.форма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8-НК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45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2.1.8.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37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предметов основного музейного фонда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Ед.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1490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1495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1500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1510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1510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Отчеты Музея,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стат.форма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8-НК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45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2.1.9.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3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Выполнение указов Президента Российской Федерации по оплате труда и начислениям на выплаты по оплате труда работникам  муниципальных учреждений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%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Годовые отчеты МБО, Музея,                     ДК «Октябрь»,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ДК «Восход», КДЦ</w:t>
            </w:r>
            <w:r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«Платформа»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МБУК «ЦКПМО»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45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2.1.10.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37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развития и укрепления материально-технической базы учреждений культуры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да/ нет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Отчеты исполнителей программы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24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2.1.11.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37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текущих ремонтов в учреждениях культуры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да/ нет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Отчеты исполнителей программы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24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2.1.12.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37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капитального ремонта здания ДК «Восход»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да/ нет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Отчет  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  ДК «Восход»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МБУК «ЦКПМО»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24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2.1.13.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37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учреждений культуры, победителей конкурса получателей государственной поддержки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ед.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Отчет  МБО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24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2.1.14.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37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созданных модельных муниципальных библиотек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Шт.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Отчет МБО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26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2.2.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936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Подпрограмма 2. «Развитие системы дополнительного образования в сфере культуры и искусства»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45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2.2.1.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37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Выполнение муниципального задания учреждениями дополнительного образования в сфере культуры и искусства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%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Отчеты исполнителей программы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99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2.2.2.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3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Доля детей, осваивающих дополнительные общеразвивающие программы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%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3" w:type="dxa"/>
            <w:textDirection w:val="lrTb"/>
            <w:noWrap w:val="false"/>
          </w:tcPr>
          <w:p>
            <w:pPr>
              <w:ind w:right="22"/>
              <w:jc w:val="center"/>
              <w:spacing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25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Отчеты исполнителей программы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97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2.2.3.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3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Доля детей, осваивающих дополнительные предпрофессиональные  программы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%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3" w:type="dxa"/>
            <w:textDirection w:val="lrTb"/>
            <w:noWrap w:val="false"/>
          </w:tcPr>
          <w:p>
            <w:pPr>
              <w:ind w:right="22"/>
              <w:jc w:val="center"/>
              <w:spacing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75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75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Отчеты исполнителей программы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45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2.2.4.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3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Выполнение указов Президента Российской Федерации по оплате труда и начислениям на выплаты по оплате труда работникам  муниципальных учреждений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%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Отчеты исполнителей программы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1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2.2.5.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3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развития и укрепления материально-технической базы учреждений дополнительного образования детей в сфере культуры и искусства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Да/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Отчеты исполнителей программы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1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2.2.6.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37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текущих ремонтов в учреждениях дополнительного образования в сфере культуры и искусства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Да/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Отчеты исполнителей программы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1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2.2.7.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3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Число участников творческих конкурсов, фестивалей, выставок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Чел.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767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 менее 750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 менее 750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 менее 750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 менее 750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Отчеты исполнителей программы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1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2.3.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936" w:type="dxa"/>
            <w:textDirection w:val="lrTb"/>
            <w:noWrap w:val="false"/>
          </w:tcPr>
          <w:p>
            <w:pPr>
              <w:ind w:right="22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Подпрограмма 3. «Развитие культуры»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</w:tr>
      <w:tr>
        <w:tblPrEx/>
        <w:trPr>
          <w:trHeight w:val="21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2.3.1.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3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культурно-массовых, праздничных мероприятий и мероприятий, посвященных памятным датам Российской Федерации, Мурманской области, Печенгского муниципального округа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Шт.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37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45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38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38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Отчеты исполнителей программы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1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2.3.2.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3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Количество мероприятий для лиц с ограниченными возможностями здоровья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Шт.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Не менее 4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Не менее 5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Отчеты исполнителей программы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1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2.3.3.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37" w:type="dxa"/>
            <w:textDirection w:val="lrTb"/>
            <w:noWrap w:val="false"/>
          </w:tcPr>
          <w:p>
            <w:pPr>
              <w:ind w:right="22"/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Количество благоустроенных памятников культурного наследия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Шт.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 Отчет отдела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КСиМП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</w:tbl>
    <w:p>
      <w:pPr>
        <w:contextualSpacing/>
        <w:ind w:firstLine="709"/>
        <w:spacing w:after="0" w:line="240" w:lineRule="auto"/>
        <w:rPr>
          <w:rFonts w:ascii="Times New Roman" w:hAnsi="Times New Roman" w:cs="Times New Roman" w:eastAsiaTheme="minorHAnsi"/>
          <w:sz w:val="24"/>
          <w:szCs w:val="24"/>
        </w:rPr>
      </w:pPr>
      <w:r>
        <w:rPr>
          <w:rFonts w:ascii="Times New Roman" w:hAnsi="Times New Roman" w:cs="Times New Roman" w:eastAsiaTheme="minorHAnsi"/>
          <w:sz w:val="24"/>
          <w:szCs w:val="24"/>
        </w:rPr>
      </w:r>
      <w:r>
        <w:rPr>
          <w:rFonts w:ascii="Times New Roman" w:hAnsi="Times New Roman" w:cs="Times New Roman" w:eastAsiaTheme="minorHAnsi"/>
          <w:sz w:val="24"/>
          <w:szCs w:val="24"/>
        </w:rPr>
      </w:r>
      <w:r>
        <w:rPr>
          <w:rFonts w:ascii="Times New Roman" w:hAnsi="Times New Roman" w:cs="Times New Roman" w:eastAsiaTheme="minorHAnsi"/>
          <w:sz w:val="24"/>
          <w:szCs w:val="24"/>
        </w:rPr>
      </w:r>
    </w:p>
    <w:p>
      <w:pPr>
        <w:contextualSpacing/>
        <w:ind w:firstLine="709"/>
        <w:spacing w:after="0" w:line="240" w:lineRule="auto"/>
        <w:rPr>
          <w:rFonts w:ascii="Times New Roman" w:hAnsi="Times New Roman" w:cs="Times New Roman" w:eastAsiaTheme="minorHAnsi"/>
          <w:sz w:val="24"/>
          <w:szCs w:val="24"/>
        </w:rPr>
      </w:pPr>
      <w:r>
        <w:rPr>
          <w:rFonts w:ascii="Times New Roman" w:hAnsi="Times New Roman" w:cs="Times New Roman" w:eastAsiaTheme="minorHAnsi"/>
          <w:sz w:val="24"/>
          <w:szCs w:val="24"/>
        </w:rPr>
      </w:r>
      <w:r>
        <w:rPr>
          <w:rFonts w:ascii="Times New Roman" w:hAnsi="Times New Roman" w:cs="Times New Roman" w:eastAsiaTheme="minorHAnsi"/>
          <w:sz w:val="24"/>
          <w:szCs w:val="24"/>
        </w:rPr>
      </w:r>
      <w:r>
        <w:rPr>
          <w:rFonts w:ascii="Times New Roman" w:hAnsi="Times New Roman" w:cs="Times New Roman" w:eastAsiaTheme="minorHAnsi"/>
          <w:sz w:val="24"/>
          <w:szCs w:val="24"/>
        </w:rPr>
      </w:r>
    </w:p>
    <w:p>
      <w:pPr>
        <w:pStyle w:val="878"/>
        <w:numPr>
          <w:ilvl w:val="0"/>
          <w:numId w:val="8"/>
        </w:numPr>
        <w:ind w:left="0" w:firstLine="709"/>
        <w:jc w:val="center"/>
        <w:widowControl w:val="off"/>
        <w:tabs>
          <w:tab w:val="left" w:pos="993" w:leader="none"/>
        </w:tabs>
        <w:rPr>
          <w:b/>
          <w:bCs/>
          <w:sz w:val="24"/>
          <w:szCs w:val="24"/>
        </w:rPr>
        <w:outlineLvl w:val="1"/>
      </w:pPr>
      <w:r>
        <w:rPr>
          <w:b/>
          <w:bCs/>
          <w:sz w:val="24"/>
          <w:szCs w:val="24"/>
        </w:rPr>
        <w:t xml:space="preserve">Перечень и краткое описание подпрограмм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Исполнение программы осуществляется путем реализации подпрограмм, сформированных исходя из необходимости достижения целей и задач программы.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структуру программы входят три подпрограммы: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1 «Развитие учреждений культуры» (приложение № 1):</w:t>
      </w:r>
      <w:r>
        <w:rPr>
          <w:rFonts w:ascii="Times New Roman" w:hAnsi="Times New Roman" w:cs="Times New Roman"/>
          <w:sz w:val="24"/>
          <w:szCs w:val="24"/>
          <w:u w:val="single"/>
        </w:rPr>
      </w:r>
      <w:r>
        <w:rPr>
          <w:rFonts w:ascii="Times New Roman" w:hAnsi="Times New Roman" w:cs="Times New Roman"/>
          <w:sz w:val="24"/>
          <w:szCs w:val="24"/>
          <w:u w:val="single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Целью подпрограммы является - создание условий по организации досуга, развития народного творчества и обеспечение жителей округа услугами организаций культуры. Обеспечение развития творческого потенциала и организация досуга населения.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достижения поставленных целей подпрограммы предусматривается решение следующих задач: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обеспечение предоставления  услуг (работ) учреждениями культуры;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2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создание условий для развития учреждений культуры;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2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организация и проведение праздничных культурно-массовых мероприятий.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Успешная реализация мероприятий подпрограммы будет способствовать повышению доступности и качества предоставляемых услуг учреждениями культуры и искусства, развитию творческого потенциала и организации досуга населения.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№ 2 «Развитие системы дополнительного образования в сфере культуры и искусства» (приложение № 2):</w:t>
      </w:r>
      <w:r>
        <w:rPr>
          <w:rFonts w:ascii="Times New Roman" w:hAnsi="Times New Roman" w:cs="Times New Roman"/>
          <w:sz w:val="24"/>
          <w:szCs w:val="24"/>
          <w:u w:val="single"/>
        </w:rPr>
      </w:r>
      <w:r>
        <w:rPr>
          <w:rFonts w:ascii="Times New Roman" w:hAnsi="Times New Roman" w:cs="Times New Roman"/>
          <w:sz w:val="24"/>
          <w:szCs w:val="24"/>
          <w:u w:val="single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Целями подпрограммы являются: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numPr>
          <w:ilvl w:val="0"/>
          <w:numId w:val="3"/>
        </w:numPr>
        <w:ind w:left="0" w:firstLine="709"/>
        <w:jc w:val="both"/>
        <w:spacing w:after="0" w:line="240" w:lineRule="auto"/>
        <w:widowControl w:val="off"/>
        <w:tabs>
          <w:tab w:val="left" w:pos="720" w:leader="none"/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Повышение доступности и качества услуг дополнительного образования в сфере культуры и искусства.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numPr>
          <w:ilvl w:val="0"/>
          <w:numId w:val="3"/>
        </w:numPr>
        <w:ind w:left="0" w:firstLine="709"/>
        <w:jc w:val="both"/>
        <w:spacing w:after="0" w:line="240" w:lineRule="auto"/>
        <w:widowControl w:val="off"/>
        <w:tabs>
          <w:tab w:val="left" w:pos="720" w:leader="none"/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Совершенствование системы выявления и сопровождения одарённых детей, их специальной поддержки.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72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достижения поставленной цели подпрограммы предусматривается решение следующих задач: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2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обеспечение предоставления услуг учреждениями дополнительного образования в сфере культуры и искусства;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2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создание условий для развития учреждений дополнительного образования в сфере культуры и искусства;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2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создание благоприятных условий для выявления, развития и поддержки одарённых детей в различных областях творческой деятельности.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720" w:leader="none"/>
        </w:tabs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3 «Развитие культуры» (приложение № 3):</w:t>
      </w:r>
      <w:r>
        <w:rPr>
          <w:rFonts w:ascii="Times New Roman" w:hAnsi="Times New Roman" w:cs="Times New Roman"/>
          <w:sz w:val="24"/>
          <w:szCs w:val="24"/>
          <w:u w:val="single"/>
        </w:rPr>
      </w:r>
      <w:r>
        <w:rPr>
          <w:rFonts w:ascii="Times New Roman" w:hAnsi="Times New Roman" w:cs="Times New Roman"/>
          <w:sz w:val="24"/>
          <w:szCs w:val="24"/>
          <w:u w:val="single"/>
        </w:rPr>
      </w:r>
    </w:p>
    <w:p>
      <w:pPr>
        <w:pStyle w:val="859"/>
        <w:ind w:firstLine="709"/>
        <w:jc w:val="both"/>
        <w:widowControl/>
        <w:tabs>
          <w:tab w:val="left" w:pos="72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Целью подпрограммы является сохранение, развитие и формирование культурных традиций, создание единого социокультурного пространства.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Для достижения поставленной цели подпрограмма предусматривает решение следующих задач: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9"/>
        <w:ind w:firstLine="709"/>
        <w:jc w:val="both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сохранение и развитие народных и культурных традиций путем привлечения населения к участию в праздничных мероприятиях;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</w:t>
      </w:r>
      <w:r>
        <w:rPr>
          <w:rFonts w:ascii="Times New Roman" w:hAnsi="Times New Roman" w:cs="Times New Roman"/>
          <w:bCs/>
          <w:sz w:val="24"/>
          <w:szCs w:val="24"/>
        </w:rPr>
        <w:t xml:space="preserve">сохранение, использование и популяризация объектов культурного наследия (памятников истории культуры), находящихся в собственности округа.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2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Важными показателями эффективности реализации подпрограммы станут увеличение количе</w:t>
      </w:r>
      <w:r>
        <w:rPr>
          <w:rFonts w:ascii="Times New Roman" w:hAnsi="Times New Roman" w:cs="Times New Roman"/>
          <w:sz w:val="24"/>
          <w:szCs w:val="24"/>
        </w:rPr>
        <w:t xml:space="preserve">ства жителей Печенгского муниципального округа, участвующих в культурно - досуговых мероприятиях, повышение качества проводимых массовых мероприятий, организация полезного досуга населения, увеличение количества благоустроенных памятников истории культуры.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2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center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4. Механизм реализации программы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ind w:firstLine="709"/>
        <w:jc w:val="center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Отдел культуры, спорта и молодежной политики администрации Печенгского муниципального округа – ответственный исполнитель программы: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осуществляет текущее управление мероприятиями программы, контроль за ходом выполнения мероприятий программы, подготовку в установленном порядке отчетности по реализации программы;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с учетом выделяемых на реализацию программы финансовых средств ежегодно в установленном порядке принимает меры по уточнению целевых показателей по программным мероприятиям, механизму реализации программы, составу исполнителей;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проводит мониторинг реализации программных мероприятий;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  <w:tab w:val="left" w:pos="851" w:leader="none"/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осуществляет подготовку предложений по корректировке программы.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68"/>
        <w:ind w:left="0" w:firstLine="709"/>
        <w:jc w:val="right"/>
        <w:widowControl w:val="off"/>
        <w:rPr>
          <w:bCs/>
        </w:rPr>
        <w:outlineLvl w:val="1"/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pStyle w:val="878"/>
        <w:ind w:left="709"/>
        <w:jc w:val="center"/>
        <w:widowControl w:val="off"/>
        <w:tabs>
          <w:tab w:val="left" w:pos="993" w:leader="none"/>
        </w:tabs>
        <w:rPr>
          <w:b/>
          <w:bCs/>
          <w:sz w:val="24"/>
          <w:szCs w:val="24"/>
        </w:rPr>
        <w:outlineLvl w:val="1"/>
      </w:pPr>
      <w:r>
        <w:rPr>
          <w:b/>
          <w:bCs/>
          <w:sz w:val="24"/>
          <w:szCs w:val="24"/>
        </w:rPr>
        <w:t xml:space="preserve">5. Оценка эффективности программы и рисков ее реализации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878"/>
        <w:ind w:left="0" w:firstLine="709"/>
        <w:widowControl w:val="off"/>
        <w:rPr>
          <w:b/>
          <w:bCs/>
          <w:sz w:val="24"/>
          <w:szCs w:val="24"/>
        </w:rPr>
        <w:outlineLvl w:val="1"/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Оценка эффективности выполнения программы </w:t>
      </w:r>
      <w:r>
        <w:rPr>
          <w:rFonts w:ascii="Times New Roman" w:hAnsi="Times New Roman" w:cs="Times New Roman"/>
          <w:sz w:val="24"/>
          <w:szCs w:val="24"/>
        </w:rPr>
        <w:t xml:space="preserve">проводится для получения оперативной информации о ходе и промежуточных результатах достижения цели, решения задач и выполнении мероприятий программы. Результаты оценки эффективности используются для подготовки предложений по внесению изменений в программу.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vanish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Эффективность реализации программы оценивается как степень достижения запланированных результатов (сопоставление плановых и фактических значений показателей) при условии соблюдения обоснованного объема расходов. </w:t>
      </w:r>
      <w:r>
        <w:rPr>
          <w:rFonts w:ascii="Times New Roman" w:hAnsi="Times New Roman" w:cs="Times New Roman"/>
          <w:vanish/>
          <w:sz w:val="24"/>
          <w:szCs w:val="24"/>
        </w:rPr>
      </w:r>
      <w:r>
        <w:rPr>
          <w:rFonts w:ascii="Times New Roman" w:hAnsi="Times New Roman" w:cs="Times New Roman"/>
          <w:vanish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Реализация программы подвержена влиянию следующих групп рисков и негативных факторов: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 Значительным рис</w:t>
      </w:r>
      <w:r>
        <w:rPr>
          <w:rFonts w:ascii="Times New Roman" w:hAnsi="Times New Roman" w:cs="Times New Roman"/>
          <w:sz w:val="24"/>
          <w:szCs w:val="24"/>
        </w:rPr>
        <w:t xml:space="preserve">ком является сокращение запланированных объемов финансирования в ходе формирования и реализации программы, что может повлечь за собой корректировку целевых значений показателей и необходимость внесения изменений в перечень реализуемых основных мероприятий.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целях минимизации негативного влияния данного риска на ход реализации программы необходимо обеспеч</w:t>
      </w:r>
      <w:r>
        <w:rPr>
          <w:rFonts w:ascii="Times New Roman" w:hAnsi="Times New Roman" w:cs="Times New Roman"/>
          <w:sz w:val="24"/>
          <w:szCs w:val="24"/>
        </w:rPr>
        <w:t xml:space="preserve">ить сбалансированное распределение финансовых средств по подпрограммам, задачам и основным мероприятиям программы с учетом ограниченности ресурсов, определения приоритетных направлений деятельности и необходимости достижения ожидаемых конечных результатов.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 Правовые риски, связанные с внесением не предусмотренных программой изменений в федеральные</w:t>
      </w:r>
      <w:r>
        <w:rPr>
          <w:rFonts w:ascii="Times New Roman" w:hAnsi="Times New Roman" w:cs="Times New Roman"/>
          <w:sz w:val="24"/>
          <w:szCs w:val="24"/>
        </w:rPr>
        <w:t xml:space="preserve"> и региональные нормативные правовые акты, могут привести к утере актуальности поставленных задач и запланированных основных мероприятий, а также к необходимости включения новых направлений деятельности, что окажет влияние на конечные результаты программы.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Мерами по управлению данным видом рисков служит оперативное принятие муниципальных нормативных правовых актов, регулирующих сферы управления социально-экономическим развитием округа.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8"/>
        <w:ind w:left="0"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3. Повышение уровня инфляции может привести к изменению цен на рынке товаров, работ, услуг, что в свою очередь существенно повлияет на запланированный к приобретению в рамках Программы объем таких товаров, работ, услуг.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Мерами по управлению данным видом рисков служит мониторинг цен и п</w:t>
      </w:r>
      <w:r>
        <w:rPr>
          <w:rFonts w:ascii="Times New Roman" w:hAnsi="Times New Roman" w:cs="Times New Roman"/>
          <w:sz w:val="24"/>
          <w:szCs w:val="24"/>
        </w:rPr>
        <w:t xml:space="preserve">рогнозирование текущих тенденций в сфере реализации программы для своевременного пересмотра объема финансирования и его перераспределения по подпрограммам, задачам и основным мероприятиям программы для обеспечения достижения ожидаемых конечных результатов.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 Несоблюдение договорных обязательств исполнителей по муниципальным контрактам может повлечь срыв сроков выполнения мероприятий либо выполнение их не в полном объеме, что в свою очередь может оказать серьезное влияние на конечные результаты программы.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целях минимизации негативного влияни</w:t>
      </w:r>
      <w:r>
        <w:rPr>
          <w:rFonts w:ascii="Times New Roman" w:hAnsi="Times New Roman" w:cs="Times New Roman"/>
          <w:sz w:val="24"/>
          <w:szCs w:val="24"/>
        </w:rPr>
        <w:t xml:space="preserve">я данного риска на ход реализации программы необходимо обеспечить оперативный мониторинг выполнения мероприятий программы, контроль и сопровождение всех действующих договоров и контрактов в части своевременности исполнения контрагентами своих обязательств.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 Возникновение обстоятельств непреодолимой силы (природные, техногенные катастрофы, вооруженные конфликты) может оказать существенное влияние на результаты реализации программы и существенно снизить показатели ее результативности.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Управление рисками будет осуществляться на основе регулярного мониторинга реализации программы.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br w:type="page" w:clear="all"/>
      </w:r>
      <w:r>
        <w:rPr>
          <w:rFonts w:ascii="Times New Roman" w:hAnsi="Times New Roman" w:cs="Times New Roman"/>
          <w:bCs/>
          <w:sz w:val="24"/>
          <w:szCs w:val="24"/>
        </w:rPr>
        <w:t xml:space="preserve">Приложение № 1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ind w:firstLine="709"/>
        <w:jc w:val="right"/>
        <w:spacing w:after="0" w:line="240" w:lineRule="auto"/>
        <w:widowControl w:val="off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к программе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ind w:firstLine="709"/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24"/>
          <w:szCs w:val="24"/>
        </w:rPr>
        <w:outlineLvl w:val="1"/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ind w:firstLine="709"/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24"/>
          <w:szCs w:val="24"/>
        </w:rPr>
        <w:outlineLvl w:val="1"/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ПОДПРОГРАММА 1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ind w:firstLine="709"/>
        <w:jc w:val="center"/>
        <w:spacing w:after="0" w:line="240" w:lineRule="auto"/>
        <w:widowControl w:val="off"/>
        <w:rPr>
          <w:rFonts w:ascii="Times New Roman" w:hAnsi="Times New Roman" w:cs="Times New Roman"/>
          <w:bCs/>
          <w:sz w:val="24"/>
          <w:szCs w:val="24"/>
        </w:rPr>
        <w:outlineLvl w:val="1"/>
      </w:pPr>
      <w:r>
        <w:rPr>
          <w:rFonts w:ascii="Times New Roman" w:hAnsi="Times New Roman" w:cs="Times New Roman"/>
          <w:bCs/>
          <w:sz w:val="24"/>
          <w:szCs w:val="24"/>
        </w:rPr>
        <w:t xml:space="preserve">«Развитие учреждений культуры»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ind w:firstLine="709"/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24"/>
          <w:szCs w:val="24"/>
        </w:rPr>
        <w:outlineLvl w:val="1"/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ind w:firstLine="709"/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24"/>
          <w:szCs w:val="24"/>
        </w:rPr>
        <w:outlineLvl w:val="1"/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Паспорт подпрограммы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ind w:firstLine="709"/>
        <w:jc w:val="center"/>
        <w:spacing w:after="0" w:line="240" w:lineRule="auto"/>
        <w:widowControl w:val="off"/>
        <w:rPr>
          <w:rFonts w:ascii="Times New Roman" w:hAnsi="Times New Roman" w:cs="Times New Roman"/>
          <w:bCs/>
          <w:color w:val="0070c0"/>
          <w:sz w:val="20"/>
          <w:szCs w:val="20"/>
        </w:rPr>
        <w:outlineLvl w:val="1"/>
      </w:pPr>
      <w:r>
        <w:rPr>
          <w:rFonts w:ascii="Times New Roman" w:hAnsi="Times New Roman" w:cs="Times New Roman"/>
          <w:bCs/>
          <w:color w:val="0070c0"/>
          <w:sz w:val="20"/>
          <w:szCs w:val="20"/>
        </w:rPr>
      </w:r>
      <w:r>
        <w:rPr>
          <w:rFonts w:ascii="Times New Roman" w:hAnsi="Times New Roman" w:cs="Times New Roman"/>
          <w:bCs/>
          <w:color w:val="0070c0"/>
          <w:sz w:val="20"/>
          <w:szCs w:val="20"/>
        </w:rPr>
      </w:r>
      <w:r>
        <w:rPr>
          <w:rFonts w:ascii="Times New Roman" w:hAnsi="Times New Roman" w:cs="Times New Roman"/>
          <w:bCs/>
          <w:color w:val="0070c0"/>
          <w:sz w:val="20"/>
          <w:szCs w:val="20"/>
        </w:rPr>
      </w:r>
    </w:p>
    <w:tbl>
      <w:tblPr>
        <w:tblW w:w="4891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09"/>
        <w:gridCol w:w="7265"/>
      </w:tblGrid>
      <w:tr>
        <w:tblPrEx/>
        <w:trPr>
          <w:jc w:val="center"/>
        </w:trPr>
        <w:tc>
          <w:tcPr>
            <w:tcW w:w="1206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Наименование муниципальной 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794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  <w:outlineLvl w:val="1"/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Печенгского муниципального округа «Культура» на 2025 - 2027 годы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256"/>
        </w:trPr>
        <w:tc>
          <w:tcPr>
            <w:tcW w:w="1206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Цель подпрограммы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</w:tc>
        <w:tc>
          <w:tcPr>
            <w:tcW w:w="3794" w:type="pct"/>
            <w:textDirection w:val="lrTb"/>
            <w:noWrap w:val="false"/>
          </w:tcPr>
          <w:p>
            <w:pPr>
              <w:ind w:left="-4"/>
              <w:jc w:val="both"/>
              <w:spacing w:after="0" w:line="240" w:lineRule="auto"/>
              <w:tabs>
                <w:tab w:val="left" w:pos="28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условий по организации досуга, развития народного творчества и обеспечение жителей округа услугами организаций культуры. Обеспечение развития творческого потенциала и организация досуга населения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256"/>
        </w:trPr>
        <w:tc>
          <w:tcPr>
            <w:tcW w:w="1206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Основные мероприятия подпрограммы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vertAlign w:val="superscript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vertAlign w:val="superscript"/>
                <w:lang w:eastAsia="ru-RU"/>
              </w:rPr>
            </w:r>
          </w:p>
        </w:tc>
        <w:tc>
          <w:tcPr>
            <w:tcW w:w="3794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 Обеспечение предоставления услуг (работ) учреждениями культуры.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Создание условий для развития учреждений культуры.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1206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Показатели подпрограммы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79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Выполнение муниципального задания учреждениями культуры.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клубных формирований.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культурно-массовых мероприятий, организованных учреждениями культуры.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Число посетителей (зрителей) культурно-массовых мероприятий.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Уровень удовлетворенности населения округа качеством предоставления услуг учреждениями культуры.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Количество книговыдач в библиотеках.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Число посетителей музея.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8. Количество предметов основного музейного фонда.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9. Выполнение указов Президента Российской Федерации по оплате труда и начислениям на выплаты по оплате труда работникам муниципальных учреждений.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10. Обеспечение развития и укрепления материально-технической базы учреждений культуры.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11. Проведение текущих ремонтов в учреждениях культуры.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12. Проведение капитального ремонта здания ДК «Восход».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13. Количество учреждений культуры, победителей конкурса получателей государственной поддержки.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14. Количество созданных модельных муниципальных библиотек.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1206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Сроки и этапы реализации подпрограммы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794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2025 - 2027 годы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  <w:trHeight w:val="542"/>
        </w:trPr>
        <w:tc>
          <w:tcPr>
            <w:tcW w:w="1206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Финансовое обеспечение подпрограммы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79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подпрограмме: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691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14964,9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14964,9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0,0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 190735,2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63578,4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63578,4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63578,4 тыс.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3590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108204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,7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109135,5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86250,7 тыс.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14400,0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4800,0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4800,0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4800,0 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1206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Ожидаемые конечные результаты реализации подпрограммы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vertAlign w:val="superscript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vertAlign w:val="superscript"/>
                <w:lang w:eastAsia="ru-RU"/>
              </w:rPr>
            </w:r>
          </w:p>
        </w:tc>
        <w:tc>
          <w:tcPr>
            <w:tcW w:w="3794" w:type="pct"/>
            <w:textDirection w:val="lrTb"/>
            <w:noWrap w:val="false"/>
          </w:tcPr>
          <w:p>
            <w:pPr>
              <w:pStyle w:val="878"/>
              <w:numPr>
                <w:ilvl w:val="0"/>
                <w:numId w:val="5"/>
              </w:num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Полнота выполнения муниципального задания.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878"/>
              <w:numPr>
                <w:ilvl w:val="0"/>
                <w:numId w:val="5"/>
              </w:num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Сохранение количества клубных формирований.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878"/>
              <w:numPr>
                <w:ilvl w:val="0"/>
                <w:numId w:val="5"/>
              </w:num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Увеличение количества книговыдач в библиотеках.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878"/>
              <w:numPr>
                <w:ilvl w:val="0"/>
                <w:numId w:val="5"/>
              </w:num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Увеличение количества предметов музейного фонда.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  <w:trHeight w:val="274"/>
        </w:trPr>
        <w:tc>
          <w:tcPr>
            <w:tcW w:w="1206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Ответственный исполнитель подпрограммы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</w:tc>
        <w:tc>
          <w:tcPr>
            <w:tcW w:w="3794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0"/>
                <w:lang w:eastAsia="ru-RU"/>
              </w:rPr>
              <w:t xml:space="preserve">отдел </w:t>
            </w:r>
            <w:r>
              <w:rPr>
                <w:rFonts w:ascii="Times New Roman" w:hAnsi="Times New Roman" w:eastAsia="Times New Roman" w:cs="Times New Roman"/>
                <w:sz w:val="24"/>
                <w:szCs w:val="20"/>
                <w:lang w:eastAsia="ru-RU"/>
              </w:rPr>
              <w:t xml:space="preserve">КСиМП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1206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Исполнители подпрограммы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</w:tc>
        <w:tc>
          <w:tcPr>
            <w:tcW w:w="3794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Музей, МБО, ДК «Восход», ДК «Октябрь», КДЦ «Платформа»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МБУК «ЦКПМО»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</w:trPr>
        <w:tc>
          <w:tcPr>
            <w:tcW w:w="1206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Соисполнители подпрограммы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</w:tc>
        <w:tc>
          <w:tcPr>
            <w:tcW w:w="3794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</w:tbl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24"/>
          <w:szCs w:val="24"/>
        </w:rPr>
        <w:outlineLvl w:val="1"/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b/>
          <w:bCs/>
          <w:sz w:val="24"/>
          <w:szCs w:val="24"/>
        </w:rPr>
        <w:sectPr>
          <w:footnotePr/>
          <w:endnotePr/>
          <w:type w:val="nextPage"/>
          <w:pgSz w:w="11905" w:h="16838" w:orient="portrait"/>
          <w:pgMar w:top="1134" w:right="567" w:bottom="1134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Таблица 1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 подпрограмме  1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ПЕРЕЧЕНЬ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мероприятий подпрограммы с объёмом финансирования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Cs/>
          <w:color w:val="0070c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Cs/>
          <w:color w:val="0070c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Cs/>
          <w:color w:val="0070c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Cs/>
          <w:color w:val="0070c0"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Cs/>
          <w:color w:val="0070c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Cs/>
          <w:color w:val="0070c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Cs/>
          <w:color w:val="0070c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Cs/>
          <w:color w:val="0070c0"/>
          <w:sz w:val="20"/>
          <w:szCs w:val="20"/>
          <w:lang w:eastAsia="ru-RU"/>
        </w:rPr>
      </w:r>
    </w:p>
    <w:tbl>
      <w:tblPr>
        <w:tblW w:w="5279" w:type="pct"/>
        <w:tblInd w:w="-6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5129"/>
        <w:gridCol w:w="1418"/>
        <w:gridCol w:w="998"/>
        <w:gridCol w:w="1277"/>
        <w:gridCol w:w="1286"/>
        <w:gridCol w:w="1283"/>
        <w:gridCol w:w="1304"/>
        <w:gridCol w:w="1764"/>
      </w:tblGrid>
      <w:tr>
        <w:tblPrEx/>
        <w:trPr>
          <w:trHeight w:val="780"/>
        </w:trPr>
        <w:tc>
          <w:tcPr>
            <w:shd w:val="clear" w:color="auto" w:fill="auto"/>
            <w:tcW w:w="27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№ п/п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Цели, мероприятия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Срок исполнения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Источники финансирования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16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Объем финансирования,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тысяч рублей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85" w:leader="none"/>
              </w:tabs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Исполнители, соисполнители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67"/>
        </w:trPr>
        <w:tc>
          <w:tcPr>
            <w:shd w:val="clear" w:color="auto" w:fill="auto"/>
            <w:tcW w:w="27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90"/>
        </w:trPr>
        <w:tc>
          <w:tcPr>
            <w:gridSpan w:val="9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  <w:t xml:space="preserve">Подпрограмма 1.  «Развитие учреждений культуры»</w:t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90"/>
        </w:trPr>
        <w:tc>
          <w:tcPr>
            <w:gridSpan w:val="9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  <w:t xml:space="preserve">Цель: Создание условий по организации досуга, развития народного творчества и обеспечение жителей округа услугами организаций культуры. Обеспечение развития творческого потенциала и организация досуга населения</w:t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81"/>
        </w:trPr>
        <w:tc>
          <w:tcPr>
            <w:gridSpan w:val="9"/>
            <w:shd w:val="clear" w:color="auto" w:fill="auto"/>
            <w:tcW w:w="5000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Основное мероприятие 1. Обеспечение предоставления услуг (работ) учреждениями культуры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7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1.1.1.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Предоставление муниципальных услуг (работ) в сфере культуры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2025 - 2027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МБО; Музей;     ДК «Октябрь»;  ДК «Восход»; КДЦ «Платформа»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;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МБУК «ЦКПМО»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9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256516,8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89570,2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91915,7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75030,9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14400,0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4800,0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4800,0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4800,0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8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270916,8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94370,2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96715,7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79830,9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7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1.1.2.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Обеспечение выполнения указов Президента Российской Федерации по оплате труда и начислениям на выплаты по оплате труда работникам муниципальных учреждений, в том числе: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2025 - 2027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МБО; Музей;   ДК «Октябрь»;  ДК «Восход»; КДЦ «Платформа»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;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МБУК «ЦКПМО»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190735,2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63578,4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63578,4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63578,4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59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33659,4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11219,8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11219,8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11219,8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ffffff" w:themeFill="background1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224394,6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ffffff" w:themeFill="background1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74798,2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ffffff" w:themeFill="background1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74798,2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ffffff" w:themeFill="background1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74798,2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7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Обеспечение сохран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е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ния заработной платы труда работников муниципальных учреждений образования, культуры, физической культуры и спорта на уровне, установленном указами Президента Российской Федерации от07.05.2012 </w:t>
              <w:br/>
              <w:t xml:space="preserve">№ 597 «О мероприятиях по реализации государственной социальной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политики», от 01.06.2012 № 761 «О Национальной стратегии действий в интересах детей на 2012-2017 годы» и </w:t>
              <w:br/>
              <w:t xml:space="preserve">от 28.12.2012 № 1688 «О некоторых мерах по реализации государственной политики в сфере защиты детей-сирот и детей, оставшихся без попечения родителей»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2025 - 2027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МБО; Музей;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 ДК «Октябрь»;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ДК «Восход»; КДЦ «Платформа»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;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МБУК «ЦКПМО»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182743,8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60914,6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60914,6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60914,6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68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32249,1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10749,7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10749,7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10749,7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214992,9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71664,3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71664,3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71664,3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7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1.1.2.2.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Реализация мер социальной поддержки отдельных категорий граждан, работающих в муниципальных учреждениях образования и культуры, расположенных в сельских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населенных пунктах или поселках городского типа Мурманской области, имеющих в соответств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ии с Законом Мурманской области от 27.12.2004 № 561-01-ЗМО «О мерах социальной поддержки отдельных категорий граждан, работающих в сельских населенных пунктах или поселках городского типа» право на установление повышенных на 25 процентов размеров тарифной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ставки, оклада (должностного оклада), установленного работнику по сравнению с тарифными ставками, окладами (должностными окладами) специалистов муниципальных учреждений образования и культуры, занимающихся этим видом деятельности в городских условиях, в со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ответствии с Перечнем должностей специалистов, работающих в государственных областных и муниципальных учреждениях, имеющих право на получение мер социальной поддержки и (или) установление повышенных размеров тарифных ставок, окладов (должностных окладов) в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 соответствии с Законом Мурманской области «О мерах социальной поддержки отдельных категорий граждан, работающих в сельских населенных пунктах или поселках городского типа», утвержденным постановлением Правительства Мурманской области от 01.03.2011 № 86-ПП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2025 - 2027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МБО;  Музей;  ДК «Восход»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;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МБУК «ЦКПМО»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7991,4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2663,8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2663,8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2663,8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1410,3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470,1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470,1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470,1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098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9401,7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3133,9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3133,9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3133,9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241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3"/>
                <w:szCs w:val="23"/>
                <w:lang w:eastAsia="ru-RU"/>
              </w:rPr>
              <w:t xml:space="preserve">Итого по основному мероприятию 1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241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190735,2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63578,4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63578,4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63578,4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43"/>
        </w:trPr>
        <w:tc>
          <w:tcPr>
            <w:gridSpan w:val="3"/>
            <w:shd w:val="clear" w:color="auto" w:fill="auto"/>
            <w:tcW w:w="241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290176,2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100790,0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103135,5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86250,7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241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14400,0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4800,0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4800,0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4800,0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10"/>
        </w:trPr>
        <w:tc>
          <w:tcPr>
            <w:gridSpan w:val="3"/>
            <w:shd w:val="clear" w:color="auto" w:fill="auto"/>
            <w:tcW w:w="241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495311,4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169168,4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171513,9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154629,1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9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Основное мероприятие 2. Создание условий для развития учреждений культуры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27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1.2.1.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Модернизация и укрепление материально-технической базы муниципальных бюджетных учреждений культуры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2025 - 2026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МБО; Музей;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ДК «Октябрь»;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ДК «Восход»; КДЦ «Платформа»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;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МБУК «ЦКПМО»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right w:val="single" w:color="auto" w:sz="4" w:space="0"/>
            </w:tcBorders>
            <w:tcW w:w="46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</w:tcBorders>
            <w:tcW w:w="5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right w:val="single" w:color="auto" w:sz="4" w:space="0"/>
            </w:tcBorders>
            <w:tcW w:w="46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13209,1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7209,1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6000,0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</w:tcBorders>
            <w:tcW w:w="5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13209,1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7209,1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6000,0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0"/>
        </w:trPr>
        <w:tc>
          <w:tcPr>
            <w:shd w:val="clear" w:color="auto" w:fill="auto"/>
            <w:tcW w:w="27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1.2.2.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Создание условий, отвечающих современным требованиям, в ДК «Восход»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2025 - 2026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 ДК «Восход»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;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МБУК «ЦКПМО»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27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1.2.3.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Государственная поддержка отрасли культуры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144,9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144,9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МБО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25,6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25,6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00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170,5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170,5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00"/>
        </w:trPr>
        <w:tc>
          <w:tcPr>
            <w:shd w:val="clear" w:color="auto" w:fill="auto"/>
            <w:tcW w:w="27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1.2.4.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Создание модельной библиотеки в 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пгт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. Никель на базе МБКПУ «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Печенгское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 МБО»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14820,0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14820,0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МБО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00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00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180,0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180,0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00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00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15000,0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15000,0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241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3"/>
                <w:szCs w:val="23"/>
                <w:lang w:eastAsia="ru-RU"/>
              </w:rPr>
              <w:t xml:space="preserve">Итого по основному мероприятию 2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14964,9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14964,9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241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241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13414,7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7414,7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6000,0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241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65"/>
        </w:trPr>
        <w:tc>
          <w:tcPr>
            <w:gridSpan w:val="3"/>
            <w:shd w:val="clear" w:color="auto" w:fill="auto"/>
            <w:tcW w:w="241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28379,6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22379,6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6000,0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241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Всего по подпрограмме 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14964,9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14964,9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241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190735,2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63578,4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63578,4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63578,4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68"/>
        </w:trPr>
        <w:tc>
          <w:tcPr>
            <w:gridSpan w:val="3"/>
            <w:shd w:val="clear" w:color="auto" w:fill="auto"/>
            <w:tcW w:w="241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303590,9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108204,7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109135,5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86250,7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241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14400,0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4800,0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4800,0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4800,0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241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523691,0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191548,0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177513,9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154629,1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</w:tbl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  <w:t xml:space="preserve">В перечне программных мероприятий с объемом финансирования используются сокращения:</w:t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  <w:t xml:space="preserve">ФБ - федеральный бюджет; ОБ - областной бюджет; МБ - местный бюджет; ВБС - внебюджетные средства.</w:t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ind w:left="9639" w:right="-371"/>
        <w:jc w:val="right"/>
        <w:spacing w:after="0" w:line="240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sz w:val="26"/>
          <w:szCs w:val="26"/>
          <w:lang w:eastAsia="ru-RU"/>
        </w:rPr>
      </w:r>
    </w:p>
    <w:p>
      <w:pPr>
        <w:ind w:left="9639" w:right="-371"/>
        <w:jc w:val="right"/>
        <w:spacing w:after="0" w:line="240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sz w:val="26"/>
          <w:szCs w:val="26"/>
          <w:lang w:eastAsia="ru-RU"/>
        </w:rPr>
      </w:r>
    </w:p>
    <w:p>
      <w:pPr>
        <w:ind w:left="9639" w:right="-371"/>
        <w:jc w:val="right"/>
        <w:spacing w:after="0" w:line="240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sz w:val="26"/>
          <w:szCs w:val="26"/>
          <w:lang w:eastAsia="ru-RU"/>
        </w:rPr>
      </w:r>
    </w:p>
    <w:p>
      <w:pPr>
        <w:ind w:left="9639" w:right="-371"/>
        <w:jc w:val="right"/>
        <w:spacing w:after="0" w:line="240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sz w:val="26"/>
          <w:szCs w:val="26"/>
          <w:lang w:eastAsia="ru-RU"/>
        </w:rPr>
      </w:r>
    </w:p>
    <w:p>
      <w:pPr>
        <w:ind w:right="-371"/>
        <w:spacing w:after="0" w:line="240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sz w:val="26"/>
          <w:szCs w:val="26"/>
          <w:lang w:eastAsia="ru-RU"/>
        </w:rPr>
      </w:r>
    </w:p>
    <w:p>
      <w:pPr>
        <w:ind w:right="-371"/>
        <w:spacing w:after="0" w:line="240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sz w:val="26"/>
          <w:szCs w:val="26"/>
          <w:lang w:eastAsia="ru-RU"/>
        </w:rPr>
      </w:r>
    </w:p>
    <w:p>
      <w:pPr>
        <w:ind w:left="9639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lang w:eastAsia="ru-RU"/>
        </w:rPr>
        <w:t xml:space="preserve">                                                  </w:t>
      </w:r>
      <w:r>
        <w:rPr>
          <w:rFonts w:ascii="Times New Roman" w:hAnsi="Times New Roman" w:eastAsia="Times New Roman" w:cs="Times New Roman"/>
          <w:lang w:eastAsia="ru-RU"/>
        </w:rPr>
      </w:r>
      <w:r>
        <w:rPr>
          <w:rFonts w:ascii="Times New Roman" w:hAnsi="Times New Roman" w:eastAsia="Times New Roman" w:cs="Times New Roman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Таблица 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 подпрограмме  1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142" w:right="-371"/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ind w:left="142" w:right="-371"/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ind w:left="142" w:right="-371"/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ПЕРЕЧЕНЬ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ind w:left="142" w:right="-371"/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мероприятий подпрограммы с показателями результативности выполнения мероприятий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142" w:right="-371"/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tbl>
      <w:tblPr>
        <w:tblW w:w="15310" w:type="dxa"/>
        <w:tblInd w:w="-74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3684"/>
        <w:gridCol w:w="1416"/>
        <w:gridCol w:w="3687"/>
        <w:gridCol w:w="849"/>
        <w:gridCol w:w="993"/>
        <w:gridCol w:w="992"/>
        <w:gridCol w:w="994"/>
        <w:gridCol w:w="1702"/>
      </w:tblGrid>
      <w:tr>
        <w:tblPrEx/>
        <w:trPr>
          <w:trHeight w:val="760"/>
        </w:trPr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№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п/п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Цели, мероприятия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41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Срок исполнения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Наименование показателя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84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Ед. изм.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2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Показатели результативности выполнения мероприятий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70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Исполнитель, соисполнитель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81"/>
        </w:trPr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41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84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99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70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41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99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7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/>
        <w:tc>
          <w:tcPr>
            <w:gridSpan w:val="9"/>
            <w:shd w:val="clear" w:color="auto" w:fill="auto"/>
            <w:tcW w:w="1531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  <w:t xml:space="preserve">Подпрограмма 1. «Развитие учреждений культуры»</w:t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/>
        <w:tc>
          <w:tcPr>
            <w:gridSpan w:val="9"/>
            <w:shd w:val="clear" w:color="auto" w:fill="auto"/>
            <w:tcW w:w="1531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  <w:t xml:space="preserve">Цель: Создание условий по организации досуга, развития народного творчества и обеспечение жителей округа услугами организаций культуры. Обеспечение развития творческого потенциала и организация досуга населения</w:t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319"/>
        </w:trPr>
        <w:tc>
          <w:tcPr>
            <w:gridSpan w:val="9"/>
            <w:shd w:val="clear" w:color="auto" w:fill="auto"/>
            <w:tcW w:w="1531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Основное мероприятие 1. Обеспечение предоставления услуг (работ) учреждениями культуры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068"/>
        </w:trPr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1.1.1.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4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Предоставление муниципальных услуг (работ) в сфере культуры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41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2025 - 2027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Выполнение муниципального задания учреждениями культуры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849" w:type="dxa"/>
            <w:textDirection w:val="lrTb"/>
            <w:noWrap w:val="false"/>
          </w:tcPr>
          <w:p>
            <w:pPr>
              <w:ind w:left="-107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%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right w:val="single" w:color="auto" w:sz="4" w:space="0"/>
            </w:tcBorders>
            <w:tcW w:w="99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МБО; Музей;                 ДК «Октябрь»;  ДК «Восход»;       КДЦ «Платформа»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;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МБУК «ЦКПМО»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4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41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Количество клубных формирований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Шт.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Не менее 54</w:t>
            </w:r>
            <w:r>
              <w:rPr>
                <w:rFonts w:ascii="Times New Roman" w:hAnsi="Times New Roman" w:cs="Times New Roman"/>
                <w:szCs w:val="20"/>
              </w:rPr>
            </w:r>
            <w:r>
              <w:rPr>
                <w:rFonts w:ascii="Times New Roman" w:hAnsi="Times New Roman" w:cs="Times New Roman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Не менее 54</w:t>
            </w:r>
            <w:r>
              <w:rPr>
                <w:rFonts w:ascii="Times New Roman" w:hAnsi="Times New Roman" w:cs="Times New Roman"/>
                <w:szCs w:val="20"/>
              </w:rPr>
            </w:r>
            <w:r>
              <w:rPr>
                <w:rFonts w:ascii="Times New Roman" w:hAnsi="Times New Roman" w:cs="Times New Roman"/>
                <w:szCs w:val="20"/>
              </w:rPr>
            </w:r>
          </w:p>
        </w:tc>
        <w:tc>
          <w:tcPr>
            <w:shd w:val="clear" w:color="auto" w:fill="auto"/>
            <w:tcBorders>
              <w:right w:val="single" w:color="auto" w:sz="4" w:space="0"/>
            </w:tcBorders>
            <w:tcW w:w="99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szCs w:val="20"/>
              </w:rPr>
            </w:r>
            <w:r>
              <w:rPr>
                <w:rFonts w:ascii="Times New Roman" w:hAnsi="Times New Roman" w:cs="Times New Roman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54</w:t>
            </w:r>
            <w:r>
              <w:rPr>
                <w:rFonts w:ascii="Times New Roman" w:hAnsi="Times New Roman" w:cs="Times New Roman"/>
                <w:szCs w:val="20"/>
              </w:rPr>
            </w:r>
            <w:r>
              <w:rPr>
                <w:rFonts w:ascii="Times New Roman" w:hAnsi="Times New Roman" w:cs="Times New Roman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ДК «Октябрь»;  ДК «Восход» КДЦ «Платформа»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;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МБУК «ЦКПМО»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4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41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Количество культурно-массовых мероприятий организованных учреждениями культуры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Шт.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Не менее 450</w:t>
            </w:r>
            <w:r>
              <w:rPr>
                <w:rFonts w:ascii="Times New Roman" w:hAnsi="Times New Roman" w:cs="Times New Roman"/>
                <w:color w:val="000000"/>
                <w:szCs w:val="20"/>
                <w:highlight w:val="yellow"/>
              </w:rPr>
            </w:r>
            <w:r>
              <w:rPr>
                <w:rFonts w:ascii="Times New Roman" w:hAnsi="Times New Roman" w:cs="Times New Roman"/>
                <w:color w:val="00000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Не менее 450</w:t>
            </w:r>
            <w:r>
              <w:rPr>
                <w:rFonts w:ascii="Times New Roman" w:hAnsi="Times New Roman" w:cs="Times New Roman"/>
                <w:color w:val="000000"/>
                <w:szCs w:val="20"/>
                <w:highlight w:val="yellow"/>
              </w:rPr>
            </w:r>
            <w:r>
              <w:rPr>
                <w:rFonts w:ascii="Times New Roman" w:hAnsi="Times New Roman" w:cs="Times New Roman"/>
                <w:color w:val="000000"/>
                <w:szCs w:val="20"/>
                <w:highlight w:val="yellow"/>
              </w:rPr>
            </w:r>
          </w:p>
        </w:tc>
        <w:tc>
          <w:tcPr>
            <w:shd w:val="clear" w:color="auto" w:fill="auto"/>
            <w:tcBorders>
              <w:right w:val="single" w:color="auto" w:sz="4" w:space="0"/>
            </w:tcBorders>
            <w:tcW w:w="99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Не менее 450</w:t>
            </w:r>
            <w:r>
              <w:rPr>
                <w:rFonts w:ascii="Times New Roman" w:hAnsi="Times New Roman" w:cs="Times New Roman"/>
                <w:color w:val="000000"/>
                <w:szCs w:val="20"/>
                <w:highlight w:val="yellow"/>
              </w:rPr>
            </w:r>
            <w:r>
              <w:rPr>
                <w:rFonts w:ascii="Times New Roman" w:hAnsi="Times New Roman" w:cs="Times New Roman"/>
                <w:color w:val="000000"/>
                <w:szCs w:val="20"/>
                <w:highlight w:val="yellow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ДК «Октябрь»;  ДК «Восход» КДЦ «Платформа»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;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МБУК «ЦКПМО»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4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41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Число посетителей (зрителей) культурно-массовых мероприятий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Чел.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Не менее 110000</w:t>
            </w:r>
            <w:r>
              <w:rPr>
                <w:rFonts w:ascii="Times New Roman" w:hAnsi="Times New Roman" w:cs="Times New Roman"/>
                <w:color w:val="00000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Не менее 115000</w:t>
            </w:r>
            <w:r>
              <w:rPr>
                <w:rFonts w:ascii="Times New Roman" w:hAnsi="Times New Roman" w:cs="Times New Roman"/>
                <w:szCs w:val="20"/>
              </w:rPr>
            </w:r>
            <w:r>
              <w:rPr>
                <w:rFonts w:ascii="Times New Roman" w:hAnsi="Times New Roman" w:cs="Times New Roman"/>
                <w:szCs w:val="20"/>
              </w:rPr>
            </w:r>
          </w:p>
        </w:tc>
        <w:tc>
          <w:tcPr>
            <w:shd w:val="clear" w:color="auto" w:fill="auto"/>
            <w:tcBorders>
              <w:right w:val="single" w:color="auto" w:sz="4" w:space="0"/>
            </w:tcBorders>
            <w:tcW w:w="99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Не менее 115000</w:t>
            </w:r>
            <w:r>
              <w:rPr>
                <w:rFonts w:ascii="Times New Roman" w:hAnsi="Times New Roman" w:cs="Times New Roman"/>
                <w:szCs w:val="20"/>
              </w:rPr>
            </w:r>
            <w:r>
              <w:rPr>
                <w:rFonts w:ascii="Times New Roman" w:hAnsi="Times New Roman" w:cs="Times New Roman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ДК «Октябрь»;  ДК «Восход» КДЦ «Платформа»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;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МБУК «ЦКПМО»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4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41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Уровень удовлетворенности населения округа качеством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предоставления услуг учреждениями культуры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% 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color w:val="000000"/>
                <w:szCs w:val="20"/>
              </w:rPr>
              <w:t xml:space="preserve">96</w:t>
            </w:r>
            <w:r>
              <w:rPr>
                <w:rFonts w:ascii="Times New Roman" w:hAnsi="Times New Roman" w:cs="Times New Roman"/>
                <w:color w:val="00000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szCs w:val="20"/>
              </w:rPr>
              <w:t xml:space="preserve">97</w:t>
            </w:r>
            <w:r>
              <w:rPr>
                <w:rFonts w:ascii="Times New Roman" w:hAnsi="Times New Roman" w:cs="Times New Roman"/>
                <w:szCs w:val="20"/>
              </w:rPr>
            </w:r>
            <w:r>
              <w:rPr>
                <w:rFonts w:ascii="Times New Roman" w:hAnsi="Times New Roman" w:cs="Times New Roman"/>
                <w:szCs w:val="20"/>
              </w:rPr>
            </w:r>
          </w:p>
        </w:tc>
        <w:tc>
          <w:tcPr>
            <w:shd w:val="clear" w:color="auto" w:fill="auto"/>
            <w:tcBorders>
              <w:right w:val="single" w:color="auto" w:sz="4" w:space="0"/>
            </w:tcBorders>
            <w:tcW w:w="99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szCs w:val="20"/>
              </w:rPr>
              <w:t xml:space="preserve">97</w:t>
            </w:r>
            <w:r>
              <w:rPr>
                <w:rFonts w:ascii="Times New Roman" w:hAnsi="Times New Roman" w:cs="Times New Roman"/>
                <w:szCs w:val="20"/>
              </w:rPr>
            </w:r>
            <w:r>
              <w:rPr>
                <w:rFonts w:ascii="Times New Roman" w:hAnsi="Times New Roman" w:cs="Times New Roman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ДК «Октябрь»;  ДК «Восход» КДЦ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«Платформа»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;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МБУК «ЦКПМО»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4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41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Количество книговыдач в библиотеках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Шт.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Не менее 500000</w:t>
            </w:r>
            <w:r>
              <w:rPr>
                <w:rFonts w:ascii="Times New Roman" w:hAnsi="Times New Roman" w:cs="Times New Roman"/>
                <w:szCs w:val="20"/>
              </w:rPr>
            </w:r>
            <w:r>
              <w:rPr>
                <w:rFonts w:ascii="Times New Roman" w:hAnsi="Times New Roman" w:cs="Times New Roman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Не менее 510000</w:t>
            </w:r>
            <w:r>
              <w:rPr>
                <w:rFonts w:ascii="Times New Roman" w:hAnsi="Times New Roman" w:cs="Times New Roman"/>
                <w:szCs w:val="20"/>
              </w:rPr>
            </w:r>
            <w:r>
              <w:rPr>
                <w:rFonts w:ascii="Times New Roman" w:hAnsi="Times New Roman" w:cs="Times New Roman"/>
                <w:szCs w:val="20"/>
              </w:rPr>
            </w:r>
          </w:p>
        </w:tc>
        <w:tc>
          <w:tcPr>
            <w:shd w:val="clear" w:color="auto" w:fill="auto"/>
            <w:tcW w:w="99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Не менее 510000</w:t>
            </w:r>
            <w:r>
              <w:rPr>
                <w:rFonts w:ascii="Times New Roman" w:hAnsi="Times New Roman" w:cs="Times New Roman"/>
                <w:szCs w:val="20"/>
              </w:rPr>
            </w:r>
            <w:r>
              <w:rPr>
                <w:rFonts w:ascii="Times New Roman" w:hAnsi="Times New Roman" w:cs="Times New Roman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17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МБО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4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41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Число посетителей музея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Чел.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Не менее 2700</w:t>
            </w:r>
            <w:r>
              <w:rPr>
                <w:rFonts w:ascii="Times New Roman" w:hAnsi="Times New Roman" w:cs="Times New Roman"/>
                <w:szCs w:val="20"/>
              </w:rPr>
            </w:r>
            <w:r>
              <w:rPr>
                <w:rFonts w:ascii="Times New Roman" w:hAnsi="Times New Roman" w:cs="Times New Roman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Не менее 2700</w:t>
            </w:r>
            <w:r>
              <w:rPr>
                <w:rFonts w:ascii="Times New Roman" w:hAnsi="Times New Roman" w:cs="Times New Roman"/>
                <w:szCs w:val="20"/>
              </w:rPr>
            </w:r>
            <w:r>
              <w:rPr>
                <w:rFonts w:ascii="Times New Roman" w:hAnsi="Times New Roman" w:cs="Times New Roman"/>
                <w:szCs w:val="20"/>
              </w:rPr>
            </w:r>
          </w:p>
        </w:tc>
        <w:tc>
          <w:tcPr>
            <w:shd w:val="clear" w:color="auto" w:fill="auto"/>
            <w:tcW w:w="99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Не менее 2700</w:t>
            </w:r>
            <w:r>
              <w:rPr>
                <w:rFonts w:ascii="Times New Roman" w:hAnsi="Times New Roman" w:cs="Times New Roman"/>
                <w:szCs w:val="20"/>
              </w:rPr>
            </w:r>
            <w:r>
              <w:rPr>
                <w:rFonts w:ascii="Times New Roman" w:hAnsi="Times New Roman" w:cs="Times New Roman"/>
                <w:szCs w:val="20"/>
              </w:rPr>
            </w:r>
          </w:p>
        </w:tc>
        <w:tc>
          <w:tcPr>
            <w:shd w:val="clear" w:color="auto" w:fill="auto"/>
            <w:tcW w:w="170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Музей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4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41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Количество предметов основного музейного фонда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Ед.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1500</w:t>
            </w:r>
            <w:r>
              <w:rPr>
                <w:rFonts w:ascii="Times New Roman" w:hAnsi="Times New Roman" w:cs="Times New Roman"/>
                <w:szCs w:val="20"/>
              </w:rPr>
            </w:r>
            <w:r>
              <w:rPr>
                <w:rFonts w:ascii="Times New Roman" w:hAnsi="Times New Roman" w:cs="Times New Roman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1510</w:t>
            </w:r>
            <w:r>
              <w:rPr>
                <w:rFonts w:ascii="Times New Roman" w:hAnsi="Times New Roman" w:cs="Times New Roman"/>
                <w:szCs w:val="20"/>
              </w:rPr>
            </w:r>
            <w:r>
              <w:rPr>
                <w:rFonts w:ascii="Times New Roman" w:hAnsi="Times New Roman" w:cs="Times New Roman"/>
                <w:szCs w:val="20"/>
              </w:rPr>
            </w:r>
          </w:p>
        </w:tc>
        <w:tc>
          <w:tcPr>
            <w:shd w:val="clear" w:color="auto" w:fill="auto"/>
            <w:tcW w:w="99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1510</w:t>
            </w:r>
            <w:r>
              <w:rPr>
                <w:rFonts w:ascii="Times New Roman" w:hAnsi="Times New Roman" w:cs="Times New Roman"/>
                <w:szCs w:val="20"/>
              </w:rPr>
            </w:r>
            <w:r>
              <w:rPr>
                <w:rFonts w:ascii="Times New Roman" w:hAnsi="Times New Roman" w:cs="Times New Roman"/>
                <w:szCs w:val="20"/>
              </w:rPr>
            </w:r>
          </w:p>
        </w:tc>
        <w:tc>
          <w:tcPr>
            <w:shd w:val="clear" w:color="auto" w:fill="auto"/>
            <w:tcW w:w="170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1.1.2.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Обеспечение выполнения указов Президента Российской Федерации по оплате труда и начислениям на выплаты по оплате труда работникам муниципальных учреждений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41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2025 - 2027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Выполнение указов Президента Российской Федерации по оплате труда и начислениям на выплаты по оплате труда работникам муниципальных учреждений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%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7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МБО; Музей;                 ДК «Октябрь»;  ДК «Восход»;       КДЦ «Платформа»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;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МБУК «ЦКПМО»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9"/>
            <w:shd w:val="clear" w:color="auto" w:fill="auto"/>
            <w:tcW w:w="1531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Основное мероприятие 2. Создание условий для развития учреждений культуры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1.2.1.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4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Модернизация и укрепление материально-технической базы муниципальных бюджетных учреждений культуры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41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2025 - 2026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Обеспечение развития и укрепления материально-технической базы учреждений культуры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Да/нет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70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МБО; Музей;                 ДК «Октябрь»;  ДК «Восход»;        КДЦ «Платформа»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;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МБУК «ЦКПМО»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41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68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Проведение текущих ремонтов в учреждениях культуры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Да/нет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70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1.2.2.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68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Создание условий, отвечающих  современным требованиям, в </w:t>
              <w:br/>
              <w:t xml:space="preserve">ДК «Восход»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41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2025 - 2026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Проведение капитального ремонта здания ДК «Восход» 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Да/нет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7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ДК «Восход»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;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МБУК «ЦКПМО»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1.2.3.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68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Государственная поддержка отрасли культуры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41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Количество учреждений культуры, победителей конкурса получателей государственной поддержки.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Ед.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7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МБО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1.2.4.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68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Создание модельной библиотеки в 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пгт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. Никель на базе МБКПУ «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Печенгское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 МБО»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41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Количество созданных модельных муниципальных библиотек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Шт.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7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МБО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</w:tbl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ind w:firstLine="567"/>
        <w:jc w:val="center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0"/>
          <w:szCs w:val="20"/>
          <w:lang w:eastAsia="ru-RU"/>
        </w:rPr>
      </w:r>
    </w:p>
    <w:p>
      <w:pPr>
        <w:pStyle w:val="878"/>
        <w:ind w:left="1080"/>
        <w:jc w:val="center"/>
        <w:widowControl w:val="off"/>
        <w:rPr>
          <w:color w:val="000000" w:themeColor="text1"/>
        </w:rPr>
        <w:sectPr>
          <w:footerReference w:type="default" r:id="rId9"/>
          <w:footnotePr/>
          <w:endnotePr/>
          <w:type w:val="nextPage"/>
          <w:pgSz w:w="16838" w:h="11905" w:orient="landscape"/>
          <w:pgMar w:top="993" w:right="851" w:bottom="709" w:left="1701" w:header="720" w:footer="720" w:gutter="0"/>
          <w:cols w:num="1" w:sep="0" w:space="720" w:equalWidth="1"/>
          <w:docGrid w:linePitch="360"/>
        </w:sectPr>
      </w:pPr>
      <w:r>
        <w:rPr>
          <w:color w:val="000000" w:themeColor="text1"/>
        </w:rPr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Приложение № 2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к программе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pStyle w:val="878"/>
        <w:ind w:left="1080"/>
        <w:jc w:val="center"/>
        <w:widowControl w:val="off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p>
      <w:pPr>
        <w:pStyle w:val="878"/>
        <w:ind w:left="1080"/>
        <w:jc w:val="center"/>
        <w:widowControl w:val="off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ПОДПРОГРАММА 2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«Развитие системы дополнительного образования в сфере культуры и искусства»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pStyle w:val="868"/>
        <w:ind w:left="0"/>
        <w:jc w:val="center"/>
        <w:widowControl w:val="off"/>
        <w:tabs>
          <w:tab w:val="left" w:pos="284" w:leader="none"/>
        </w:tabs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68"/>
        <w:ind w:left="0"/>
        <w:jc w:val="center"/>
        <w:widowControl w:val="off"/>
        <w:tabs>
          <w:tab w:val="left" w:pos="284" w:leader="none"/>
        </w:tabs>
        <w:rPr>
          <w:b/>
        </w:rPr>
      </w:pPr>
      <w:r>
        <w:rPr>
          <w:b/>
        </w:rPr>
        <w:t xml:space="preserve">Паспорт подпрограммы</w:t>
      </w:r>
      <w:r>
        <w:rPr>
          <w:b/>
        </w:rPr>
      </w:r>
      <w:r>
        <w:rPr>
          <w:b/>
        </w:rPr>
      </w:r>
    </w:p>
    <w:p>
      <w:pPr>
        <w:pStyle w:val="868"/>
        <w:ind w:left="0"/>
        <w:jc w:val="center"/>
        <w:widowControl w:val="off"/>
        <w:tabs>
          <w:tab w:val="left" w:pos="284" w:leader="none"/>
        </w:tabs>
        <w:rPr>
          <w:color w:val="0070c0"/>
          <w:sz w:val="20"/>
          <w:szCs w:val="20"/>
        </w:rPr>
      </w:pPr>
      <w:r>
        <w:rPr>
          <w:color w:val="0070c0"/>
          <w:sz w:val="20"/>
          <w:szCs w:val="20"/>
        </w:rPr>
      </w:r>
      <w:r>
        <w:rPr>
          <w:color w:val="0070c0"/>
          <w:sz w:val="20"/>
          <w:szCs w:val="20"/>
        </w:rPr>
      </w:r>
      <w:r>
        <w:rPr>
          <w:color w:val="0070c0"/>
          <w:sz w:val="20"/>
          <w:szCs w:val="20"/>
        </w:rPr>
      </w:r>
    </w:p>
    <w:tbl>
      <w:tblPr>
        <w:tblW w:w="101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2376"/>
        <w:gridCol w:w="7797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6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Наименование муниципальной 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797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  <w:outlineLvl w:val="1"/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Печенгского муниципального округа «Культура» на 2025 - 2027 годы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Цель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79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Повышение доступности и качества услуг дополнительного образования в сфере культуры и искусства.  Совершенствование системы выявления и сопровождения одарённых детей, их специальной поддержки.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Основные мероприятия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79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1. Обеспечение предоставления услуг учреждениями дополнительного образования в сфере культуры и искусства.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2. Создание условий для развития учреждений дополнительного образования в сфере культуры и искусства.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3. 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благоприятных условий для выявления, развития и поддержки одарённых детей в различных областях творческой деятельности.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Показатели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797" w:type="dxa"/>
            <w:vAlign w:val="center"/>
            <w:textDirection w:val="lrTb"/>
            <w:noWrap w:val="false"/>
          </w:tcPr>
          <w:p>
            <w:pPr>
              <w:pStyle w:val="878"/>
              <w:numPr>
                <w:ilvl w:val="0"/>
                <w:numId w:val="6"/>
              </w:numPr>
              <w:ind w:left="0" w:firstLine="0"/>
              <w:jc w:val="both"/>
              <w:widowControl w:val="off"/>
              <w:tabs>
                <w:tab w:val="left" w:pos="318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Выполнение муниципального задания учреждениями дополнительного образования в сфере культуры и искусства.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878"/>
              <w:numPr>
                <w:ilvl w:val="0"/>
                <w:numId w:val="6"/>
              </w:numPr>
              <w:ind w:left="0" w:firstLine="0"/>
              <w:jc w:val="both"/>
              <w:widowControl w:val="off"/>
              <w:tabs>
                <w:tab w:val="left" w:pos="318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детей, осваивающих дополнительные общеразвивающие программы.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878"/>
              <w:numPr>
                <w:ilvl w:val="0"/>
                <w:numId w:val="6"/>
              </w:numPr>
              <w:ind w:left="0" w:firstLine="0"/>
              <w:jc w:val="both"/>
              <w:widowControl w:val="off"/>
              <w:tabs>
                <w:tab w:val="left" w:pos="318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детей, осваивающих дополнительные предпрофессиональные программы.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878"/>
              <w:numPr>
                <w:ilvl w:val="0"/>
                <w:numId w:val="6"/>
              </w:numPr>
              <w:ind w:left="0" w:firstLine="0"/>
              <w:jc w:val="both"/>
              <w:widowControl w:val="off"/>
              <w:tabs>
                <w:tab w:val="left" w:pos="318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Выполнение указов Президента Российской Федерации по оплате труда и начислений на выплаты по оплате труда работникам муниципальных учреждений.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878"/>
              <w:numPr>
                <w:ilvl w:val="0"/>
                <w:numId w:val="6"/>
              </w:numPr>
              <w:ind w:left="0" w:firstLine="0"/>
              <w:jc w:val="both"/>
              <w:widowControl w:val="off"/>
              <w:tabs>
                <w:tab w:val="left" w:pos="318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Обеспечение развития и укрепления материально-технической базы учреждений дополнительного образования детей в сфере культуры и искусства.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878"/>
              <w:numPr>
                <w:ilvl w:val="0"/>
                <w:numId w:val="6"/>
              </w:numPr>
              <w:ind w:left="0" w:firstLine="0"/>
              <w:jc w:val="both"/>
              <w:widowControl w:val="off"/>
              <w:tabs>
                <w:tab w:val="left" w:pos="318" w:leader="none"/>
              </w:tabs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Проведение текущих ремонтов в учреждениях дополнительного образования в сфере культуры и искусства.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878"/>
              <w:numPr>
                <w:ilvl w:val="0"/>
                <w:numId w:val="6"/>
              </w:numPr>
              <w:ind w:left="0" w:firstLine="0"/>
              <w:jc w:val="both"/>
              <w:widowControl w:val="off"/>
              <w:tabs>
                <w:tab w:val="left" w:pos="318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Число участников творческих конкурсов, фестивалей, выставок.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7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Сроки и этапы реализации подпрограммы 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79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– 2027 годы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6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Финансовое обеспечение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79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подпрограмме: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312 021,5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0,0 тыс.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83456,1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27818,7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27818,7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27818,7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228565,4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75168,4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84318,0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69079,0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0,0 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7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Ожидаемые  конечные результаты реализации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797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Полнота выполнения муниципального задания.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Сохранение количества детей, обучающихся в учреждениях дополнительного образования в сфере культуры и искусства.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3.Увеличение доли детей, принимающих участие в конкурсах различного уровня.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0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исполнитель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797" w:type="dxa"/>
            <w:textDirection w:val="lrTb"/>
            <w:noWrap w:val="false"/>
          </w:tcPr>
          <w:p>
            <w:pPr>
              <w:pStyle w:val="875"/>
              <w:ind w:firstLine="0"/>
              <w:spacing w:line="240" w:lineRule="auto"/>
              <w:tabs>
                <w:tab w:val="left" w:pos="252" w:leader="none"/>
                <w:tab w:val="left" w:pos="297" w:leader="none"/>
                <w:tab w:val="left" w:pos="3039" w:leader="none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Cs w:val="20"/>
              </w:rPr>
              <w:t xml:space="preserve">отдел </w:t>
            </w:r>
            <w:r>
              <w:rPr>
                <w:rFonts w:ascii="Times New Roman" w:hAnsi="Times New Roman" w:eastAsia="Times New Roman" w:cs="Times New Roman"/>
                <w:szCs w:val="20"/>
              </w:rPr>
              <w:t xml:space="preserve">КСиМП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7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Исполнители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797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ДМШ № 1, ДМШ № 2, ДМШ № 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МБДОУ «ДМШ»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(далее - ДМШ), ДХШ № 1, ДХШ №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МБУДО «ДХШ»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(далее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ДХШ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7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Соисполнители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797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pStyle w:val="868"/>
        <w:ind w:left="1080"/>
        <w:tabs>
          <w:tab w:val="left" w:pos="317" w:leader="none"/>
        </w:tabs>
        <w:rPr>
          <w:spacing w:val="1"/>
          <w:sz w:val="18"/>
          <w:szCs w:val="18"/>
        </w:rPr>
      </w:pPr>
      <w:r>
        <w:rPr>
          <w:spacing w:val="1"/>
          <w:sz w:val="18"/>
          <w:szCs w:val="18"/>
        </w:rPr>
      </w:r>
      <w:r>
        <w:rPr>
          <w:spacing w:val="1"/>
          <w:sz w:val="18"/>
          <w:szCs w:val="18"/>
        </w:rPr>
      </w:r>
      <w:r>
        <w:rPr>
          <w:spacing w:val="1"/>
          <w:sz w:val="18"/>
          <w:szCs w:val="18"/>
        </w:rPr>
      </w:r>
    </w:p>
    <w:p>
      <w:pPr>
        <w:pStyle w:val="868"/>
        <w:ind w:left="1080"/>
        <w:tabs>
          <w:tab w:val="left" w:pos="317" w:leader="none"/>
        </w:tabs>
        <w:rPr>
          <w:spacing w:val="1"/>
          <w:sz w:val="18"/>
          <w:szCs w:val="18"/>
        </w:rPr>
      </w:pPr>
      <w:r>
        <w:rPr>
          <w:spacing w:val="1"/>
          <w:sz w:val="18"/>
          <w:szCs w:val="18"/>
        </w:rPr>
      </w:r>
      <w:r>
        <w:rPr>
          <w:spacing w:val="1"/>
          <w:sz w:val="18"/>
          <w:szCs w:val="18"/>
        </w:rPr>
      </w:r>
      <w:r>
        <w:rPr>
          <w:spacing w:val="1"/>
          <w:sz w:val="18"/>
          <w:szCs w:val="18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24"/>
          <w:szCs w:val="24"/>
        </w:rPr>
        <w:sectPr>
          <w:footnotePr/>
          <w:endnotePr/>
          <w:type w:val="nextPage"/>
          <w:pgSz w:w="11905" w:h="16838" w:orient="portrait"/>
          <w:pgMar w:top="851" w:right="1134" w:bottom="1276" w:left="1276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Таблица 1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 подпрограмме 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ПЕРЕЧЕНЬ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мероприятий подпрограммы с объёмом финансирования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color w:val="0070c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70c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70c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70c0"/>
          <w:sz w:val="20"/>
          <w:szCs w:val="20"/>
          <w:lang w:eastAsia="ru-RU"/>
        </w:rPr>
      </w:r>
    </w:p>
    <w:tbl>
      <w:tblPr>
        <w:tblW w:w="4986" w:type="pct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5245"/>
        <w:gridCol w:w="1416"/>
        <w:gridCol w:w="9"/>
        <w:gridCol w:w="1138"/>
        <w:gridCol w:w="1279"/>
        <w:gridCol w:w="1279"/>
        <w:gridCol w:w="1275"/>
        <w:gridCol w:w="6"/>
        <w:gridCol w:w="1303"/>
        <w:gridCol w:w="1790"/>
      </w:tblGrid>
      <w:tr>
        <w:tblPrEx/>
        <w:trPr>
          <w:trHeight w:val="780"/>
        </w:trPr>
        <w:tc>
          <w:tcPr>
            <w:shd w:val="clear" w:color="auto" w:fill="auto"/>
            <w:tcW w:w="27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№ п/п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Цели, мероприятия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Срок исполнения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Источники финансирования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164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Объем финансирования,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тысяч рублей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85" w:leader="none"/>
              </w:tabs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Исполнители, соисполнители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67"/>
        </w:trPr>
        <w:tc>
          <w:tcPr>
            <w:shd w:val="clear" w:color="auto" w:fill="auto"/>
            <w:tcW w:w="27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27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90"/>
        </w:trPr>
        <w:tc>
          <w:tcPr>
            <w:gridSpan w:val="11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  <w:t xml:space="preserve">Подпрограмма 2.  «Развитие системы дополнительного образования в сфере культуры и искусства»</w:t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90"/>
        </w:trPr>
        <w:tc>
          <w:tcPr>
            <w:gridSpan w:val="11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  <w:t xml:space="preserve">Цель: Повышение доступности и качества услуг дополнительного образования в сфере культуры и искусства. Совершенствование системы выявления и сопровождения одаренных детей, их специальной поддержки</w:t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81"/>
        </w:trPr>
        <w:tc>
          <w:tcPr>
            <w:gridSpan w:val="11"/>
            <w:shd w:val="clear" w:color="auto" w:fill="auto"/>
            <w:tcW w:w="5000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Основное мероприятие 1. Обеспечение предоставления услуг (работ) учреждениями дополнительного образования в сфере культуры и  искусства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7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2.1.1.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Предоставление муниципальных услуг (работ) учреждениями дополнительного образования в сфере культуры и искусства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2025 - 2027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ДМШ, ДХШ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00"/>
        </w:trPr>
        <w:tc>
          <w:tcPr>
            <w:shd w:val="clear" w:color="auto" w:fill="auto"/>
            <w:tcW w:w="2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208706,8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69754,2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75095,8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63856,8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8"/>
        </w:trPr>
        <w:tc>
          <w:tcPr>
            <w:shd w:val="clear" w:color="auto" w:fill="auto"/>
            <w:tcW w:w="2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208706,8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69754,2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75095,8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63856,8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7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2.1.2.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Обеспечение выполнения указов Президента Российской Федерации по оплате труда и начислениям на выплаты по оплате труда работникам муниципальных учреждений, в том числе: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2025 - 2027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ДМШ, ДХШ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83456,1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27818,7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27818,7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27818,7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59"/>
        </w:trPr>
        <w:tc>
          <w:tcPr>
            <w:shd w:val="clear" w:color="auto" w:fill="auto"/>
            <w:tcW w:w="2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14727,6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4909,2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4909,2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4909,2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98183,7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32727,9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32727,9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32727,9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7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сохран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ения заработной платы труда работников муниципальных учреждений образования, культуры, физической культуры и спорта на уровне, установленном указами Президента Российской Федерации от07.05.2012 № 597 «О мероприятиях по реализации государственной социальной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олитики», </w:t>
              <w:br/>
              <w:t xml:space="preserve">от 01.06.2012 № 761 «О Национальной стратегии действий в интересах детей на 2012-2017 годы» и </w:t>
              <w:br/>
              <w:t xml:space="preserve">от 28.12.2012 № 1688 «О некоторых мерах по реализации государственной политики в сфере защиты детей-сирот и детей, оставшихся без попечения родителей»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2025 - 2027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ДМШ, ДХШ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54876,9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18292,3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18292,3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18292,3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68"/>
        </w:trPr>
        <w:tc>
          <w:tcPr>
            <w:shd w:val="clear" w:color="auto" w:fill="auto"/>
            <w:tcW w:w="2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9684,3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3228,1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3228,1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3228,1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64561,2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21520,4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21520,4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21520,4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7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2.1.2.2.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Реализация мер социальной поддержки отдельных категорий граждан, работающих в муниципальных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учреждениях образования и культуры, расположенных в сельских населенных пунктах или поселках городского типа Мурманской области, имеющих в соответств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 с Законом Мурманской области от 27.12.2004 </w:t>
              <w:br/>
              <w:t xml:space="preserve">№ 561-01-ЗМО «О мерах социальной поддержки отдельных категорий граждан, работающих в сельских населенных пунктах или поселках городского типа» право на установление повышенных на 25 процентов размеров тарифной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ставки, оклада (должностного оклада), установленного работнику по сравнению с тарифными ставками, окладами (должностными окладами) специалистов муниципальных учреждений образования и культуры, занимающихся этим видом деятельности в городских условиях, в со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ответствии с Перечнем должностей специалистов, работающих в государственных областных и муниципальных учреждениях, имеющих право на получение мер социальной поддержки и (или) установление повышенных размеров тарифных ставок, окладов (должностных окладов) 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соответствии с Законом Мурманской области «О мерах социальной поддержки отдельных категорий граждан, работающих в сельских населенных пунктах или поселках городского типа», утвержденным постановлением Правительства Мурманской области от 01.03.2011 № 86-ПП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2025 - 2027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ДМШ, ДХШ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6258,0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2086,0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2086,0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2086,0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1104,3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368,1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368,1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368,1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7362,3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2454,1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2454,1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2454,1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7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2.1.2.3.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Повышение оплаты труда работников муниципальных учреждений в связи с доведением опла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ы труда до минимального размера оплаты труда, установленного федеральным законом от 19.06.2000 № 82-ФЗ </w:t>
              <w:br/>
              <w:t xml:space="preserve">«О минимальном размере оплаты труда (с изменениями), увеличенного на районный коэффициент и процентную надбавку за стаж работы в районах Крайнего севера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2025 - 2027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ДМШ, ДХШ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22321,2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7440,4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7440,4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7440,4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3939,0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1313,0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1313,0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1313,0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65"/>
        </w:trPr>
        <w:tc>
          <w:tcPr>
            <w:shd w:val="clear" w:color="auto" w:fill="auto"/>
            <w:tcW w:w="2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26260,2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8753,4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8753,4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8753,4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214"/>
        </w:trPr>
        <w:tc>
          <w:tcPr>
            <w:gridSpan w:val="4"/>
            <w:shd w:val="clear" w:color="auto" w:fill="auto"/>
            <w:tcW w:w="241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3"/>
                <w:szCs w:val="23"/>
                <w:lang w:eastAsia="ru-RU"/>
              </w:rPr>
              <w:t xml:space="preserve">Итого по основному мероприятию 1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ffffff" w:themeFill="background1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ffffff" w:themeFill="background1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ffffff" w:themeFill="background1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ffffff" w:themeFill="background1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4"/>
        </w:trPr>
        <w:tc>
          <w:tcPr>
            <w:gridSpan w:val="4"/>
            <w:shd w:val="clear" w:color="auto" w:fill="auto"/>
            <w:tcW w:w="241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83456,1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27818,7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27818,7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27818,7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43"/>
        </w:trPr>
        <w:tc>
          <w:tcPr>
            <w:gridSpan w:val="4"/>
            <w:shd w:val="clear" w:color="auto" w:fill="auto"/>
            <w:tcW w:w="241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223434,4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74663,4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80005,0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68766,0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14"/>
        </w:trPr>
        <w:tc>
          <w:tcPr>
            <w:gridSpan w:val="4"/>
            <w:shd w:val="clear" w:color="auto" w:fill="auto"/>
            <w:tcW w:w="241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59"/>
        </w:trPr>
        <w:tc>
          <w:tcPr>
            <w:gridSpan w:val="4"/>
            <w:shd w:val="clear" w:color="auto" w:fill="auto"/>
            <w:tcW w:w="241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306890,5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102482,1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107823,7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96584,7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11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Основное мероприятие 2. Создание условий для развития учреждений дополнительного образования в сфере культуры и искусства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27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2.2.1.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Модернизация и укрепление материально-технической базы муниципальных бюджетных учреждений дополнительного образования в сфере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культуры и искусства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2025 - 2026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ДМШ, ДХШ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2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5"/>
        </w:trPr>
        <w:tc>
          <w:tcPr>
            <w:shd w:val="clear" w:color="auto" w:fill="auto"/>
            <w:tcW w:w="2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4192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192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4000,0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2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3"/>
        </w:trPr>
        <w:tc>
          <w:tcPr>
            <w:shd w:val="clear" w:color="auto" w:fill="auto"/>
            <w:tcW w:w="2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4192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192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4000,0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240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3"/>
                <w:szCs w:val="23"/>
                <w:lang w:eastAsia="ru-RU"/>
              </w:rPr>
              <w:t xml:space="preserve">Итого по основному мероприятию 2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240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240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4192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192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4000,0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240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91"/>
        </w:trPr>
        <w:tc>
          <w:tcPr>
            <w:gridSpan w:val="3"/>
            <w:shd w:val="clear" w:color="auto" w:fill="auto"/>
            <w:tcW w:w="240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4192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192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4000,0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11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Основное мероприятие 3. Создание благоприятных условий для выявления, развития и поддержки одаренных детей в различных областях творческой деятельности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27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2.3.1.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Обеспечение участия учащихся детских музыкальных и художественных школ в конкурсах, фестивалях, выставках различного уровня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2025 - 2027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0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ДМШ, ДХШ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2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0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939,0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313,0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0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313,0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313,0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2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0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2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939,0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313,0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313,0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313,0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4"/>
            <w:shd w:val="clear" w:color="auto" w:fill="auto"/>
            <w:tcW w:w="241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Итого по основному мероприятию 3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0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4"/>
            <w:shd w:val="clear" w:color="auto" w:fill="auto"/>
            <w:tcW w:w="241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0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4"/>
            <w:shd w:val="clear" w:color="auto" w:fill="auto"/>
            <w:tcW w:w="241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939,0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313,0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313,0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313,0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4"/>
            <w:shd w:val="clear" w:color="auto" w:fill="auto"/>
            <w:tcW w:w="241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0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4"/>
            <w:shd w:val="clear" w:color="auto" w:fill="auto"/>
            <w:tcW w:w="241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939,0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313,0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313,0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313,0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4"/>
            <w:shd w:val="clear" w:color="auto" w:fill="auto"/>
            <w:tcW w:w="241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Всего по подпрограмме 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ffffff" w:themeFill="background1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ffffff" w:themeFill="background1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ffffff" w:themeFill="background1"/>
            <w:tcW w:w="40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gridSpan w:val="2"/>
            <w:shd w:val="clear" w:color="auto" w:fill="ffffff" w:themeFill="background1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51"/>
        </w:trPr>
        <w:tc>
          <w:tcPr>
            <w:gridSpan w:val="4"/>
            <w:shd w:val="clear" w:color="auto" w:fill="auto"/>
            <w:tcW w:w="241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83456,1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27818,7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27818,7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27818,7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4"/>
            <w:shd w:val="clear" w:color="auto" w:fill="auto"/>
            <w:tcW w:w="241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228565,4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75168,4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84318,0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69079,0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4"/>
            <w:shd w:val="clear" w:color="auto" w:fill="auto"/>
            <w:tcW w:w="241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4"/>
            <w:shd w:val="clear" w:color="auto" w:fill="auto"/>
            <w:tcW w:w="241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312021,5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102987,1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112136,7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96897,7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</w:tbl>
    <w:p>
      <w:pPr>
        <w:ind w:firstLine="426"/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firstLine="426"/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В перечне программных мероприятий с объемом финансирования используются сокращения: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firstLine="426"/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ФБ - федеральный бюджет; ОБ - областной бюджет; МБ - местный бюджет; ВБС - внебюджетные средства.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lang w:eastAsia="ru-RU"/>
        </w:rPr>
      </w:r>
      <w:r>
        <w:rPr>
          <w:rFonts w:ascii="Times New Roman" w:hAnsi="Times New Roman" w:eastAsia="Times New Roman" w:cs="Times New Roman"/>
          <w:lang w:eastAsia="ru-RU"/>
        </w:rPr>
      </w:r>
      <w:r>
        <w:rPr>
          <w:rFonts w:ascii="Times New Roman" w:hAnsi="Times New Roman" w:eastAsia="Times New Roman" w:cs="Times New Roman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lang w:eastAsia="ru-RU"/>
        </w:rPr>
      </w:r>
      <w:r>
        <w:rPr>
          <w:rFonts w:ascii="Times New Roman" w:hAnsi="Times New Roman" w:eastAsia="Times New Roman" w:cs="Times New Roman"/>
          <w:lang w:eastAsia="ru-RU"/>
        </w:rPr>
      </w:r>
      <w:r>
        <w:rPr>
          <w:rFonts w:ascii="Times New Roman" w:hAnsi="Times New Roman" w:eastAsia="Times New Roman" w:cs="Times New Roman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lang w:eastAsia="ru-RU"/>
        </w:rPr>
      </w:r>
      <w:r>
        <w:rPr>
          <w:rFonts w:ascii="Times New Roman" w:hAnsi="Times New Roman" w:eastAsia="Times New Roman" w:cs="Times New Roman"/>
          <w:lang w:eastAsia="ru-RU"/>
        </w:rPr>
      </w:r>
      <w:r>
        <w:rPr>
          <w:rFonts w:ascii="Times New Roman" w:hAnsi="Times New Roman" w:eastAsia="Times New Roman" w:cs="Times New Roman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lang w:eastAsia="ru-RU"/>
        </w:rPr>
      </w:r>
      <w:r>
        <w:rPr>
          <w:rFonts w:ascii="Times New Roman" w:hAnsi="Times New Roman" w:eastAsia="Times New Roman" w:cs="Times New Roman"/>
          <w:lang w:eastAsia="ru-RU"/>
        </w:rPr>
      </w:r>
      <w:r>
        <w:rPr>
          <w:rFonts w:ascii="Times New Roman" w:hAnsi="Times New Roman" w:eastAsia="Times New Roman" w:cs="Times New Roman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lang w:eastAsia="ru-RU"/>
        </w:rPr>
      </w:r>
      <w:r>
        <w:rPr>
          <w:rFonts w:ascii="Times New Roman" w:hAnsi="Times New Roman" w:eastAsia="Times New Roman" w:cs="Times New Roman"/>
          <w:lang w:eastAsia="ru-RU"/>
        </w:rPr>
      </w:r>
      <w:r>
        <w:rPr>
          <w:rFonts w:ascii="Times New Roman" w:hAnsi="Times New Roman" w:eastAsia="Times New Roman" w:cs="Times New Roman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lang w:eastAsia="ru-RU"/>
        </w:rPr>
      </w:r>
      <w:r>
        <w:rPr>
          <w:rFonts w:ascii="Times New Roman" w:hAnsi="Times New Roman" w:eastAsia="Times New Roman" w:cs="Times New Roman"/>
          <w:lang w:eastAsia="ru-RU"/>
        </w:rPr>
      </w:r>
      <w:r>
        <w:rPr>
          <w:rFonts w:ascii="Times New Roman" w:hAnsi="Times New Roman" w:eastAsia="Times New Roman" w:cs="Times New Roman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lang w:eastAsia="ru-RU"/>
        </w:rPr>
      </w:r>
      <w:r>
        <w:rPr>
          <w:rFonts w:ascii="Times New Roman" w:hAnsi="Times New Roman" w:eastAsia="Times New Roman" w:cs="Times New Roman"/>
          <w:lang w:eastAsia="ru-RU"/>
        </w:rPr>
      </w:r>
      <w:r>
        <w:rPr>
          <w:rFonts w:ascii="Times New Roman" w:hAnsi="Times New Roman" w:eastAsia="Times New Roman" w:cs="Times New Roman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lang w:eastAsia="ru-RU"/>
        </w:rPr>
      </w:r>
      <w:r>
        <w:rPr>
          <w:rFonts w:ascii="Times New Roman" w:hAnsi="Times New Roman" w:eastAsia="Times New Roman" w:cs="Times New Roman"/>
          <w:lang w:eastAsia="ru-RU"/>
        </w:rPr>
      </w:r>
      <w:r>
        <w:rPr>
          <w:rFonts w:ascii="Times New Roman" w:hAnsi="Times New Roman" w:eastAsia="Times New Roman" w:cs="Times New Roman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lang w:eastAsia="ru-RU"/>
        </w:rPr>
      </w:r>
      <w:r>
        <w:rPr>
          <w:rFonts w:ascii="Times New Roman" w:hAnsi="Times New Roman" w:eastAsia="Times New Roman" w:cs="Times New Roman"/>
          <w:lang w:eastAsia="ru-RU"/>
        </w:rPr>
      </w:r>
      <w:r>
        <w:rPr>
          <w:rFonts w:ascii="Times New Roman" w:hAnsi="Times New Roman" w:eastAsia="Times New Roman" w:cs="Times New Roman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lang w:eastAsia="ru-RU"/>
        </w:rPr>
      </w:r>
      <w:r>
        <w:rPr>
          <w:rFonts w:ascii="Times New Roman" w:hAnsi="Times New Roman" w:eastAsia="Times New Roman" w:cs="Times New Roman"/>
          <w:lang w:eastAsia="ru-RU"/>
        </w:rPr>
      </w:r>
      <w:r>
        <w:rPr>
          <w:rFonts w:ascii="Times New Roman" w:hAnsi="Times New Roman" w:eastAsia="Times New Roman" w:cs="Times New Roman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lang w:eastAsia="ru-RU"/>
        </w:rPr>
      </w:r>
      <w:r>
        <w:rPr>
          <w:rFonts w:ascii="Times New Roman" w:hAnsi="Times New Roman" w:eastAsia="Times New Roman" w:cs="Times New Roman"/>
          <w:lang w:eastAsia="ru-RU"/>
        </w:rPr>
      </w:r>
      <w:r>
        <w:rPr>
          <w:rFonts w:ascii="Times New Roman" w:hAnsi="Times New Roman" w:eastAsia="Times New Roman" w:cs="Times New Roman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Таблица 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 подпрограмме 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142" w:right="-371"/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ind w:left="142" w:right="-371"/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ПЕРЕЧЕНЬ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142" w:right="-371"/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мероприятий подпрограммы с показателями результативности выполнения мероприятий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color w:val="0070c0"/>
          <w:sz w:val="20"/>
          <w:szCs w:val="20"/>
          <w:lang w:eastAsia="ru-RU"/>
        </w:rPr>
        <w:outlineLvl w:val="1"/>
      </w:pPr>
      <w:r>
        <w:rPr>
          <w:rFonts w:ascii="Times New Roman" w:hAnsi="Times New Roman" w:eastAsia="Times New Roman" w:cs="Times New Roman"/>
          <w:color w:val="0070c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70c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70c0"/>
          <w:sz w:val="20"/>
          <w:szCs w:val="20"/>
          <w:lang w:eastAsia="ru-RU"/>
        </w:rPr>
      </w:r>
    </w:p>
    <w:tbl>
      <w:tblPr>
        <w:tblW w:w="15309" w:type="dxa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3827"/>
        <w:gridCol w:w="1417"/>
        <w:gridCol w:w="3544"/>
        <w:gridCol w:w="992"/>
        <w:gridCol w:w="993"/>
        <w:gridCol w:w="992"/>
        <w:gridCol w:w="992"/>
        <w:gridCol w:w="1701"/>
      </w:tblGrid>
      <w:tr>
        <w:tblPrEx/>
        <w:trPr>
          <w:trHeight w:val="760"/>
        </w:trPr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№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п/п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82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Цели, мероприятия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4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Срок исполнения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54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Наименование показателя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Ед.изм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29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Показатели результативности выполнения мероприятий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Исполнитель, соисполнитель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81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82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54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54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/>
        <w:tc>
          <w:tcPr>
            <w:gridSpan w:val="9"/>
            <w:shd w:val="clear" w:color="auto" w:fill="auto"/>
            <w:tcW w:w="1530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  <w:t xml:space="preserve">Подпрограмма 2. «Развитие системы дополнительного образования в сфере культуры и искусства»</w:t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/>
        <w:tc>
          <w:tcPr>
            <w:gridSpan w:val="9"/>
            <w:shd w:val="clear" w:color="auto" w:fill="auto"/>
            <w:tcW w:w="1530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  <w:t xml:space="preserve">Цель: Повышение доступности и качества услуг дополнительного образования в сфере культуры и искусства. Совершенствование системы выявления и сопровождения одаренных детей, их специальной поддержки</w:t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319"/>
        </w:trPr>
        <w:tc>
          <w:tcPr>
            <w:gridSpan w:val="9"/>
            <w:shd w:val="clear" w:color="auto" w:fill="auto"/>
            <w:tcW w:w="1530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Основное мероприятие 1. Обеспечение предоставления услуг (работ) учреждениями дополнительного образования в сфере культуры и  искусства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2.1.1.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827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Предоставление муниципальных услуг (работ) учреждениями дополнительного образования в сфере культуры и искусства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4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2025 - 2027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54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Выполнение муниципального задания учреждениями дополнительного образования в сфере культуры и искусства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%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ДМШ, ДХШ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82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54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Доля детей, осваивающих дополнительные общеразвивающие программы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%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25</w:t>
            </w:r>
            <w:r>
              <w:rPr>
                <w:rFonts w:ascii="Times New Roman" w:hAnsi="Times New Roman" w:cs="Times New Roman"/>
                <w:szCs w:val="20"/>
              </w:rPr>
            </w:r>
            <w:r>
              <w:rPr>
                <w:rFonts w:ascii="Times New Roman" w:hAnsi="Times New Roman" w:cs="Times New Roman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20</w:t>
            </w:r>
            <w:r>
              <w:rPr>
                <w:rFonts w:ascii="Times New Roman" w:hAnsi="Times New Roman" w:cs="Times New Roman"/>
                <w:szCs w:val="20"/>
              </w:rPr>
            </w:r>
            <w:r>
              <w:rPr>
                <w:rFonts w:ascii="Times New Roman" w:hAnsi="Times New Roman" w:cs="Times New Roman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20</w:t>
            </w:r>
            <w:r>
              <w:rPr>
                <w:rFonts w:ascii="Times New Roman" w:hAnsi="Times New Roman" w:cs="Times New Roman"/>
                <w:szCs w:val="20"/>
              </w:rPr>
            </w:r>
            <w:r>
              <w:rPr>
                <w:rFonts w:ascii="Times New Roman" w:hAnsi="Times New Roman" w:cs="Times New Roman"/>
                <w:szCs w:val="20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ДМШ, ДХШ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82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54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Доля детей, осваивающих дополнительные предпрофессиональные программы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%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75</w:t>
            </w:r>
            <w:r>
              <w:rPr>
                <w:rFonts w:ascii="Times New Roman" w:hAnsi="Times New Roman" w:cs="Times New Roman"/>
                <w:szCs w:val="20"/>
              </w:rPr>
            </w:r>
            <w:r>
              <w:rPr>
                <w:rFonts w:ascii="Times New Roman" w:hAnsi="Times New Roman" w:cs="Times New Roman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80</w:t>
            </w:r>
            <w:r>
              <w:rPr>
                <w:rFonts w:ascii="Times New Roman" w:hAnsi="Times New Roman" w:cs="Times New Roman"/>
                <w:szCs w:val="20"/>
              </w:rPr>
            </w:r>
            <w:r>
              <w:rPr>
                <w:rFonts w:ascii="Times New Roman" w:hAnsi="Times New Roman" w:cs="Times New Roman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80</w:t>
            </w:r>
            <w:r>
              <w:rPr>
                <w:rFonts w:ascii="Times New Roman" w:hAnsi="Times New Roman" w:cs="Times New Roman"/>
                <w:szCs w:val="20"/>
              </w:rPr>
            </w:r>
            <w:r>
              <w:rPr>
                <w:rFonts w:ascii="Times New Roman" w:hAnsi="Times New Roman" w:cs="Times New Roman"/>
                <w:szCs w:val="20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ДМШ, ДХШ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2.1.2.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Обеспечение выполнения указов Президента Российской Федерации по оплате труда и начислениям на выплаты по оплате труда работникам муниципальных учреждений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2025 - 2027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54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Выполнение указов Президента Российской Федерации по оплате труда и начислениям на выплаты по оплате труда работникам муниципальных учреждений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%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ДМШ, ДХШ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gridSpan w:val="9"/>
            <w:shd w:val="clear" w:color="auto" w:fill="auto"/>
            <w:tcW w:w="1530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Основное мероприятие 2. Создание условий для развития учреждений дополнительного образования в сфере культуры и искусства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2.2.1.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827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Модернизация и укрепление материально-технической базы муниципальных бюджетных учреждений дополнительного образования в сфере культуры и искусства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4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2025 - 2026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54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Обеспечение развития и укрепления материально-технической базы учреждений дополнительного образования в сфере культуры и искусства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Да/нет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ДМШ, ДХШ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82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54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Проведение текущих ремонтов в учреждениях дополнительного образования в сфере культуры и искусства.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Да/нет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9"/>
            <w:shd w:val="clear" w:color="auto" w:fill="auto"/>
            <w:tcW w:w="1530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Основное мероприятие 3. Создание благоприятных условий для выявления, развития и поддержки одаренных детей в различных областях творческой деятельности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2.3.1.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Обеспечение участия учащихся детских музыкальных и художественных школ в конкурсах, фестивалях, выставках различного уровня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2025 - 2027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54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Число участников творческих конкурсов, фестивалей, выставок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Чел.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Не менее 750</w:t>
            </w:r>
            <w:r>
              <w:rPr>
                <w:rFonts w:ascii="Times New Roman" w:hAnsi="Times New Roman" w:cs="Times New Roman"/>
                <w:szCs w:val="20"/>
              </w:rPr>
            </w:r>
            <w:r>
              <w:rPr>
                <w:rFonts w:ascii="Times New Roman" w:hAnsi="Times New Roman" w:cs="Times New Roman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Не менее 750</w:t>
            </w:r>
            <w:r>
              <w:rPr>
                <w:rFonts w:ascii="Times New Roman" w:hAnsi="Times New Roman" w:cs="Times New Roman"/>
                <w:szCs w:val="20"/>
              </w:rPr>
            </w:r>
            <w:r>
              <w:rPr>
                <w:rFonts w:ascii="Times New Roman" w:hAnsi="Times New Roman" w:cs="Times New Roman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Не менее 750</w:t>
            </w:r>
            <w:r>
              <w:rPr>
                <w:rFonts w:ascii="Times New Roman" w:hAnsi="Times New Roman" w:cs="Times New Roman"/>
                <w:szCs w:val="20"/>
              </w:rPr>
            </w:r>
            <w:r>
              <w:rPr>
                <w:rFonts w:ascii="Times New Roman" w:hAnsi="Times New Roman" w:cs="Times New Roman"/>
                <w:szCs w:val="20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ДМШ, ДХШ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</w:tbl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24"/>
          <w:szCs w:val="24"/>
        </w:rPr>
        <w:sectPr>
          <w:footnotePr/>
          <w:endnotePr/>
          <w:type w:val="nextPage"/>
          <w:pgSz w:w="16838" w:h="11905" w:orient="landscape"/>
          <w:pgMar w:top="992" w:right="851" w:bottom="992" w:left="567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Приложение № 3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к программе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ПОДПРОГРАММА 3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Развитие культуры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Паспорт подпрограммы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color w:val="0070c0"/>
          <w:sz w:val="20"/>
          <w:szCs w:val="20"/>
        </w:rPr>
      </w:pPr>
      <w:r>
        <w:rPr>
          <w:rFonts w:ascii="Times New Roman" w:hAnsi="Times New Roman" w:cs="Times New Roman"/>
          <w:color w:val="0070c0"/>
          <w:sz w:val="20"/>
          <w:szCs w:val="20"/>
        </w:rPr>
      </w:r>
      <w:r>
        <w:rPr>
          <w:rFonts w:ascii="Times New Roman" w:hAnsi="Times New Roman" w:cs="Times New Roman"/>
          <w:color w:val="0070c0"/>
          <w:sz w:val="20"/>
          <w:szCs w:val="20"/>
        </w:rPr>
      </w:r>
      <w:r>
        <w:rPr>
          <w:rFonts w:ascii="Times New Roman" w:hAnsi="Times New Roman" w:cs="Times New Roman"/>
          <w:color w:val="0070c0"/>
          <w:sz w:val="20"/>
          <w:szCs w:val="20"/>
        </w:rPr>
      </w:r>
    </w:p>
    <w:tbl>
      <w:tblPr>
        <w:tblW w:w="96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2518"/>
        <w:gridCol w:w="7088"/>
      </w:tblGrid>
      <w:tr>
        <w:tblPrEx/>
        <w:trPr>
          <w:trHeight w:val="42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18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Наименование муниципальной 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8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  <w:outlineLvl w:val="1"/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Печенгского муниципального округа «Культура» на 2025 - 2027 годы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56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1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Цель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8" w:type="dxa"/>
            <w:textDirection w:val="lrTb"/>
            <w:noWrap w:val="false"/>
          </w:tcPr>
          <w:p>
            <w:pPr>
              <w:pStyle w:val="859"/>
              <w:jc w:val="both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Сохранение, развитие и формирование культурных традиций, создание единого социокультурного пространства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77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1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Основные мероприятия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8" w:type="dxa"/>
            <w:textDirection w:val="lrTb"/>
            <w:noWrap w:val="false"/>
          </w:tcPr>
          <w:p>
            <w:pPr>
              <w:pStyle w:val="859"/>
              <w:jc w:val="both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Сохранение и развитие народных и культурных традиций путем привлечения населения к участию в праздничных мероприятиях.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2. 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Сохранение, использование и популяризация объектов культурного наследия (памятников истории культуры), находящихся в собственности округа.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3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1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Показатели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8" w:type="dxa"/>
            <w:textDirection w:val="lrTb"/>
            <w:noWrap w:val="false"/>
          </w:tcPr>
          <w:p>
            <w:pPr>
              <w:pStyle w:val="878"/>
              <w:numPr>
                <w:ilvl w:val="0"/>
                <w:numId w:val="7"/>
              </w:numPr>
              <w:ind w:left="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Количество культурно-массовых, праздничных мероприятий и мероприятий, посвященных памятным датам Российской Федерации, Мурманской области, Печенгского муниципального округа.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878"/>
              <w:numPr>
                <w:ilvl w:val="0"/>
                <w:numId w:val="7"/>
              </w:numPr>
              <w:ind w:left="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Количество мероприятий для лиц с ограниченными возможностями здоровья.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878"/>
              <w:numPr>
                <w:ilvl w:val="0"/>
                <w:numId w:val="7"/>
              </w:numPr>
              <w:ind w:left="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Количество благоустроенных памятников культурного наследия.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7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1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Сроки и этапы реализации подпрограммы 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– 2027 годы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3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1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Финансовое обеспечение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подпрограмме: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 000,0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0,0 тыс.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0,0 тыс.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 16000,0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10000,0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5000,0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1000,0 тыс.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0,0 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56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1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Ожидаемые  конечные результаты реализации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8" w:type="dxa"/>
            <w:textDirection w:val="lrTb"/>
            <w:noWrap w:val="false"/>
          </w:tcPr>
          <w:p>
            <w:pPr>
              <w:pStyle w:val="878"/>
              <w:ind w:left="3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Увеличение количества проведенных культурно-досуговых мероприятий для жителей округа.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878"/>
              <w:ind w:left="3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Увеличение числа посетителей концертов, спектаклей, представлений, фестивалей и других культурно-досуговых мероприятий.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878"/>
              <w:ind w:left="3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Увеличение количества благоустроенных памятников культурного наследия.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43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1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исполнитель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8" w:type="dxa"/>
            <w:textDirection w:val="lrTb"/>
            <w:noWrap w:val="false"/>
          </w:tcPr>
          <w:p>
            <w:pPr>
              <w:pStyle w:val="875"/>
              <w:ind w:firstLine="0"/>
              <w:spacing w:line="240" w:lineRule="auto"/>
              <w:tabs>
                <w:tab w:val="left" w:pos="252" w:leader="none"/>
                <w:tab w:val="left" w:pos="297" w:leader="none"/>
                <w:tab w:val="left" w:pos="3039" w:leader="none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Cs w:val="20"/>
              </w:rPr>
              <w:t xml:space="preserve">отдел </w:t>
            </w:r>
            <w:r>
              <w:rPr>
                <w:rFonts w:ascii="Times New Roman" w:hAnsi="Times New Roman" w:eastAsia="Times New Roman" w:cs="Times New Roman"/>
                <w:szCs w:val="20"/>
              </w:rPr>
              <w:t xml:space="preserve">КСиМП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0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1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Исполнитель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8" w:type="dxa"/>
            <w:textDirection w:val="lrTb"/>
            <w:noWrap w:val="false"/>
          </w:tcPr>
          <w:p>
            <w:pPr>
              <w:pStyle w:val="875"/>
              <w:ind w:firstLine="0"/>
              <w:spacing w:line="240" w:lineRule="auto"/>
              <w:tabs>
                <w:tab w:val="left" w:pos="252" w:leader="none"/>
                <w:tab w:val="left" w:pos="297" w:leader="none"/>
                <w:tab w:val="left" w:pos="3039" w:leader="none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Cs w:val="20"/>
              </w:rPr>
              <w:t xml:space="preserve">ДК «Восход», ДК «Октябрь», КДЦ «Платформа», Музей, ОРН</w:t>
            </w:r>
            <w:r>
              <w:rPr>
                <w:rFonts w:ascii="Times New Roman" w:hAnsi="Times New Roman" w:eastAsia="Times New Roman" w:cs="Times New Roman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szCs w:val="18"/>
              </w:rPr>
              <w:t xml:space="preserve">МБУК «ЦКПМО»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0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1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Соисполнители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8" w:type="dxa"/>
            <w:textDirection w:val="lrTb"/>
            <w:noWrap w:val="false"/>
          </w:tcPr>
          <w:p>
            <w:pPr>
              <w:pStyle w:val="875"/>
              <w:ind w:firstLine="0"/>
              <w:spacing w:line="240" w:lineRule="auto"/>
              <w:tabs>
                <w:tab w:val="left" w:pos="252" w:leader="none"/>
                <w:tab w:val="left" w:pos="297" w:leader="none"/>
                <w:tab w:val="left" w:pos="3039" w:leader="none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</w:tbl>
    <w:p>
      <w:pPr>
        <w:jc w:val="center"/>
        <w:spacing w:after="0" w:line="240" w:lineRule="auto"/>
        <w:tabs>
          <w:tab w:val="left" w:pos="28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tabs>
          <w:tab w:val="left" w:pos="28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tabs>
          <w:tab w:val="left" w:pos="284" w:leader="none"/>
        </w:tabs>
        <w:rPr>
          <w:rFonts w:ascii="Times New Roman" w:hAnsi="Times New Roman" w:cs="Times New Roman"/>
          <w:sz w:val="24"/>
          <w:szCs w:val="24"/>
        </w:rPr>
        <w:sectPr>
          <w:footnotePr/>
          <w:endnotePr/>
          <w:type w:val="nextPage"/>
          <w:pgSz w:w="11905" w:h="16838" w:orient="portrait"/>
          <w:pgMar w:top="1134" w:right="850" w:bottom="1134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Таблица 1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 подпрограмме 3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ПЕРЕЧЕНЬ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мероприятий подпрограммы с объёмом финансирования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Cs/>
          <w:color w:val="0070c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Cs/>
          <w:color w:val="0070c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Cs/>
          <w:color w:val="0070c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Cs/>
          <w:color w:val="0070c0"/>
          <w:sz w:val="20"/>
          <w:szCs w:val="20"/>
          <w:lang w:eastAsia="ru-RU"/>
        </w:rPr>
      </w:r>
    </w:p>
    <w:tbl>
      <w:tblPr>
        <w:tblW w:w="4941" w:type="pct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717"/>
        <w:gridCol w:w="41"/>
        <w:gridCol w:w="5195"/>
        <w:gridCol w:w="1372"/>
        <w:gridCol w:w="1148"/>
        <w:gridCol w:w="1282"/>
        <w:gridCol w:w="1272"/>
        <w:gridCol w:w="1272"/>
        <w:gridCol w:w="1303"/>
        <w:gridCol w:w="1990"/>
      </w:tblGrid>
      <w:tr>
        <w:tblPrEx/>
        <w:trPr>
          <w:trHeight w:val="780"/>
        </w:trPr>
        <w:tc>
          <w:tcPr>
            <w:gridSpan w:val="2"/>
            <w:shd w:val="clear" w:color="auto" w:fill="auto"/>
            <w:tcW w:w="24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№ п/п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6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Цели, мероприятия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4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Срок исполнения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Источники финансирования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164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Объем финансирования,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тысяч рублей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63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85" w:leader="none"/>
              </w:tabs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Исполнители, соисполнители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67"/>
        </w:trPr>
        <w:tc>
          <w:tcPr>
            <w:gridSpan w:val="2"/>
            <w:shd w:val="clear" w:color="auto" w:fill="auto"/>
            <w:tcW w:w="24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6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4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63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24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4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63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90"/>
        </w:trPr>
        <w:tc>
          <w:tcPr>
            <w:gridSpan w:val="10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  <w:t xml:space="preserve">Подпрограмма 3. «Развитие культуры»</w:t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90"/>
        </w:trPr>
        <w:tc>
          <w:tcPr>
            <w:gridSpan w:val="10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  <w:t xml:space="preserve">Цель: Сохранение, развитие и формирование культурных традиций, создание единого социокультурного пространства</w:t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81"/>
        </w:trPr>
        <w:tc>
          <w:tcPr>
            <w:gridSpan w:val="10"/>
            <w:shd w:val="clear" w:color="auto" w:fill="auto"/>
            <w:tcW w:w="5000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Основное мероприятие 1. Сохранение и развитие народных и культурных традиций путем привлечения населения к участию в праздничных мероприятиях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5"/>
        </w:trPr>
        <w:tc>
          <w:tcPr>
            <w:gridSpan w:val="2"/>
            <w:shd w:val="clear" w:color="auto" w:fill="auto"/>
            <w:tcW w:w="24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3.1.1.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66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Проведение культурно-массовых, праздничных мероприятий и мероприятий, посвященных памятным датам Российской Федерации, Мурманской области,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2025 - 2027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отдел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КСиМП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,                ДК «Восход»,                    ДК «Октябрь»,          КДЦ «Платформа», Музей,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ОРН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МБУК «ЦКПМО»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5"/>
        </w:trPr>
        <w:tc>
          <w:tcPr>
            <w:gridSpan w:val="2"/>
            <w:shd w:val="clear" w:color="auto" w:fill="auto"/>
            <w:tcW w:w="24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66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4"/>
        </w:trPr>
        <w:tc>
          <w:tcPr>
            <w:gridSpan w:val="2"/>
            <w:shd w:val="clear" w:color="auto" w:fill="auto"/>
            <w:tcW w:w="24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66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15160,0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9720,0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4720,0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720,0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5"/>
        </w:trPr>
        <w:tc>
          <w:tcPr>
            <w:gridSpan w:val="2"/>
            <w:shd w:val="clear" w:color="auto" w:fill="auto"/>
            <w:tcW w:w="24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66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8"/>
        </w:trPr>
        <w:tc>
          <w:tcPr>
            <w:gridSpan w:val="2"/>
            <w:shd w:val="clear" w:color="auto" w:fill="auto"/>
            <w:tcW w:w="24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66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15160,0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9720,0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4720,0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720,0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63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2"/>
            <w:shd w:val="clear" w:color="auto" w:fill="auto"/>
            <w:tcW w:w="24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3.1.2.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66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Организация досуговой деятельности для лиц с ограниченными возможностями здоровья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2025 - 2027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ДК «Восход»,                  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ДК «Октябрь»,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МБУК «ЦКПМО»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     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2"/>
            <w:shd w:val="clear" w:color="auto" w:fill="auto"/>
            <w:tcW w:w="24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66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59"/>
        </w:trPr>
        <w:tc>
          <w:tcPr>
            <w:gridSpan w:val="2"/>
            <w:shd w:val="clear" w:color="auto" w:fill="auto"/>
            <w:tcW w:w="24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66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840,0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280,0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280,0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280,0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2"/>
            <w:shd w:val="clear" w:color="auto" w:fill="auto"/>
            <w:tcW w:w="24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66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65"/>
        </w:trPr>
        <w:tc>
          <w:tcPr>
            <w:gridSpan w:val="2"/>
            <w:shd w:val="clear" w:color="auto" w:fill="auto"/>
            <w:tcW w:w="24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66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840,0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280,0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280,0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280,0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63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4"/>
        </w:trPr>
        <w:tc>
          <w:tcPr>
            <w:gridSpan w:val="4"/>
            <w:shd w:val="clear" w:color="auto" w:fill="auto"/>
            <w:tcW w:w="234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3"/>
                <w:szCs w:val="23"/>
                <w:lang w:eastAsia="ru-RU"/>
              </w:rPr>
              <w:t xml:space="preserve">Итого по основному мероприятию 1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63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4"/>
        </w:trPr>
        <w:tc>
          <w:tcPr>
            <w:gridSpan w:val="4"/>
            <w:shd w:val="clear" w:color="auto" w:fill="auto"/>
            <w:tcW w:w="234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63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43"/>
        </w:trPr>
        <w:tc>
          <w:tcPr>
            <w:gridSpan w:val="4"/>
            <w:shd w:val="clear" w:color="auto" w:fill="auto"/>
            <w:tcW w:w="234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16000,0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10000,0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5000,0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1000,0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63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14"/>
        </w:trPr>
        <w:tc>
          <w:tcPr>
            <w:gridSpan w:val="4"/>
            <w:shd w:val="clear" w:color="auto" w:fill="auto"/>
            <w:tcW w:w="234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63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4"/>
            <w:shd w:val="clear" w:color="auto" w:fill="auto"/>
            <w:tcW w:w="234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16000,0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10000,0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5000,0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1000,0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63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462"/>
        </w:trPr>
        <w:tc>
          <w:tcPr>
            <w:gridSpan w:val="10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Основное мероприятие 2. Сохранение, использование и популяризация объектов культурного наследия (памятников истории культуры), находящихся в собственности округа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23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3.2.1.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67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Сохранение, благоустройство и паспортизация памятников культурного наследия регионального значения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2025 - 2027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63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отдел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КСиМП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23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67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63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3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67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23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67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63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23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67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63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4"/>
            <w:shd w:val="clear" w:color="auto" w:fill="auto"/>
            <w:tcW w:w="234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Итого по основному мероприятию 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63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4"/>
            <w:shd w:val="clear" w:color="auto" w:fill="auto"/>
            <w:tcW w:w="234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63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4"/>
            <w:shd w:val="clear" w:color="auto" w:fill="auto"/>
            <w:tcW w:w="234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63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4"/>
            <w:shd w:val="clear" w:color="auto" w:fill="auto"/>
            <w:tcW w:w="234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63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4"/>
            <w:shd w:val="clear" w:color="auto" w:fill="auto"/>
            <w:tcW w:w="234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63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4"/>
            <w:shd w:val="clear" w:color="auto" w:fill="auto"/>
            <w:tcW w:w="234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Всего по подпрограмме 3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63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4"/>
            <w:shd w:val="clear" w:color="auto" w:fill="auto"/>
            <w:tcW w:w="234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63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4"/>
            <w:shd w:val="clear" w:color="auto" w:fill="auto"/>
            <w:tcW w:w="234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20000,0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10000,0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5000,0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5000,0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63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4"/>
            <w:shd w:val="clear" w:color="auto" w:fill="auto"/>
            <w:tcW w:w="234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63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4"/>
            <w:shd w:val="clear" w:color="auto" w:fill="auto"/>
            <w:tcW w:w="234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20000,0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10000,0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5000,0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5000,0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63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</w:tbl>
    <w:p>
      <w:pPr>
        <w:ind w:firstLine="426"/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firstLine="426"/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В перечне программных мероприятий с объемом финансирования используются сокращения: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firstLine="426"/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ФБ - федеральный бюджет; ОБ - областной бюджет; МБ - местный бюджет; ВБС - внебюджетные средства.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left="9639" w:right="-371"/>
        <w:jc w:val="right"/>
        <w:spacing w:after="0" w:line="240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sz w:val="26"/>
          <w:szCs w:val="26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0"/>
        <w:jc w:val="lef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0"/>
        <w:jc w:val="lef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Таблица 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 подпрограмме 3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 w:right="-371"/>
        <w:jc w:val="right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 w:right="-371"/>
        <w:jc w:val="right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142" w:right="-371"/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ПЕРЕЧЕНЬ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142" w:right="-371"/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мероприятий подпрограммы с показателями результативности выполнения мероприятий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142" w:right="-371"/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tbl>
      <w:tblPr>
        <w:tblW w:w="15451" w:type="dxa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3969"/>
        <w:gridCol w:w="1417"/>
        <w:gridCol w:w="3402"/>
        <w:gridCol w:w="142"/>
        <w:gridCol w:w="850"/>
        <w:gridCol w:w="142"/>
        <w:gridCol w:w="851"/>
        <w:gridCol w:w="141"/>
        <w:gridCol w:w="851"/>
        <w:gridCol w:w="142"/>
        <w:gridCol w:w="992"/>
        <w:gridCol w:w="1701"/>
      </w:tblGrid>
      <w:tr>
        <w:tblPrEx/>
        <w:trPr>
          <w:trHeight w:val="760"/>
        </w:trPr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№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п/п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96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Цели, мероприятия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4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Срок исполнения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40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Наименование показателя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Ед.изм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gridSpan w:val="6"/>
            <w:shd w:val="clear" w:color="auto" w:fill="auto"/>
            <w:tcW w:w="311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Показатели результативности выполнения мероприятий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Исполнитель, соисполнитель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81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40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W w:w="154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  <w:t xml:space="preserve">Подпрограмма 3. «Развитие культуры»</w:t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W w:w="154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  <w:t xml:space="preserve">Цель: Сохранение, развитие и формирование культурных традиций, создание единого социокультурного пространства</w:t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319"/>
        </w:trPr>
        <w:tc>
          <w:tcPr>
            <w:gridSpan w:val="13"/>
            <w:shd w:val="clear" w:color="auto" w:fill="auto"/>
            <w:tcW w:w="1545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Основное мероприятие 1. Сохранение и развитие народных и культурных традиций путем привлечения населения к участию в праздничных мероприятиях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3.1.1.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Проведение культурно-массовых, праздничных мероприятий и мероприятий, посвященных памятным датам Российской Федерации, Мурманской области,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2025 - 2027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54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Количество культурно-массовых, праздничных  мероприятий,  и мероприятий, посвященных памятным датам Российской Федерации, Мурманской области,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Шт.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Не менее 45</w:t>
            </w:r>
            <w:r>
              <w:rPr>
                <w:rFonts w:ascii="Times New Roman" w:hAnsi="Times New Roman" w:cs="Times New Roman"/>
                <w:szCs w:val="20"/>
              </w:rPr>
            </w:r>
            <w:r>
              <w:rPr>
                <w:rFonts w:ascii="Times New Roman" w:hAnsi="Times New Roman" w:cs="Times New Roman"/>
                <w:szCs w:val="20"/>
              </w:rPr>
            </w:r>
          </w:p>
        </w:tc>
        <w:tc>
          <w:tcPr>
            <w:gridSpan w:val="2"/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color w:val="000000" w:themeColor="text1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Cs w:val="20"/>
              </w:rPr>
              <w:t xml:space="preserve">38</w:t>
            </w:r>
            <w:r>
              <w:rPr>
                <w:rFonts w:ascii="Times New Roman" w:hAnsi="Times New Roman" w:cs="Times New Roman"/>
                <w:szCs w:val="20"/>
              </w:rPr>
            </w:r>
            <w:r>
              <w:rPr>
                <w:rFonts w:ascii="Times New Roman" w:hAnsi="Times New Roman" w:cs="Times New Roman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szCs w:val="20"/>
              </w:rPr>
            </w:r>
            <w:r>
              <w:rPr>
                <w:rFonts w:ascii="Times New Roman" w:hAnsi="Times New Roman" w:cs="Times New Roman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38</w:t>
            </w:r>
            <w:r>
              <w:rPr>
                <w:rFonts w:ascii="Times New Roman" w:hAnsi="Times New Roman" w:cs="Times New Roman"/>
                <w:szCs w:val="20"/>
              </w:rPr>
            </w:r>
            <w:r>
              <w:rPr>
                <w:rFonts w:ascii="Times New Roman" w:hAnsi="Times New Roman" w:cs="Times New Roman"/>
                <w:szCs w:val="20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отдел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КСиМП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,                ДК «Восход»,                    ДК «Октябрь»,          КДЦ «Платформа», Музей,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ОРН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МБУК «ЦКПМО»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3.1.2.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Организация досуговой деятельности для лиц с ограниченными возможностями здоровья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2025 - 2027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54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Количество мероприятий для лиц с ограниченными возможностями здоровья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Шт.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Cs w:val="20"/>
              </w:rPr>
              <w:t xml:space="preserve">Не менее   5</w:t>
            </w:r>
            <w:r>
              <w:rPr>
                <w:rFonts w:ascii="Times New Roman" w:hAnsi="Times New Roman" w:cs="Times New Roman"/>
                <w:color w:val="000000" w:themeColor="text1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Cs w:val="20"/>
              </w:rPr>
            </w:r>
          </w:p>
        </w:tc>
        <w:tc>
          <w:tcPr>
            <w:gridSpan w:val="2"/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color w:val="000000" w:themeColor="text1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Cs w:val="20"/>
              </w:rPr>
              <w:t xml:space="preserve">5</w:t>
            </w:r>
            <w:r>
              <w:rPr>
                <w:rFonts w:ascii="Times New Roman" w:hAnsi="Times New Roman" w:cs="Times New Roman"/>
                <w:color w:val="000000" w:themeColor="text1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color w:val="000000" w:themeColor="text1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Cs w:val="20"/>
              </w:rPr>
              <w:t xml:space="preserve">5</w:t>
            </w:r>
            <w:r>
              <w:rPr>
                <w:rFonts w:ascii="Times New Roman" w:hAnsi="Times New Roman" w:cs="Times New Roman"/>
                <w:color w:val="000000" w:themeColor="text1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Cs w:val="20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ДК «Восход»,                    ДК «Октябрь»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МБУК «ЦКПМО»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       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W w:w="154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Основное мероприятие 2. Сохранение, использование и популяризация объектов культурного наследия (памятников истории культуры), находящихся в собственности округа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3.2.1.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Сохранение, благоустройство и паспортизация памятников культурного наследия регионального значения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2025 - 2027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54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Количество благоустроенных памятников культурного наследия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Шт.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отдел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КСиМП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».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</w:tbl>
    <w:p>
      <w:r/>
      <w:r/>
    </w:p>
    <w:sectPr>
      <w:footerReference w:type="default" r:id="rId10"/>
      <w:footnotePr/>
      <w:endnotePr/>
      <w:type w:val="nextPage"/>
      <w:pgSz w:w="16838" w:h="11906" w:orient="landscape"/>
      <w:pgMar w:top="1701" w:right="1134" w:bottom="850" w:left="113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Tahoma">
    <w:panose1 w:val="020B0604030504040204"/>
  </w:font>
  <w:font w:name="Courier New">
    <w:panose1 w:val="020703090202050204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65"/>
      <w:ind w:right="360"/>
      <w:rPr>
        <w:rFonts w:cs="Times New Roman"/>
      </w:rPr>
    </w:pPr>
    <w:r>
      <w:rPr>
        <w:rFonts w:cs="Times New Roman"/>
      </w:rPr>
    </w:r>
    <w:r>
      <w:rPr>
        <w:rFonts w:cs="Times New Roman"/>
      </w:rPr>
    </w:r>
    <w:r>
      <w:rPr>
        <w:rFonts w:cs="Times New Roman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65"/>
      <w:ind w:right="360"/>
      <w:rPr>
        <w:rFonts w:cs="Times New Roman"/>
      </w:rPr>
    </w:pPr>
    <w:r>
      <w:rPr>
        <w:rFonts w:cs="Times New Roman"/>
      </w:rPr>
    </w:r>
    <w:r>
      <w:rPr>
        <w:rFonts w:cs="Times New Roman"/>
      </w:rPr>
    </w:r>
    <w:r>
      <w:rPr>
        <w:rFonts w:cs="Times New Roman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360" w:hanging="360"/>
      </w:pPr>
      <w:rPr>
        <w:rFonts w:ascii="Calibri" w:hAnsi="Calibri" w:eastAsia="Calibri" w:cs="Calibri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39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11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3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5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7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9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1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3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52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none"/>
      <w:isLgl w:val="false"/>
      <w:suff w:val="space"/>
      <w:lvlText w:val="3."/>
      <w:lvlJc w:val="left"/>
      <w:pPr>
        <w:ind w:left="720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9">
    <w:multiLevelType w:val="hybridMultilevel"/>
    <w:lvl w:ilvl="0">
      <w:start w:val="1"/>
      <w:numFmt w:val="none"/>
      <w:isLgl w:val="false"/>
      <w:suff w:val="space"/>
      <w:lvlText w:val="2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3"/>
  </w:num>
  <w:num w:numId="4">
    <w:abstractNumId w:val="5"/>
  </w:num>
  <w:num w:numId="5">
    <w:abstractNumId w:val="4"/>
  </w:num>
  <w:num w:numId="6">
    <w:abstractNumId w:val="1"/>
  </w:num>
  <w:num w:numId="7">
    <w:abstractNumId w:val="0"/>
  </w:num>
  <w:num w:numId="8">
    <w:abstractNumId w:val="2"/>
  </w:num>
  <w:num w:numId="9">
    <w:abstractNumId w:val="9"/>
    <w:lvlOverride w:ilvl="0">
      <w:startOverride w:val="1"/>
    </w:lvlOverride>
  </w:num>
  <w:num w:numId="10">
    <w:abstractNumId w:val="7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96">
    <w:name w:val="Heading 1 Char"/>
    <w:basedOn w:val="846"/>
    <w:link w:val="837"/>
    <w:uiPriority w:val="9"/>
    <w:rPr>
      <w:rFonts w:ascii="Arial" w:hAnsi="Arial" w:eastAsia="Arial" w:cs="Arial"/>
      <w:sz w:val="40"/>
      <w:szCs w:val="40"/>
    </w:rPr>
  </w:style>
  <w:style w:type="character" w:styleId="697">
    <w:name w:val="Heading 2 Char"/>
    <w:basedOn w:val="846"/>
    <w:link w:val="838"/>
    <w:uiPriority w:val="9"/>
    <w:rPr>
      <w:rFonts w:ascii="Arial" w:hAnsi="Arial" w:eastAsia="Arial" w:cs="Arial"/>
      <w:sz w:val="34"/>
    </w:rPr>
  </w:style>
  <w:style w:type="character" w:styleId="698">
    <w:name w:val="Heading 3 Char"/>
    <w:basedOn w:val="846"/>
    <w:link w:val="839"/>
    <w:uiPriority w:val="9"/>
    <w:rPr>
      <w:rFonts w:ascii="Arial" w:hAnsi="Arial" w:eastAsia="Arial" w:cs="Arial"/>
      <w:sz w:val="30"/>
      <w:szCs w:val="30"/>
    </w:rPr>
  </w:style>
  <w:style w:type="character" w:styleId="699">
    <w:name w:val="Heading 4 Char"/>
    <w:basedOn w:val="846"/>
    <w:link w:val="840"/>
    <w:uiPriority w:val="9"/>
    <w:rPr>
      <w:rFonts w:ascii="Arial" w:hAnsi="Arial" w:eastAsia="Arial" w:cs="Arial"/>
      <w:b/>
      <w:bCs/>
      <w:sz w:val="26"/>
      <w:szCs w:val="26"/>
    </w:rPr>
  </w:style>
  <w:style w:type="character" w:styleId="700">
    <w:name w:val="Heading 5 Char"/>
    <w:basedOn w:val="846"/>
    <w:link w:val="841"/>
    <w:uiPriority w:val="9"/>
    <w:rPr>
      <w:rFonts w:ascii="Arial" w:hAnsi="Arial" w:eastAsia="Arial" w:cs="Arial"/>
      <w:b/>
      <w:bCs/>
      <w:sz w:val="24"/>
      <w:szCs w:val="24"/>
    </w:rPr>
  </w:style>
  <w:style w:type="character" w:styleId="701">
    <w:name w:val="Heading 6 Char"/>
    <w:basedOn w:val="846"/>
    <w:link w:val="842"/>
    <w:uiPriority w:val="9"/>
    <w:rPr>
      <w:rFonts w:ascii="Arial" w:hAnsi="Arial" w:eastAsia="Arial" w:cs="Arial"/>
      <w:b/>
      <w:bCs/>
      <w:sz w:val="22"/>
      <w:szCs w:val="22"/>
    </w:rPr>
  </w:style>
  <w:style w:type="character" w:styleId="702">
    <w:name w:val="Heading 7 Char"/>
    <w:basedOn w:val="846"/>
    <w:link w:val="84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3">
    <w:name w:val="Heading 8 Char"/>
    <w:basedOn w:val="846"/>
    <w:link w:val="844"/>
    <w:uiPriority w:val="9"/>
    <w:rPr>
      <w:rFonts w:ascii="Arial" w:hAnsi="Arial" w:eastAsia="Arial" w:cs="Arial"/>
      <w:i/>
      <w:iCs/>
      <w:sz w:val="22"/>
      <w:szCs w:val="22"/>
    </w:rPr>
  </w:style>
  <w:style w:type="character" w:styleId="704">
    <w:name w:val="Heading 9 Char"/>
    <w:basedOn w:val="846"/>
    <w:link w:val="845"/>
    <w:uiPriority w:val="9"/>
    <w:rPr>
      <w:rFonts w:ascii="Arial" w:hAnsi="Arial" w:eastAsia="Arial" w:cs="Arial"/>
      <w:i/>
      <w:iCs/>
      <w:sz w:val="21"/>
      <w:szCs w:val="21"/>
    </w:rPr>
  </w:style>
  <w:style w:type="character" w:styleId="705">
    <w:name w:val="Title Char"/>
    <w:basedOn w:val="846"/>
    <w:link w:val="881"/>
    <w:uiPriority w:val="10"/>
    <w:rPr>
      <w:sz w:val="48"/>
      <w:szCs w:val="48"/>
    </w:rPr>
  </w:style>
  <w:style w:type="character" w:styleId="706">
    <w:name w:val="Subtitle Char"/>
    <w:basedOn w:val="846"/>
    <w:link w:val="883"/>
    <w:uiPriority w:val="11"/>
    <w:rPr>
      <w:sz w:val="24"/>
      <w:szCs w:val="24"/>
    </w:rPr>
  </w:style>
  <w:style w:type="character" w:styleId="707">
    <w:name w:val="Quote Char"/>
    <w:link w:val="885"/>
    <w:uiPriority w:val="29"/>
    <w:rPr>
      <w:i/>
    </w:rPr>
  </w:style>
  <w:style w:type="character" w:styleId="708">
    <w:name w:val="Intense Quote Char"/>
    <w:link w:val="887"/>
    <w:uiPriority w:val="30"/>
    <w:rPr>
      <w:i/>
    </w:rPr>
  </w:style>
  <w:style w:type="paragraph" w:styleId="709">
    <w:name w:val="Caption"/>
    <w:basedOn w:val="836"/>
    <w:next w:val="83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710">
    <w:name w:val="Table Grid Light"/>
    <w:basedOn w:val="84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1">
    <w:name w:val="Plain Table 1"/>
    <w:basedOn w:val="84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2">
    <w:name w:val="Plain Table 2"/>
    <w:basedOn w:val="84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3">
    <w:name w:val="Plain Table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4">
    <w:name w:val="Plain Table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Plain Table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6">
    <w:name w:val="Grid Table 1 Light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1 Light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1 Light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Grid Table 1 Light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>
    <w:name w:val="Grid Table 1 Light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Grid Table 1 Light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>
    <w:name w:val="Grid Table 1 Light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Grid Table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2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2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2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2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2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2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3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3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3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3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4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8">
    <w:name w:val="Grid Table 4 - Accent 1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9">
    <w:name w:val="Grid Table 4 - Accent 2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0">
    <w:name w:val="Grid Table 4 - Accent 3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41">
    <w:name w:val="Grid Table 4 - Accent 4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42">
    <w:name w:val="Grid Table 4 - Accent 5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43">
    <w:name w:val="Grid Table 4 - Accent 6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4">
    <w:name w:val="Grid Table 5 Dark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5">
    <w:name w:val="Grid Table 5 Dark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6">
    <w:name w:val="Grid Table 5 Dark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7">
    <w:name w:val="Grid Table 5 Dark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8">
    <w:name w:val="Grid Table 5 Dark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9">
    <w:name w:val="Grid Table 5 Dark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0">
    <w:name w:val="Grid Table 5 Dark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51">
    <w:name w:val="Grid Table 6 Colorful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52">
    <w:name w:val="Grid Table 6 Colorful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53">
    <w:name w:val="Grid Table 6 Colorful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54">
    <w:name w:val="Grid Table 6 Colorful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55">
    <w:name w:val="Grid Table 6 Colorful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56">
    <w:name w:val="Grid Table 6 Colorful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7">
    <w:name w:val="Grid Table 6 Colorful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8">
    <w:name w:val="Grid Table 7 Colorful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7 Colorful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7 Colorful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7 Colorful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7 Colorful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7 Colorful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7 Colorful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1 Light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1 Light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1 Light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List Table 1 Light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List Table 1 Light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List Table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73">
    <w:name w:val="List Table 2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4">
    <w:name w:val="List Table 2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5">
    <w:name w:val="List Table 2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6">
    <w:name w:val="List Table 2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7">
    <w:name w:val="List Table 2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8">
    <w:name w:val="List Table 2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9">
    <w:name w:val="List Table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3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3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3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3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3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3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4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4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4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4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5 Dark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4">
    <w:name w:val="List Table 5 Dark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5">
    <w:name w:val="List Table 5 Dark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6">
    <w:name w:val="List Table 5 Dark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7">
    <w:name w:val="List Table 5 Dark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8">
    <w:name w:val="List Table 5 Dark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9">
    <w:name w:val="List Table 5 Dark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0">
    <w:name w:val="List Table 6 Colorful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01">
    <w:name w:val="List Table 6 Colorful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02">
    <w:name w:val="List Table 6 Colorful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03">
    <w:name w:val="List Table 6 Colorful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4">
    <w:name w:val="List Table 6 Colorful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5">
    <w:name w:val="List Table 6 Colorful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6">
    <w:name w:val="List Table 6 Colorful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7">
    <w:name w:val="List Table 7 Colorful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8">
    <w:name w:val="List Table 7 Colorful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9">
    <w:name w:val="List Table 7 Colorful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10">
    <w:name w:val="List Table 7 Colorful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11">
    <w:name w:val="List Table 7 Colorful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12">
    <w:name w:val="List Table 7 Colorful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13">
    <w:name w:val="List Table 7 Colorful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14">
    <w:name w:val="Lined - Accent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5">
    <w:name w:val="Lined - Accent 1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6">
    <w:name w:val="Lined - Accent 2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7">
    <w:name w:val="Lined - Accent 3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8">
    <w:name w:val="Lined - Accent 4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9">
    <w:name w:val="Lined - Accent 5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0">
    <w:name w:val="Lined - Accent 6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1">
    <w:name w:val="Bordered &amp; Lined - Accent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2">
    <w:name w:val="Bordered &amp; Lined - Accent 1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3">
    <w:name w:val="Bordered &amp; Lined - Accent 2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4">
    <w:name w:val="Bordered &amp; Lined - Accent 3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5">
    <w:name w:val="Bordered &amp; Lined - Accent 4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6">
    <w:name w:val="Bordered &amp; Lined - Accent 5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7">
    <w:name w:val="Bordered &amp; Lined - Accent 6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8">
    <w:name w:val="Bordered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9">
    <w:name w:val="Bordered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0">
    <w:name w:val="Bordered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31">
    <w:name w:val="Bordered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32">
    <w:name w:val="Bordered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character" w:styleId="833">
    <w:name w:val="Footnote Text Char"/>
    <w:link w:val="895"/>
    <w:uiPriority w:val="99"/>
    <w:rPr>
      <w:sz w:val="18"/>
    </w:rPr>
  </w:style>
  <w:style w:type="character" w:styleId="834">
    <w:name w:val="Endnote Text Char"/>
    <w:link w:val="898"/>
    <w:uiPriority w:val="99"/>
    <w:rPr>
      <w:sz w:val="20"/>
    </w:rPr>
  </w:style>
  <w:style w:type="character" w:styleId="835">
    <w:name w:val="endnote reference"/>
    <w:basedOn w:val="846"/>
    <w:uiPriority w:val="99"/>
    <w:semiHidden/>
    <w:unhideWhenUsed/>
    <w:rPr>
      <w:vertAlign w:val="superscript"/>
    </w:rPr>
  </w:style>
  <w:style w:type="paragraph" w:styleId="836" w:default="1">
    <w:name w:val="Normal"/>
    <w:qFormat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837">
    <w:name w:val="Heading 1"/>
    <w:basedOn w:val="836"/>
    <w:next w:val="836"/>
    <w:link w:val="849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838">
    <w:name w:val="Heading 2"/>
    <w:basedOn w:val="836"/>
    <w:next w:val="836"/>
    <w:link w:val="850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839">
    <w:name w:val="Heading 3"/>
    <w:basedOn w:val="836"/>
    <w:next w:val="836"/>
    <w:link w:val="851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840">
    <w:name w:val="Heading 4"/>
    <w:basedOn w:val="836"/>
    <w:next w:val="836"/>
    <w:link w:val="852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841">
    <w:name w:val="Heading 5"/>
    <w:basedOn w:val="836"/>
    <w:next w:val="836"/>
    <w:link w:val="853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842">
    <w:name w:val="Heading 6"/>
    <w:basedOn w:val="836"/>
    <w:next w:val="836"/>
    <w:link w:val="854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843">
    <w:name w:val="Heading 7"/>
    <w:basedOn w:val="836"/>
    <w:next w:val="836"/>
    <w:link w:val="855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844">
    <w:name w:val="Heading 8"/>
    <w:basedOn w:val="836"/>
    <w:next w:val="836"/>
    <w:link w:val="856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845">
    <w:name w:val="Heading 9"/>
    <w:basedOn w:val="836"/>
    <w:next w:val="836"/>
    <w:link w:val="857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846" w:default="1">
    <w:name w:val="Default Paragraph Font"/>
    <w:uiPriority w:val="1"/>
    <w:semiHidden/>
    <w:unhideWhenUsed/>
  </w:style>
  <w:style w:type="table" w:styleId="84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8" w:default="1">
    <w:name w:val="No List"/>
    <w:uiPriority w:val="99"/>
    <w:semiHidden/>
    <w:unhideWhenUsed/>
  </w:style>
  <w:style w:type="character" w:styleId="849" w:customStyle="1">
    <w:name w:val="Заголовок 1 Знак"/>
    <w:basedOn w:val="846"/>
    <w:link w:val="837"/>
    <w:uiPriority w:val="9"/>
    <w:rPr>
      <w:rFonts w:ascii="Arial" w:hAnsi="Arial" w:eastAsia="Arial" w:cs="Arial"/>
      <w:sz w:val="40"/>
      <w:szCs w:val="40"/>
      <w:lang w:eastAsia="en-US"/>
    </w:rPr>
  </w:style>
  <w:style w:type="character" w:styleId="850" w:customStyle="1">
    <w:name w:val="Заголовок 2 Знак"/>
    <w:basedOn w:val="846"/>
    <w:link w:val="838"/>
    <w:uiPriority w:val="9"/>
    <w:rPr>
      <w:rFonts w:ascii="Arial" w:hAnsi="Arial" w:eastAsia="Arial" w:cs="Arial"/>
      <w:sz w:val="34"/>
      <w:szCs w:val="22"/>
      <w:lang w:eastAsia="en-US"/>
    </w:rPr>
  </w:style>
  <w:style w:type="character" w:styleId="851" w:customStyle="1">
    <w:name w:val="Заголовок 3 Знак"/>
    <w:basedOn w:val="846"/>
    <w:link w:val="839"/>
    <w:uiPriority w:val="9"/>
    <w:rPr>
      <w:rFonts w:ascii="Arial" w:hAnsi="Arial" w:eastAsia="Arial" w:cs="Arial"/>
      <w:sz w:val="30"/>
      <w:szCs w:val="30"/>
      <w:lang w:eastAsia="en-US"/>
    </w:rPr>
  </w:style>
  <w:style w:type="character" w:styleId="852" w:customStyle="1">
    <w:name w:val="Заголовок 4 Знак"/>
    <w:basedOn w:val="846"/>
    <w:link w:val="840"/>
    <w:uiPriority w:val="9"/>
    <w:rPr>
      <w:rFonts w:ascii="Arial" w:hAnsi="Arial" w:eastAsia="Arial" w:cs="Arial"/>
      <w:b/>
      <w:bCs/>
      <w:sz w:val="26"/>
      <w:szCs w:val="26"/>
      <w:lang w:eastAsia="en-US"/>
    </w:rPr>
  </w:style>
  <w:style w:type="character" w:styleId="853" w:customStyle="1">
    <w:name w:val="Заголовок 5 Знак"/>
    <w:basedOn w:val="846"/>
    <w:link w:val="841"/>
    <w:uiPriority w:val="9"/>
    <w:rPr>
      <w:rFonts w:ascii="Arial" w:hAnsi="Arial" w:eastAsia="Arial" w:cs="Arial"/>
      <w:b/>
      <w:bCs/>
      <w:sz w:val="24"/>
      <w:szCs w:val="24"/>
      <w:lang w:eastAsia="en-US"/>
    </w:rPr>
  </w:style>
  <w:style w:type="character" w:styleId="854" w:customStyle="1">
    <w:name w:val="Заголовок 6 Знак"/>
    <w:basedOn w:val="846"/>
    <w:link w:val="842"/>
    <w:uiPriority w:val="9"/>
    <w:rPr>
      <w:rFonts w:ascii="Arial" w:hAnsi="Arial" w:eastAsia="Arial" w:cs="Arial"/>
      <w:b/>
      <w:bCs/>
      <w:sz w:val="22"/>
      <w:szCs w:val="22"/>
      <w:lang w:eastAsia="en-US"/>
    </w:rPr>
  </w:style>
  <w:style w:type="character" w:styleId="855" w:customStyle="1">
    <w:name w:val="Заголовок 7 Знак"/>
    <w:basedOn w:val="846"/>
    <w:link w:val="843"/>
    <w:uiPriority w:val="9"/>
    <w:rPr>
      <w:rFonts w:ascii="Arial" w:hAnsi="Arial" w:eastAsia="Arial" w:cs="Arial"/>
      <w:b/>
      <w:bCs/>
      <w:i/>
      <w:iCs/>
      <w:sz w:val="22"/>
      <w:szCs w:val="22"/>
      <w:lang w:eastAsia="en-US"/>
    </w:rPr>
  </w:style>
  <w:style w:type="character" w:styleId="856" w:customStyle="1">
    <w:name w:val="Заголовок 8 Знак"/>
    <w:basedOn w:val="846"/>
    <w:link w:val="844"/>
    <w:uiPriority w:val="9"/>
    <w:rPr>
      <w:rFonts w:ascii="Arial" w:hAnsi="Arial" w:eastAsia="Arial" w:cs="Arial"/>
      <w:i/>
      <w:iCs/>
      <w:sz w:val="22"/>
      <w:szCs w:val="22"/>
      <w:lang w:eastAsia="en-US"/>
    </w:rPr>
  </w:style>
  <w:style w:type="character" w:styleId="857" w:customStyle="1">
    <w:name w:val="Заголовок 9 Знак"/>
    <w:basedOn w:val="846"/>
    <w:link w:val="845"/>
    <w:uiPriority w:val="9"/>
    <w:rPr>
      <w:rFonts w:ascii="Arial" w:hAnsi="Arial" w:eastAsia="Arial" w:cs="Arial"/>
      <w:i/>
      <w:iCs/>
      <w:sz w:val="21"/>
      <w:szCs w:val="21"/>
      <w:lang w:eastAsia="en-US"/>
    </w:rPr>
  </w:style>
  <w:style w:type="paragraph" w:styleId="858" w:customStyle="1">
    <w:name w:val="ConsPlusNormal"/>
    <w:pPr>
      <w:widowControl w:val="off"/>
    </w:pPr>
    <w:rPr>
      <w:rFonts w:eastAsia="Times New Roman" w:cs="Calibri"/>
      <w:sz w:val="22"/>
      <w:szCs w:val="22"/>
    </w:rPr>
  </w:style>
  <w:style w:type="paragraph" w:styleId="859" w:customStyle="1">
    <w:name w:val="ConsPlusNonformat"/>
    <w:pPr>
      <w:widowControl w:val="off"/>
    </w:pPr>
    <w:rPr>
      <w:rFonts w:ascii="Courier New" w:hAnsi="Courier New" w:eastAsia="Times New Roman" w:cs="Courier New"/>
    </w:rPr>
  </w:style>
  <w:style w:type="paragraph" w:styleId="860" w:customStyle="1">
    <w:name w:val="ConsPlusTitle"/>
    <w:pPr>
      <w:widowControl w:val="off"/>
    </w:pPr>
    <w:rPr>
      <w:rFonts w:eastAsia="Times New Roman" w:cs="Calibri"/>
      <w:b/>
      <w:bCs/>
      <w:sz w:val="22"/>
      <w:szCs w:val="22"/>
    </w:rPr>
  </w:style>
  <w:style w:type="paragraph" w:styleId="861" w:customStyle="1">
    <w:name w:val="ConsPlusCell"/>
    <w:pPr>
      <w:widowControl w:val="off"/>
    </w:pPr>
    <w:rPr>
      <w:rFonts w:eastAsia="Times New Roman" w:cs="Calibri"/>
      <w:sz w:val="22"/>
      <w:szCs w:val="22"/>
    </w:rPr>
  </w:style>
  <w:style w:type="paragraph" w:styleId="862" w:customStyle="1">
    <w:name w:val="Абзац списка1"/>
    <w:basedOn w:val="836"/>
    <w:pPr>
      <w:ind w:left="720"/>
    </w:pPr>
  </w:style>
  <w:style w:type="paragraph" w:styleId="863" w:customStyle="1">
    <w:name w:val="Содержимое таблицы"/>
    <w:basedOn w:val="836"/>
    <w:pPr>
      <w:spacing w:after="0" w:line="240" w:lineRule="auto"/>
      <w:widowControl w:val="off"/>
      <w:suppressLineNumbers/>
    </w:pPr>
    <w:rPr>
      <w:rFonts w:ascii="Times New Roman" w:hAnsi="Times New Roman" w:eastAsia="Times New Roman" w:cs="Times New Roman"/>
      <w:sz w:val="24"/>
      <w:szCs w:val="24"/>
      <w:lang w:eastAsia="hi-IN" w:bidi="hi-IN"/>
    </w:rPr>
  </w:style>
  <w:style w:type="paragraph" w:styleId="864">
    <w:name w:val="Normal (Web)"/>
    <w:basedOn w:val="836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65">
    <w:name w:val="Footer"/>
    <w:basedOn w:val="836"/>
    <w:link w:val="866"/>
    <w:pPr>
      <w:ind w:firstLine="720"/>
      <w:jc w:val="both"/>
      <w:spacing w:after="0" w:line="240" w:lineRule="auto"/>
      <w:widowControl w:val="off"/>
      <w:tabs>
        <w:tab w:val="center" w:pos="4677" w:leader="none"/>
        <w:tab w:val="right" w:pos="9355" w:leader="none"/>
      </w:tabs>
    </w:pPr>
    <w:rPr>
      <w:rFonts w:ascii="Arial" w:hAnsi="Arial" w:eastAsia="Times New Roman" w:cs="Arial"/>
      <w:sz w:val="20"/>
      <w:szCs w:val="20"/>
      <w:lang w:eastAsia="ru-RU"/>
    </w:rPr>
  </w:style>
  <w:style w:type="character" w:styleId="866" w:customStyle="1">
    <w:name w:val="Нижний колонтитул Знак"/>
    <w:link w:val="865"/>
    <w:rPr>
      <w:rFonts w:ascii="Arial" w:hAnsi="Arial" w:cs="Arial"/>
      <w:sz w:val="20"/>
      <w:szCs w:val="20"/>
      <w:lang w:eastAsia="ru-RU"/>
    </w:rPr>
  </w:style>
  <w:style w:type="character" w:styleId="867">
    <w:name w:val="page number"/>
    <w:basedOn w:val="846"/>
  </w:style>
  <w:style w:type="paragraph" w:styleId="868" w:customStyle="1">
    <w:name w:val="Абзац списка1"/>
    <w:basedOn w:val="836"/>
    <w:pPr>
      <w:ind w:left="720"/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869">
    <w:name w:val="Table Grid"/>
    <w:basedOn w:val="847"/>
    <w:rPr>
      <w:rFonts w:cs="Calibri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70">
    <w:name w:val="Header"/>
    <w:basedOn w:val="836"/>
    <w:link w:val="871"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71" w:customStyle="1">
    <w:name w:val="Верхний колонтитул Знак"/>
    <w:basedOn w:val="846"/>
    <w:link w:val="870"/>
  </w:style>
  <w:style w:type="paragraph" w:styleId="872">
    <w:name w:val="Balloon Text"/>
    <w:basedOn w:val="836"/>
    <w:link w:val="873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73" w:customStyle="1">
    <w:name w:val="Текст выноски Знак"/>
    <w:link w:val="872"/>
    <w:semiHidden/>
    <w:rPr>
      <w:rFonts w:ascii="Tahoma" w:hAnsi="Tahoma" w:cs="Tahoma"/>
      <w:sz w:val="16"/>
      <w:szCs w:val="16"/>
    </w:rPr>
  </w:style>
  <w:style w:type="character" w:styleId="874" w:customStyle="1">
    <w:name w:val="МОН Знак"/>
    <w:link w:val="875"/>
    <w:rPr>
      <w:sz w:val="24"/>
      <w:szCs w:val="24"/>
    </w:rPr>
  </w:style>
  <w:style w:type="paragraph" w:styleId="875" w:customStyle="1">
    <w:name w:val="МОН"/>
    <w:basedOn w:val="836"/>
    <w:link w:val="874"/>
    <w:pPr>
      <w:ind w:firstLine="709"/>
      <w:jc w:val="both"/>
      <w:spacing w:after="0" w:line="360" w:lineRule="auto"/>
    </w:pPr>
    <w:rPr>
      <w:sz w:val="24"/>
      <w:szCs w:val="24"/>
      <w:lang w:eastAsia="ru-RU"/>
    </w:rPr>
  </w:style>
  <w:style w:type="character" w:styleId="876">
    <w:name w:val="Strong"/>
    <w:qFormat/>
    <w:rPr>
      <w:b/>
      <w:bCs/>
    </w:rPr>
  </w:style>
  <w:style w:type="character" w:styleId="877">
    <w:name w:val="Hyperlink"/>
    <w:semiHidden/>
    <w:rPr>
      <w:color w:val="0000ff"/>
      <w:u w:val="single"/>
    </w:rPr>
  </w:style>
  <w:style w:type="paragraph" w:styleId="878">
    <w:name w:val="List Paragraph"/>
    <w:basedOn w:val="836"/>
    <w:link w:val="879"/>
    <w:uiPriority w:val="99"/>
    <w:qFormat/>
    <w:pPr>
      <w:ind w:left="708"/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styleId="879" w:customStyle="1">
    <w:name w:val="Абзац списка Знак"/>
    <w:link w:val="878"/>
    <w:uiPriority w:val="99"/>
    <w:rPr>
      <w:rFonts w:ascii="Times New Roman" w:hAnsi="Times New Roman"/>
    </w:rPr>
  </w:style>
  <w:style w:type="paragraph" w:styleId="880">
    <w:name w:val="No Spacing"/>
    <w:uiPriority w:val="1"/>
    <w:qFormat/>
  </w:style>
  <w:style w:type="paragraph" w:styleId="881">
    <w:name w:val="Title"/>
    <w:basedOn w:val="836"/>
    <w:next w:val="836"/>
    <w:link w:val="882"/>
    <w:uiPriority w:val="10"/>
    <w:qFormat/>
    <w:pPr>
      <w:contextualSpacing/>
      <w:spacing w:before="300"/>
    </w:pPr>
    <w:rPr>
      <w:sz w:val="48"/>
      <w:szCs w:val="48"/>
    </w:rPr>
  </w:style>
  <w:style w:type="character" w:styleId="882" w:customStyle="1">
    <w:name w:val="Название Знак"/>
    <w:basedOn w:val="846"/>
    <w:link w:val="881"/>
    <w:uiPriority w:val="10"/>
    <w:rPr>
      <w:rFonts w:cs="Calibri"/>
      <w:sz w:val="48"/>
      <w:szCs w:val="48"/>
      <w:lang w:eastAsia="en-US"/>
    </w:rPr>
  </w:style>
  <w:style w:type="paragraph" w:styleId="883">
    <w:name w:val="Subtitle"/>
    <w:basedOn w:val="836"/>
    <w:next w:val="836"/>
    <w:link w:val="884"/>
    <w:uiPriority w:val="11"/>
    <w:qFormat/>
    <w:pPr>
      <w:spacing w:before="200"/>
    </w:pPr>
    <w:rPr>
      <w:sz w:val="24"/>
      <w:szCs w:val="24"/>
    </w:rPr>
  </w:style>
  <w:style w:type="character" w:styleId="884" w:customStyle="1">
    <w:name w:val="Подзаголовок Знак"/>
    <w:basedOn w:val="846"/>
    <w:link w:val="883"/>
    <w:uiPriority w:val="11"/>
    <w:rPr>
      <w:rFonts w:cs="Calibri"/>
      <w:sz w:val="24"/>
      <w:szCs w:val="24"/>
      <w:lang w:eastAsia="en-US"/>
    </w:rPr>
  </w:style>
  <w:style w:type="paragraph" w:styleId="885">
    <w:name w:val="Quote"/>
    <w:basedOn w:val="836"/>
    <w:next w:val="836"/>
    <w:link w:val="886"/>
    <w:uiPriority w:val="29"/>
    <w:qFormat/>
    <w:pPr>
      <w:ind w:left="720" w:right="720"/>
    </w:pPr>
    <w:rPr>
      <w:i/>
    </w:rPr>
  </w:style>
  <w:style w:type="character" w:styleId="886" w:customStyle="1">
    <w:name w:val="Цитата 2 Знак"/>
    <w:basedOn w:val="846"/>
    <w:link w:val="885"/>
    <w:uiPriority w:val="29"/>
    <w:rPr>
      <w:rFonts w:cs="Calibri"/>
      <w:i/>
      <w:sz w:val="22"/>
      <w:szCs w:val="22"/>
      <w:lang w:eastAsia="en-US"/>
    </w:rPr>
  </w:style>
  <w:style w:type="paragraph" w:styleId="887">
    <w:name w:val="Intense Quote"/>
    <w:basedOn w:val="836"/>
    <w:next w:val="836"/>
    <w:link w:val="88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88" w:customStyle="1">
    <w:name w:val="Выделенная цитата Знак"/>
    <w:basedOn w:val="846"/>
    <w:link w:val="887"/>
    <w:uiPriority w:val="30"/>
    <w:rPr>
      <w:rFonts w:cs="Calibri"/>
      <w:i/>
      <w:sz w:val="22"/>
      <w:szCs w:val="22"/>
      <w:shd w:val="clear" w:color="auto" w:fill="f2f2f2"/>
      <w:lang w:eastAsia="en-US"/>
    </w:rPr>
  </w:style>
  <w:style w:type="character" w:styleId="889" w:customStyle="1">
    <w:name w:val="Header Char"/>
    <w:basedOn w:val="846"/>
    <w:uiPriority w:val="99"/>
  </w:style>
  <w:style w:type="character" w:styleId="890" w:customStyle="1">
    <w:name w:val="Footer Char"/>
    <w:basedOn w:val="846"/>
    <w:uiPriority w:val="99"/>
  </w:style>
  <w:style w:type="character" w:styleId="891" w:customStyle="1">
    <w:name w:val="Caption Char"/>
    <w:uiPriority w:val="99"/>
  </w:style>
  <w:style w:type="table" w:styleId="892" w:customStyle="1">
    <w:name w:val="Bordered - Accent 3"/>
    <w:basedOn w:val="847"/>
    <w:uiPriority w:val="99"/>
    <w:tblPr>
      <w:tblStyleRowBandSize w:val="1"/>
      <w:tblStyleColBandSize w:val="1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sz="4" w:space="0"/>
          <w:left w:val="single" w:color="D6E3BB" w:sz="4" w:space="0"/>
          <w:bottom w:val="single" w:color="D6E3BB" w:sz="4" w:space="0"/>
          <w:right w:val="single" w:color="D6E3BB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/>
        </w:tcBorders>
      </w:tcPr>
    </w:tblStylePr>
  </w:style>
  <w:style w:type="table" w:styleId="893" w:customStyle="1">
    <w:name w:val="Bordered - Accent 6"/>
    <w:basedOn w:val="847"/>
    <w:uiPriority w:val="99"/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/>
        </w:tcBorders>
      </w:tcPr>
    </w:tblStylePr>
  </w:style>
  <w:style w:type="character" w:styleId="894" w:customStyle="1">
    <w:name w:val="Текст сноски Знак"/>
    <w:basedOn w:val="846"/>
    <w:link w:val="895"/>
    <w:uiPriority w:val="99"/>
    <w:semiHidden/>
    <w:rPr>
      <w:rFonts w:cs="Calibri"/>
      <w:sz w:val="18"/>
      <w:szCs w:val="22"/>
      <w:lang w:eastAsia="en-US"/>
    </w:rPr>
  </w:style>
  <w:style w:type="paragraph" w:styleId="895">
    <w:name w:val="footnote text"/>
    <w:basedOn w:val="836"/>
    <w:link w:val="894"/>
    <w:uiPriority w:val="99"/>
    <w:semiHidden/>
    <w:unhideWhenUsed/>
    <w:pPr>
      <w:spacing w:after="40" w:line="240" w:lineRule="auto"/>
    </w:pPr>
    <w:rPr>
      <w:sz w:val="18"/>
    </w:rPr>
  </w:style>
  <w:style w:type="character" w:styleId="896">
    <w:name w:val="footnote reference"/>
    <w:basedOn w:val="846"/>
    <w:uiPriority w:val="99"/>
    <w:unhideWhenUsed/>
    <w:rPr>
      <w:vertAlign w:val="superscript"/>
    </w:rPr>
  </w:style>
  <w:style w:type="character" w:styleId="897" w:customStyle="1">
    <w:name w:val="Текст концевой сноски Знак"/>
    <w:basedOn w:val="846"/>
    <w:link w:val="898"/>
    <w:uiPriority w:val="99"/>
    <w:semiHidden/>
    <w:rPr>
      <w:rFonts w:cs="Calibri"/>
      <w:szCs w:val="22"/>
      <w:lang w:eastAsia="en-US"/>
    </w:rPr>
  </w:style>
  <w:style w:type="paragraph" w:styleId="898">
    <w:name w:val="endnote text"/>
    <w:basedOn w:val="836"/>
    <w:link w:val="897"/>
    <w:uiPriority w:val="99"/>
    <w:semiHidden/>
    <w:unhideWhenUsed/>
    <w:pPr>
      <w:spacing w:after="0" w:line="240" w:lineRule="auto"/>
    </w:pPr>
    <w:rPr>
      <w:sz w:val="20"/>
    </w:rPr>
  </w:style>
  <w:style w:type="paragraph" w:styleId="899">
    <w:name w:val="toc 1"/>
    <w:basedOn w:val="836"/>
    <w:next w:val="836"/>
    <w:uiPriority w:val="39"/>
    <w:unhideWhenUsed/>
    <w:pPr>
      <w:spacing w:after="57"/>
    </w:pPr>
  </w:style>
  <w:style w:type="paragraph" w:styleId="900">
    <w:name w:val="toc 2"/>
    <w:basedOn w:val="836"/>
    <w:next w:val="836"/>
    <w:uiPriority w:val="39"/>
    <w:unhideWhenUsed/>
    <w:pPr>
      <w:ind w:left="283"/>
      <w:spacing w:after="57"/>
    </w:pPr>
  </w:style>
  <w:style w:type="paragraph" w:styleId="901">
    <w:name w:val="toc 3"/>
    <w:basedOn w:val="836"/>
    <w:next w:val="836"/>
    <w:uiPriority w:val="39"/>
    <w:unhideWhenUsed/>
    <w:pPr>
      <w:ind w:left="567"/>
      <w:spacing w:after="57"/>
    </w:pPr>
  </w:style>
  <w:style w:type="paragraph" w:styleId="902">
    <w:name w:val="toc 4"/>
    <w:basedOn w:val="836"/>
    <w:next w:val="836"/>
    <w:uiPriority w:val="39"/>
    <w:unhideWhenUsed/>
    <w:pPr>
      <w:ind w:left="850"/>
      <w:spacing w:after="57"/>
    </w:pPr>
  </w:style>
  <w:style w:type="paragraph" w:styleId="903">
    <w:name w:val="toc 5"/>
    <w:basedOn w:val="836"/>
    <w:next w:val="836"/>
    <w:uiPriority w:val="39"/>
    <w:unhideWhenUsed/>
    <w:pPr>
      <w:ind w:left="1134"/>
      <w:spacing w:after="57"/>
    </w:pPr>
  </w:style>
  <w:style w:type="paragraph" w:styleId="904">
    <w:name w:val="toc 6"/>
    <w:basedOn w:val="836"/>
    <w:next w:val="836"/>
    <w:uiPriority w:val="39"/>
    <w:unhideWhenUsed/>
    <w:pPr>
      <w:ind w:left="1417"/>
      <w:spacing w:after="57"/>
    </w:pPr>
  </w:style>
  <w:style w:type="paragraph" w:styleId="905">
    <w:name w:val="toc 7"/>
    <w:basedOn w:val="836"/>
    <w:next w:val="836"/>
    <w:uiPriority w:val="39"/>
    <w:unhideWhenUsed/>
    <w:pPr>
      <w:ind w:left="1701"/>
      <w:spacing w:after="57"/>
    </w:pPr>
  </w:style>
  <w:style w:type="paragraph" w:styleId="906">
    <w:name w:val="toc 8"/>
    <w:basedOn w:val="836"/>
    <w:next w:val="836"/>
    <w:uiPriority w:val="39"/>
    <w:unhideWhenUsed/>
    <w:pPr>
      <w:ind w:left="1984"/>
      <w:spacing w:after="57"/>
    </w:pPr>
  </w:style>
  <w:style w:type="paragraph" w:styleId="907">
    <w:name w:val="toc 9"/>
    <w:basedOn w:val="836"/>
    <w:next w:val="836"/>
    <w:uiPriority w:val="39"/>
    <w:unhideWhenUsed/>
    <w:pPr>
      <w:ind w:left="2268"/>
      <w:spacing w:after="57"/>
    </w:pPr>
  </w:style>
  <w:style w:type="paragraph" w:styleId="908">
    <w:name w:val="TOC Heading"/>
    <w:uiPriority w:val="39"/>
    <w:unhideWhenUsed/>
  </w:style>
  <w:style w:type="paragraph" w:styleId="909">
    <w:name w:val="table of figures"/>
    <w:basedOn w:val="836"/>
    <w:next w:val="836"/>
    <w:uiPriority w:val="99"/>
    <w:unhideWhenUsed/>
    <w:pPr>
      <w:spacing w:after="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footer" Target="footer2.xml" /><Relationship Id="rId11" Type="http://schemas.openxmlformats.org/officeDocument/2006/relationships/customXml" Target="../customXml/item1.xml" /><Relationship Id="rId12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C83708-5BF8-47E1-85DB-BEE1775F1D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Обадина Анна Владимировна</dc:creator>
  <cp:revision>4</cp:revision>
  <dcterms:created xsi:type="dcterms:W3CDTF">2025-06-11T12:01:00Z</dcterms:created>
  <dcterms:modified xsi:type="dcterms:W3CDTF">2025-06-23T12:43:11Z</dcterms:modified>
</cp:coreProperties>
</file>