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color w:val="000000"/>
          <w:sz w:val="24"/>
          <w:szCs w:val="24"/>
          <w:lang w:val="en-US"/>
        </w:rPr>
      </w:pPr>
      <w:r>
        <w:rPr>
          <w:b/>
          <w:color w:val="000000"/>
          <w:sz w:val="24"/>
          <w:szCs w:val="24"/>
          <w:lang w:val="en-US"/>
        </w:rPr>
      </w:r>
      <w:r>
        <w:rPr>
          <w:b/>
          <w:color w:val="000000"/>
          <w:sz w:val="24"/>
          <w:szCs w:val="24"/>
          <w:lang w:val="en-US"/>
        </w:rPr>
      </w:r>
      <w:r>
        <w:rPr>
          <w:b/>
          <w:color w:val="000000"/>
          <w:sz w:val="24"/>
          <w:szCs w:val="24"/>
          <w:lang w:val="en-US"/>
        </w:rPr>
      </w:r>
    </w:p>
    <w:p>
      <w:pPr>
        <w:jc w:val="both"/>
        <w:widowControl w:val="off"/>
        <w:rPr>
          <w:b/>
          <w:color w:val="000000"/>
          <w:sz w:val="24"/>
          <w:szCs w:val="24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2701925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both"/>
        <w:widowControl w:val="off"/>
        <w:rPr>
          <w:b/>
          <w:color w:val="000000"/>
          <w:sz w:val="24"/>
        </w:rPr>
      </w:pPr>
      <w:r>
        <w:rPr>
          <w:b/>
          <w:color w:val="000000"/>
          <w:sz w:val="24"/>
        </w:rPr>
        <w:t xml:space="preserve">от</w:t>
      </w:r>
      <w:r>
        <w:rPr>
          <w:b/>
          <w:color w:val="000000"/>
          <w:sz w:val="24"/>
        </w:rPr>
        <w:t xml:space="preserve"> </w:t>
      </w:r>
      <w:r>
        <w:rPr>
          <w:b/>
          <w:color w:val="000000"/>
          <w:sz w:val="24"/>
        </w:rPr>
        <w:t xml:space="preserve">01.07.2025</w:t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 xml:space="preserve"> </w:t>
      </w:r>
      <w:r>
        <w:rPr>
          <w:b/>
          <w:color w:val="000000"/>
          <w:sz w:val="24"/>
        </w:rPr>
        <w:t xml:space="preserve">№ 1125</w:t>
      </w:r>
      <w:r>
        <w:rPr>
          <w:b/>
          <w:color w:val="000000"/>
          <w:sz w:val="24"/>
        </w:rPr>
      </w:r>
      <w:r>
        <w:rPr>
          <w:b/>
          <w:color w:val="000000"/>
          <w:sz w:val="2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4"/>
        </w:rPr>
        <w:t xml:space="preserve">п.г.т</w:t>
      </w:r>
      <w:r>
        <w:rPr>
          <w:b/>
          <w:color w:val="000000"/>
          <w:sz w:val="24"/>
        </w:rPr>
        <w:t xml:space="preserve">. Никель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widowControl w:val="off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rPr>
          <w:b/>
        </w:rPr>
      </w:pPr>
      <w:r>
        <w:rPr>
          <w:b/>
        </w:rPr>
        <w:t xml:space="preserve">Об утверждении </w:t>
      </w:r>
      <w:r>
        <w:rPr>
          <w:b/>
        </w:rPr>
        <w:t xml:space="preserve">условий </w:t>
      </w:r>
      <w:r>
        <w:rPr>
          <w:b/>
        </w:rPr>
        <w:t xml:space="preserve">пр</w:t>
      </w:r>
      <w:r>
        <w:rPr>
          <w:b/>
        </w:rPr>
        <w:t xml:space="preserve">иватизации имущества, </w:t>
      </w:r>
      <w:r>
        <w:rPr>
          <w:b/>
        </w:rPr>
        <w:t xml:space="preserve">находящегося</w:t>
      </w:r>
      <w:r>
        <w:rPr>
          <w:b/>
        </w:rPr>
        <w:t xml:space="preserve"> </w:t>
      </w:r>
      <w:r>
        <w:rPr>
          <w:b/>
        </w:rPr>
        <w:t xml:space="preserve">в собственности </w:t>
      </w:r>
      <w:r>
        <w:rPr>
          <w:b/>
        </w:rPr>
        <w:br/>
      </w:r>
      <w:r>
        <w:rPr>
          <w:b/>
        </w:rPr>
        <w:t xml:space="preserve">Печенгского муниципального округа</w:t>
      </w:r>
      <w:r>
        <w:rPr>
          <w:b/>
        </w:rPr>
      </w:r>
      <w:r>
        <w:rPr>
          <w:b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</w:t>
      </w:r>
      <w:r>
        <w:rPr>
          <w:sz w:val="24"/>
          <w:szCs w:val="24"/>
        </w:rPr>
        <w:t xml:space="preserve">уководствуясь Федеральным </w:t>
      </w:r>
      <w:r>
        <w:rPr>
          <w:sz w:val="24"/>
          <w:szCs w:val="24"/>
        </w:rPr>
        <w:t xml:space="preserve">законом от 21.12.2001 № 178-ФЗ «О приватизации государственного и муниципального имущества»,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орядк</w:t>
      </w:r>
      <w:r>
        <w:rPr>
          <w:sz w:val="24"/>
          <w:szCs w:val="24"/>
        </w:rPr>
        <w:t xml:space="preserve">ом</w:t>
      </w:r>
      <w:r>
        <w:rPr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и условия</w:t>
      </w:r>
      <w:r>
        <w:rPr>
          <w:color w:val="000000"/>
          <w:sz w:val="24"/>
          <w:szCs w:val="24"/>
        </w:rPr>
        <w:t xml:space="preserve">ми</w:t>
      </w:r>
      <w:r>
        <w:rPr>
          <w:color w:val="000000"/>
          <w:sz w:val="24"/>
          <w:szCs w:val="24"/>
        </w:rPr>
        <w:t xml:space="preserve"> приватизации муниципального имущества Печенгского муниципального округа</w:t>
      </w:r>
      <w:r>
        <w:rPr>
          <w:rFonts w:eastAsia="Calibri"/>
          <w:sz w:val="24"/>
          <w:szCs w:val="24"/>
        </w:rPr>
        <w:t xml:space="preserve">, </w:t>
      </w:r>
      <w:r>
        <w:rPr>
          <w:sz w:val="24"/>
          <w:szCs w:val="24"/>
        </w:rPr>
        <w:t xml:space="preserve">утвержденны</w:t>
      </w:r>
      <w:r>
        <w:rPr>
          <w:sz w:val="24"/>
          <w:szCs w:val="24"/>
        </w:rPr>
        <w:t xml:space="preserve">м</w:t>
      </w:r>
      <w:r>
        <w:rPr>
          <w:sz w:val="24"/>
          <w:szCs w:val="24"/>
        </w:rPr>
        <w:t xml:space="preserve"> решением Совета депутатов Печенгского муниципального округа от 05.02.2021 № 90, </w:t>
      </w:r>
      <w:r>
        <w:rPr>
          <w:sz w:val="24"/>
          <w:szCs w:val="24"/>
        </w:rPr>
        <w:br/>
      </w:r>
      <w:r>
        <w:rPr>
          <w:sz w:val="24"/>
          <w:szCs w:val="24"/>
        </w:rPr>
        <w:t xml:space="preserve">в соответствии с Прогнозным планом (программой) приватизации</w:t>
      </w:r>
      <w:r>
        <w:rPr>
          <w:sz w:val="24"/>
          <w:szCs w:val="24"/>
        </w:rPr>
        <w:t xml:space="preserve"> муниципального </w:t>
      </w:r>
      <w:r>
        <w:rPr>
          <w:sz w:val="24"/>
          <w:szCs w:val="24"/>
        </w:rPr>
        <w:t xml:space="preserve">имущества </w:t>
      </w:r>
      <w:r>
        <w:rPr>
          <w:sz w:val="24"/>
          <w:szCs w:val="24"/>
        </w:rPr>
        <w:t xml:space="preserve">Печенгского муниципального округа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на 20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 год и плановый период </w:t>
        <w:br/>
        <w:t xml:space="preserve">202</w:t>
      </w:r>
      <w:r>
        <w:rPr>
          <w:sz w:val="24"/>
          <w:szCs w:val="24"/>
        </w:rPr>
        <w:t xml:space="preserve">6 </w:t>
      </w:r>
      <w:r>
        <w:rPr>
          <w:sz w:val="24"/>
          <w:szCs w:val="24"/>
        </w:rPr>
        <w:t xml:space="preserve">- 202</w:t>
      </w:r>
      <w:r>
        <w:rPr>
          <w:sz w:val="24"/>
          <w:szCs w:val="24"/>
        </w:rPr>
        <w:t xml:space="preserve">7</w:t>
      </w:r>
      <w:r>
        <w:rPr>
          <w:sz w:val="24"/>
          <w:szCs w:val="24"/>
        </w:rPr>
        <w:t xml:space="preserve"> год</w:t>
      </w:r>
      <w:r>
        <w:rPr>
          <w:sz w:val="24"/>
          <w:szCs w:val="24"/>
        </w:rPr>
        <w:t xml:space="preserve">ов</w:t>
      </w:r>
      <w:r>
        <w:rPr>
          <w:sz w:val="24"/>
          <w:szCs w:val="24"/>
        </w:rPr>
        <w:t xml:space="preserve">, утвержденным решением Совета депутатов </w:t>
      </w:r>
      <w:r>
        <w:rPr>
          <w:sz w:val="24"/>
          <w:szCs w:val="24"/>
        </w:rPr>
        <w:t xml:space="preserve">Печенгского муниципального округа</w:t>
      </w:r>
      <w:r>
        <w:rPr>
          <w:sz w:val="24"/>
          <w:szCs w:val="24"/>
        </w:rPr>
        <w:t xml:space="preserve"> от </w:t>
      </w:r>
      <w:r>
        <w:rPr>
          <w:sz w:val="24"/>
          <w:szCs w:val="24"/>
        </w:rPr>
        <w:t xml:space="preserve">20</w:t>
      </w:r>
      <w:r>
        <w:rPr>
          <w:sz w:val="24"/>
          <w:szCs w:val="24"/>
        </w:rPr>
        <w:t xml:space="preserve">.1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518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5"/>
        <w:ind w:right="-5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5"/>
        <w:jc w:val="both"/>
        <w:shd w:val="clear" w:color="auto" w:fill="ffffff"/>
        <w:widowControl w:val="off"/>
        <w:rPr>
          <w:b/>
          <w:spacing w:val="-20"/>
          <w:sz w:val="24"/>
          <w:szCs w:val="24"/>
        </w:rPr>
      </w:pPr>
      <w:r>
        <w:rPr>
          <w:b/>
          <w:spacing w:val="-20"/>
          <w:sz w:val="24"/>
          <w:szCs w:val="24"/>
        </w:rPr>
        <w:t xml:space="preserve">ПОСТАНОВЛЯЮ:</w:t>
      </w:r>
      <w:r>
        <w:rPr>
          <w:b/>
          <w:spacing w:val="-20"/>
          <w:sz w:val="24"/>
          <w:szCs w:val="24"/>
        </w:rPr>
      </w:r>
      <w:r>
        <w:rPr>
          <w:b/>
          <w:spacing w:val="-20"/>
          <w:sz w:val="24"/>
          <w:szCs w:val="24"/>
        </w:rPr>
      </w:r>
    </w:p>
    <w:p>
      <w:pPr>
        <w:ind w:right="-5"/>
        <w:jc w:val="both"/>
        <w:shd w:val="clear" w:color="auto" w:fill="ffffff"/>
        <w:widowControl w:val="off"/>
        <w:rPr>
          <w:b/>
          <w:spacing w:val="-20"/>
          <w:sz w:val="24"/>
          <w:szCs w:val="24"/>
        </w:rPr>
      </w:pPr>
      <w:r>
        <w:rPr>
          <w:b/>
          <w:spacing w:val="-20"/>
          <w:sz w:val="24"/>
          <w:szCs w:val="24"/>
        </w:rPr>
      </w:r>
      <w:r>
        <w:rPr>
          <w:b/>
          <w:spacing w:val="-20"/>
          <w:sz w:val="24"/>
          <w:szCs w:val="24"/>
        </w:rPr>
      </w:r>
      <w:r>
        <w:rPr>
          <w:b/>
          <w:spacing w:val="-20"/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1. </w:t>
      </w:r>
      <w:r>
        <w:rPr>
          <w:sz w:val="24"/>
          <w:szCs w:val="24"/>
        </w:rPr>
        <w:t xml:space="preserve">Разрешить приватизацию</w:t>
      </w:r>
      <w:r>
        <w:rPr>
          <w:sz w:val="24"/>
          <w:szCs w:val="24"/>
        </w:rPr>
        <w:t xml:space="preserve"> имущества, находящегося в собственности </w:t>
      </w:r>
      <w:r>
        <w:rPr>
          <w:sz w:val="24"/>
          <w:szCs w:val="24"/>
        </w:rPr>
        <w:t xml:space="preserve">Пече</w:t>
      </w:r>
      <w:r>
        <w:rPr>
          <w:sz w:val="24"/>
          <w:szCs w:val="24"/>
        </w:rPr>
        <w:t xml:space="preserve">нгского муниципального округа,</w:t>
      </w:r>
      <w:r>
        <w:rPr>
          <w:sz w:val="24"/>
          <w:szCs w:val="24"/>
        </w:rPr>
        <w:t xml:space="preserve"> согласно приложени</w:t>
      </w:r>
      <w:r>
        <w:rPr>
          <w:sz w:val="24"/>
          <w:szCs w:val="24"/>
        </w:rPr>
        <w:t xml:space="preserve">ю.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2. Утвердить следующие условия приватизации имущества: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2.1. Способ приватизации: аукцион, открытый по составу участников и </w:t>
      </w:r>
      <w:r>
        <w:rPr>
          <w:sz w:val="24"/>
          <w:szCs w:val="24"/>
        </w:rPr>
        <w:t xml:space="preserve">открытый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 форме подачи </w:t>
      </w:r>
      <w:r>
        <w:rPr>
          <w:sz w:val="24"/>
          <w:szCs w:val="24"/>
        </w:rPr>
        <w:t xml:space="preserve">предложений по цене.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2.2. Начальная цена</w:t>
      </w:r>
      <w:r>
        <w:rPr>
          <w:sz w:val="24"/>
          <w:szCs w:val="24"/>
        </w:rPr>
        <w:t xml:space="preserve"> имущества</w:t>
      </w:r>
      <w:r>
        <w:rPr>
          <w:sz w:val="24"/>
          <w:szCs w:val="24"/>
        </w:rPr>
        <w:t xml:space="preserve"> согласно приложению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2.3. Срок оплаты: единовременно, безналичный расчет, </w:t>
      </w:r>
      <w:r>
        <w:rPr>
          <w:sz w:val="24"/>
          <w:szCs w:val="24"/>
        </w:rPr>
        <w:t xml:space="preserve">не позднее 15 рабочих </w:t>
      </w:r>
      <w:r>
        <w:rPr>
          <w:sz w:val="24"/>
          <w:szCs w:val="24"/>
        </w:rPr>
        <w:t xml:space="preserve">дней </w:t>
      </w:r>
      <w:r>
        <w:rPr>
          <w:sz w:val="24"/>
          <w:szCs w:val="24"/>
        </w:rPr>
        <w:t xml:space="preserve">со дня заключения</w:t>
      </w:r>
      <w:r>
        <w:rPr>
          <w:sz w:val="24"/>
          <w:szCs w:val="24"/>
        </w:rPr>
        <w:t xml:space="preserve"> договора купли-продажи. Средства от сделки поступают в бюджет</w:t>
      </w:r>
      <w:r>
        <w:rPr>
          <w:sz w:val="24"/>
          <w:szCs w:val="24"/>
        </w:rPr>
        <w:t xml:space="preserve"> Печенгского муниципального округа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2.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. Все действия, необходимые д</w:t>
      </w:r>
      <w:r>
        <w:rPr>
          <w:sz w:val="24"/>
          <w:szCs w:val="24"/>
        </w:rPr>
        <w:t xml:space="preserve">ля государственной регистрации имущества </w:t>
      </w:r>
      <w:r>
        <w:rPr>
          <w:sz w:val="24"/>
          <w:szCs w:val="24"/>
        </w:rPr>
        <w:t xml:space="preserve">и оплату стоимости указанных услуг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возложить на покупателя.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3. Комитету по управлению имуществом</w:t>
      </w:r>
      <w:r>
        <w:rPr>
          <w:sz w:val="24"/>
          <w:szCs w:val="24"/>
        </w:rPr>
        <w:t xml:space="preserve"> администрации Печенгского муниципального округа</w:t>
      </w:r>
      <w:r>
        <w:rPr>
          <w:sz w:val="24"/>
          <w:szCs w:val="24"/>
        </w:rPr>
        <w:t xml:space="preserve"> выступить продавцом имущества и осуществлять работу в соответствии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 Положением </w:t>
      </w:r>
      <w:r>
        <w:rPr>
          <w:sz w:val="24"/>
          <w:szCs w:val="24"/>
        </w:rPr>
        <w:t xml:space="preserve">о</w:t>
      </w:r>
      <w:r>
        <w:rPr>
          <w:sz w:val="24"/>
          <w:szCs w:val="24"/>
        </w:rPr>
        <w:t xml:space="preserve">б организации </w:t>
      </w:r>
      <w:r>
        <w:rPr>
          <w:sz w:val="24"/>
          <w:szCs w:val="24"/>
        </w:rPr>
        <w:t xml:space="preserve">и проведении </w:t>
      </w:r>
      <w:r>
        <w:rPr>
          <w:sz w:val="24"/>
          <w:szCs w:val="24"/>
        </w:rPr>
        <w:t xml:space="preserve">продажи государственно</w:t>
      </w:r>
      <w:r>
        <w:rPr>
          <w:sz w:val="24"/>
          <w:szCs w:val="24"/>
        </w:rPr>
        <w:t xml:space="preserve">го или муниципального имущества в электронной форме</w:t>
      </w:r>
      <w:r>
        <w:rPr>
          <w:sz w:val="24"/>
          <w:szCs w:val="24"/>
        </w:rPr>
        <w:t xml:space="preserve">, утвержденным постановлением Правительства Р</w:t>
      </w:r>
      <w:r>
        <w:rPr>
          <w:sz w:val="24"/>
          <w:szCs w:val="24"/>
        </w:rPr>
        <w:t xml:space="preserve">оссийской </w:t>
      </w:r>
      <w:r>
        <w:rPr>
          <w:sz w:val="24"/>
          <w:szCs w:val="24"/>
        </w:rPr>
        <w:t xml:space="preserve">Ф</w:t>
      </w:r>
      <w:r>
        <w:rPr>
          <w:sz w:val="24"/>
          <w:szCs w:val="24"/>
        </w:rPr>
        <w:t xml:space="preserve">едерации</w:t>
      </w:r>
      <w:r>
        <w:rPr>
          <w:sz w:val="24"/>
          <w:szCs w:val="24"/>
        </w:rPr>
        <w:t xml:space="preserve"> от </w:t>
      </w:r>
      <w:r>
        <w:rPr>
          <w:sz w:val="24"/>
          <w:szCs w:val="24"/>
        </w:rPr>
        <w:t xml:space="preserve">27.08.2012 № 860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4. Настоящее постановление вступает в силу после его подписания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5. </w:t>
      </w:r>
      <w:r>
        <w:rPr>
          <w:sz w:val="24"/>
          <w:szCs w:val="24"/>
        </w:rPr>
        <w:t xml:space="preserve">Настоящее постановление </w:t>
      </w:r>
      <w:r>
        <w:rPr>
          <w:sz w:val="24"/>
          <w:szCs w:val="24"/>
        </w:rPr>
        <w:t xml:space="preserve">подлежит размещению на </w:t>
      </w:r>
      <w:r>
        <w:rPr>
          <w:sz w:val="24"/>
          <w:szCs w:val="24"/>
        </w:rPr>
        <w:t xml:space="preserve">официальном </w:t>
      </w:r>
      <w:r>
        <w:rPr>
          <w:sz w:val="24"/>
          <w:szCs w:val="24"/>
        </w:rPr>
        <w:t xml:space="preserve">сайте </w:t>
      </w:r>
      <w:r>
        <w:rPr>
          <w:sz w:val="24"/>
          <w:szCs w:val="24"/>
        </w:rPr>
        <w:t xml:space="preserve">Печенгского муниципального округа </w:t>
      </w:r>
      <w:hyperlink r:id="rId11" w:tooltip="http://pechengamr.gov-murman.ru/" w:history="1">
        <w:r>
          <w:rPr>
            <w:sz w:val="24"/>
            <w:szCs w:val="24"/>
          </w:rPr>
          <w:t xml:space="preserve">http://pechengamr.gov-murman.ru/</w:t>
        </w:r>
      </w:hyperlink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. Информационное сообщение о продаже имущества разместить на сайте </w:t>
      </w:r>
      <w:hyperlink r:id="rId12" w:tooltip="http://pechengamr.gov-murman.ru/" w:history="1">
        <w:r>
          <w:rPr>
            <w:sz w:val="24"/>
            <w:szCs w:val="24"/>
          </w:rPr>
          <w:t xml:space="preserve">http://pechengamr.gov-murman.ru/</w:t>
        </w:r>
      </w:hyperlink>
      <w:r>
        <w:rPr>
          <w:sz w:val="24"/>
          <w:szCs w:val="24"/>
        </w:rPr>
        <w:t xml:space="preserve"> и сети Интернет Российской Федерации о проведении торгов.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shd w:val="clear" w:color="auto" w:fill="ffffff"/>
        <w:widowControl w:val="off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7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Контроль за</w:t>
      </w:r>
      <w:r>
        <w:rPr>
          <w:sz w:val="24"/>
          <w:szCs w:val="24"/>
        </w:rPr>
        <w:t xml:space="preserve"> исполнением настоящего постановления оставляю за собой.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                                                       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1184"/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rPr>
          <w:highlight w:val="none"/>
        </w:rPr>
      </w:pPr>
      <w:r>
        <w:t xml:space="preserve">Лаврущик</w:t>
      </w:r>
      <w:r>
        <w:t xml:space="preserve"> С.С., 50579</w:t>
      </w:r>
      <w:r>
        <w:rPr>
          <w:highlight w:val="none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администрации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Печенгского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01.07.2025 № </w:t>
      </w:r>
      <w:r>
        <w:rPr>
          <w:sz w:val="24"/>
          <w:szCs w:val="24"/>
        </w:rPr>
        <w:t xml:space="preserve">1125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ПЕРЕЧЕНЬ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имущества, подлежащего приватизации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5101" w:type="pct"/>
        <w:tblInd w:w="-31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434"/>
        <w:gridCol w:w="1556"/>
        <w:gridCol w:w="2269"/>
        <w:gridCol w:w="3540"/>
        <w:gridCol w:w="1965"/>
      </w:tblGrid>
      <w:tr>
        <w:tblPrEx/>
        <w:trPr>
          <w:trHeight w:val="890"/>
        </w:trPr>
        <w:tc>
          <w:tcPr>
            <w:tcW w:w="222" w:type="pct"/>
            <w:textDirection w:val="lrTb"/>
            <w:noWrap w:val="false"/>
          </w:tcPr>
          <w:p>
            <w:pPr>
              <w:jc w:val="center"/>
            </w:pPr>
            <w:r>
              <w:t xml:space="preserve">№ </w:t>
            </w:r>
            <w:r>
              <w:t xml:space="preserve">п</w:t>
            </w:r>
            <w:r>
              <w:t xml:space="preserve">/п</w:t>
            </w:r>
            <w:r/>
          </w:p>
        </w:tc>
        <w:tc>
          <w:tcPr>
            <w:tcW w:w="797" w:type="pct"/>
            <w:textDirection w:val="lrTb"/>
            <w:noWrap w:val="false"/>
          </w:tcPr>
          <w:p>
            <w:pPr>
              <w:jc w:val="center"/>
            </w:pPr>
            <w:r>
              <w:t xml:space="preserve">Наименование объекта</w:t>
            </w:r>
            <w:r/>
          </w:p>
        </w:tc>
        <w:tc>
          <w:tcPr>
            <w:tcW w:w="1162" w:type="pct"/>
            <w:textDirection w:val="lrTb"/>
            <w:noWrap w:val="false"/>
          </w:tcPr>
          <w:p>
            <w:pPr>
              <w:jc w:val="center"/>
              <w:tabs>
                <w:tab w:val="left" w:pos="1035" w:leader="none"/>
              </w:tabs>
            </w:pPr>
            <w:r>
              <w:t xml:space="preserve">Адрес местонахождения</w:t>
            </w:r>
            <w:r/>
          </w:p>
        </w:tc>
        <w:tc>
          <w:tcPr>
            <w:tcW w:w="1813" w:type="pct"/>
            <w:textDirection w:val="lrTb"/>
            <w:noWrap w:val="false"/>
          </w:tcPr>
          <w:p>
            <w:pPr>
              <w:jc w:val="center"/>
            </w:pPr>
            <w:r>
              <w:t xml:space="preserve">Индивидуализирующие характеристики</w:t>
            </w:r>
            <w:r/>
          </w:p>
          <w:p>
            <w:pPr>
              <w:jc w:val="center"/>
            </w:pPr>
            <w:r/>
            <w:r/>
          </w:p>
        </w:tc>
        <w:tc>
          <w:tcPr>
            <w:tcW w:w="1006" w:type="pct"/>
            <w:textDirection w:val="lrTb"/>
            <w:noWrap w:val="false"/>
          </w:tcPr>
          <w:p>
            <w:pPr>
              <w:jc w:val="center"/>
            </w:pPr>
            <w:r>
              <w:t xml:space="preserve">Начальная цена продажи объекта недвижимости (рубли)</w:t>
            </w:r>
            <w:r/>
          </w:p>
        </w:tc>
      </w:tr>
      <w:tr>
        <w:tblPrEx/>
        <w:trPr/>
        <w:tc>
          <w:tcPr>
            <w:tcW w:w="222" w:type="pct"/>
            <w:textDirection w:val="lrTb"/>
            <w:noWrap w:val="false"/>
          </w:tcPr>
          <w:p>
            <w:pPr>
              <w:jc w:val="center"/>
            </w:pPr>
            <w:r>
              <w:t xml:space="preserve">1.</w:t>
            </w:r>
            <w:r/>
          </w:p>
        </w:tc>
        <w:tc>
          <w:tcPr>
            <w:tcW w:w="797" w:type="pct"/>
            <w:textDirection w:val="lrTb"/>
            <w:noWrap w:val="false"/>
          </w:tcPr>
          <w:p>
            <w:r>
              <w:rPr>
                <w:rStyle w:val="859"/>
                <w:rFonts w:ascii="Times New Roman" w:hAnsi="Times New Roman"/>
              </w:rPr>
              <w:t xml:space="preserve">Нежилое здание </w:t>
            </w:r>
            <w:r>
              <w:rPr>
                <w:rStyle w:val="859"/>
                <w:rFonts w:ascii="Times New Roman" w:hAnsi="Times New Roman"/>
              </w:rPr>
              <w:t xml:space="preserve">(учебные классы)</w:t>
            </w:r>
            <w:r/>
          </w:p>
          <w:p>
            <w:pPr>
              <w:pStyle w:val="857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162" w:type="pct"/>
            <w:textDirection w:val="lrTb"/>
            <w:noWrap w:val="false"/>
          </w:tcPr>
          <w:p>
            <w:pPr>
              <w:jc w:val="both"/>
            </w:pPr>
            <w:r>
              <w:rPr>
                <w:rStyle w:val="859"/>
                <w:rFonts w:ascii="Times New Roman" w:hAnsi="Times New Roman"/>
              </w:rPr>
              <w:t xml:space="preserve">Мурманская</w:t>
            </w:r>
            <w:r>
              <w:rPr>
                <w:rStyle w:val="859"/>
                <w:rFonts w:ascii="Times New Roman" w:hAnsi="Times New Roman"/>
              </w:rPr>
              <w:t xml:space="preserve"> обл., МО </w:t>
            </w:r>
            <w:r>
              <w:rPr>
                <w:rStyle w:val="859"/>
                <w:rFonts w:ascii="Times New Roman" w:hAnsi="Times New Roman"/>
              </w:rPr>
              <w:t xml:space="preserve">с.п</w:t>
            </w:r>
            <w:r>
              <w:rPr>
                <w:rStyle w:val="859"/>
                <w:rFonts w:ascii="Times New Roman" w:hAnsi="Times New Roman"/>
              </w:rPr>
              <w:t xml:space="preserve">. </w:t>
            </w:r>
            <w:r>
              <w:rPr>
                <w:rStyle w:val="859"/>
                <w:rFonts w:ascii="Times New Roman" w:hAnsi="Times New Roman"/>
              </w:rPr>
              <w:t xml:space="preserve">Корзуново</w:t>
            </w:r>
            <w:r>
              <w:rPr>
                <w:rStyle w:val="859"/>
                <w:rFonts w:ascii="Times New Roman" w:hAnsi="Times New Roman"/>
              </w:rPr>
              <w:t xml:space="preserve"> Печенгского р-на, </w:t>
              <w:br/>
            </w:r>
            <w:r>
              <w:rPr>
                <w:rStyle w:val="859"/>
                <w:rFonts w:ascii="Times New Roman" w:hAnsi="Times New Roman"/>
              </w:rPr>
              <w:t xml:space="preserve">н.п. </w:t>
            </w:r>
            <w:r>
              <w:rPr>
                <w:rStyle w:val="859"/>
                <w:rFonts w:ascii="Times New Roman" w:hAnsi="Times New Roman"/>
              </w:rPr>
              <w:t xml:space="preserve">Корзуново</w:t>
            </w:r>
            <w:r>
              <w:rPr>
                <w:rStyle w:val="859"/>
                <w:rFonts w:ascii="Times New Roman" w:hAnsi="Times New Roman"/>
              </w:rPr>
              <w:t xml:space="preserve">, </w:t>
              <w:br/>
              <w:t xml:space="preserve">ул. </w:t>
            </w:r>
            <w:r>
              <w:rPr>
                <w:rStyle w:val="859"/>
                <w:rFonts w:ascii="Times New Roman" w:hAnsi="Times New Roman"/>
              </w:rPr>
              <w:t xml:space="preserve">Печенгская</w:t>
            </w:r>
            <w:r>
              <w:rPr>
                <w:rStyle w:val="859"/>
                <w:rFonts w:ascii="Times New Roman" w:hAnsi="Times New Roman"/>
              </w:rPr>
              <w:t xml:space="preserve">, д. 54</w:t>
            </w:r>
            <w:r>
              <w:rPr>
                <w:rStyle w:val="859"/>
                <w:rFonts w:ascii="Times New Roman" w:hAnsi="Times New Roman"/>
              </w:rPr>
              <w:t xml:space="preserve"> </w:t>
            </w:r>
            <w:r/>
          </w:p>
        </w:tc>
        <w:tc>
          <w:tcPr>
            <w:tcW w:w="1813" w:type="pct"/>
            <w:textDirection w:val="lrTb"/>
            <w:noWrap w:val="false"/>
          </w:tcPr>
          <w:p>
            <w:pPr>
              <w:jc w:val="both"/>
            </w:pPr>
            <w:r>
              <w:t xml:space="preserve">Год завершения строительства 1964.</w:t>
            </w:r>
            <w:r/>
          </w:p>
          <w:p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Назначение: нежилое, количество этажей: 1, в том числе подземных -, площадь 391,9 </w:t>
            </w:r>
            <w:r>
              <w:rPr>
                <w:color w:val="000000"/>
              </w:rPr>
              <w:t xml:space="preserve">кв</w:t>
            </w:r>
            <w:r>
              <w:rPr>
                <w:color w:val="000000"/>
              </w:rPr>
              <w:t xml:space="preserve">. м</w:t>
            </w:r>
            <w:r>
              <w:rPr>
                <w:color w:val="000000"/>
              </w:rPr>
              <w:t xml:space="preserve">, кадастровый номер 51:03:0060102:2042.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jc w:val="both"/>
            </w:pPr>
            <w:r>
              <w:t xml:space="preserve">Техническое состояние неудовлетворительное.</w:t>
            </w:r>
            <w:r/>
          </w:p>
          <w:p>
            <w:pPr>
              <w:jc w:val="both"/>
            </w:pPr>
            <w:r/>
            <w:r/>
          </w:p>
        </w:tc>
        <w:tc>
          <w:tcPr>
            <w:tcBorders>
              <w:right w:val="single" w:color="auto" w:sz="4" w:space="0"/>
            </w:tcBorders>
            <w:tcW w:w="1006" w:type="pct"/>
            <w:textDirection w:val="lrTb"/>
            <w:noWrap w:val="false"/>
          </w:tcPr>
          <w:p>
            <w:r>
              <w:t xml:space="preserve">2 052 </w:t>
            </w:r>
            <w:r>
              <w:t xml:space="preserve">000 (</w:t>
            </w:r>
            <w:r>
              <w:t xml:space="preserve">два </w:t>
            </w:r>
            <w:r>
              <w:t xml:space="preserve">миллион</w:t>
            </w:r>
            <w:r>
              <w:t xml:space="preserve">а</w:t>
            </w:r>
            <w:r>
              <w:t xml:space="preserve"> пять</w:t>
            </w:r>
            <w:r>
              <w:t xml:space="preserve">десят две</w:t>
            </w:r>
            <w:r>
              <w:t xml:space="preserve"> тысяч</w:t>
            </w:r>
            <w:r>
              <w:t xml:space="preserve">и</w:t>
            </w:r>
            <w:r>
              <w:t xml:space="preserve">) рублей 00 копеек без учета НДС</w:t>
            </w:r>
            <w:r/>
          </w:p>
        </w:tc>
      </w:tr>
    </w:tbl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/>
      <w:bookmarkStart w:id="0" w:name="_GoBack"/>
      <w:r/>
      <w:bookmarkEnd w:id="0"/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sectPr>
      <w:footnotePr/>
      <w:endnotePr/>
      <w:type w:val="nextPage"/>
      <w:pgSz w:w="11906" w:h="16838" w:orient="portrait"/>
      <w:pgMar w:top="1134" w:right="850" w:bottom="822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NewRomanPSMT">
    <w:panose1 w:val="02020603050405020304"/>
  </w:font>
  <w:font w:name="Courier New">
    <w:panose1 w:val="02070309020205020404"/>
  </w:font>
  <w:font w:name="Verdana">
    <w:panose1 w:val="020B060403050404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b/>
        <w:sz w:val="20"/>
        <w:szCs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01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73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45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17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89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1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33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054" w:hanging="180"/>
      </w:pPr>
    </w:lvl>
  </w:abstractNum>
  <w:abstractNum w:abstractNumId="1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1789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50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22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94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66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38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10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82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54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40" w:hanging="10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09" w:hanging="120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5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2498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6">
    <w:name w:val="Heading 1"/>
    <w:basedOn w:val="841"/>
    <w:next w:val="841"/>
    <w:link w:val="667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7">
    <w:name w:val="Heading 1 Char"/>
    <w:basedOn w:val="843"/>
    <w:link w:val="666"/>
    <w:uiPriority w:val="9"/>
    <w:rPr>
      <w:rFonts w:ascii="Arial" w:hAnsi="Arial" w:eastAsia="Arial" w:cs="Arial"/>
      <w:sz w:val="40"/>
      <w:szCs w:val="40"/>
    </w:rPr>
  </w:style>
  <w:style w:type="paragraph" w:styleId="668">
    <w:name w:val="Heading 2"/>
    <w:basedOn w:val="841"/>
    <w:next w:val="841"/>
    <w:link w:val="669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9">
    <w:name w:val="Heading 2 Char"/>
    <w:basedOn w:val="843"/>
    <w:link w:val="668"/>
    <w:uiPriority w:val="9"/>
    <w:rPr>
      <w:rFonts w:ascii="Arial" w:hAnsi="Arial" w:eastAsia="Arial" w:cs="Arial"/>
      <w:sz w:val="34"/>
    </w:rPr>
  </w:style>
  <w:style w:type="paragraph" w:styleId="670">
    <w:name w:val="Heading 3"/>
    <w:basedOn w:val="841"/>
    <w:next w:val="841"/>
    <w:link w:val="671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1">
    <w:name w:val="Heading 3 Char"/>
    <w:basedOn w:val="843"/>
    <w:link w:val="670"/>
    <w:uiPriority w:val="9"/>
    <w:rPr>
      <w:rFonts w:ascii="Arial" w:hAnsi="Arial" w:eastAsia="Arial" w:cs="Arial"/>
      <w:sz w:val="30"/>
      <w:szCs w:val="30"/>
    </w:rPr>
  </w:style>
  <w:style w:type="character" w:styleId="672">
    <w:name w:val="Heading 4 Char"/>
    <w:basedOn w:val="843"/>
    <w:link w:val="842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41"/>
    <w:next w:val="841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3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41"/>
    <w:next w:val="841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3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41"/>
    <w:next w:val="841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3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41"/>
    <w:next w:val="841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3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41"/>
    <w:next w:val="841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3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No Spacing"/>
    <w:uiPriority w:val="1"/>
    <w:qFormat/>
    <w:pPr>
      <w:spacing w:before="0" w:after="0" w:line="240" w:lineRule="auto"/>
    </w:pPr>
  </w:style>
  <w:style w:type="paragraph" w:styleId="684">
    <w:name w:val="Title"/>
    <w:basedOn w:val="841"/>
    <w:next w:val="841"/>
    <w:link w:val="68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5">
    <w:name w:val="Title Char"/>
    <w:basedOn w:val="843"/>
    <w:link w:val="684"/>
    <w:uiPriority w:val="10"/>
    <w:rPr>
      <w:sz w:val="48"/>
      <w:szCs w:val="48"/>
    </w:rPr>
  </w:style>
  <w:style w:type="paragraph" w:styleId="686">
    <w:name w:val="Subtitle"/>
    <w:basedOn w:val="841"/>
    <w:next w:val="841"/>
    <w:link w:val="687"/>
    <w:uiPriority w:val="11"/>
    <w:qFormat/>
    <w:pPr>
      <w:spacing w:before="200" w:after="200"/>
    </w:pPr>
    <w:rPr>
      <w:sz w:val="24"/>
      <w:szCs w:val="24"/>
    </w:rPr>
  </w:style>
  <w:style w:type="character" w:styleId="687">
    <w:name w:val="Subtitle Char"/>
    <w:basedOn w:val="843"/>
    <w:link w:val="686"/>
    <w:uiPriority w:val="11"/>
    <w:rPr>
      <w:sz w:val="24"/>
      <w:szCs w:val="24"/>
    </w:rPr>
  </w:style>
  <w:style w:type="paragraph" w:styleId="688">
    <w:name w:val="Quote"/>
    <w:basedOn w:val="841"/>
    <w:next w:val="841"/>
    <w:link w:val="689"/>
    <w:uiPriority w:val="29"/>
    <w:qFormat/>
    <w:pPr>
      <w:ind w:left="720" w:right="720"/>
    </w:pPr>
    <w:rPr>
      <w:i/>
    </w:rPr>
  </w:style>
  <w:style w:type="character" w:styleId="689">
    <w:name w:val="Quote Char"/>
    <w:link w:val="688"/>
    <w:uiPriority w:val="29"/>
    <w:rPr>
      <w:i/>
    </w:rPr>
  </w:style>
  <w:style w:type="paragraph" w:styleId="690">
    <w:name w:val="Intense Quote"/>
    <w:basedOn w:val="841"/>
    <w:next w:val="841"/>
    <w:link w:val="69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1">
    <w:name w:val="Intense Quote Char"/>
    <w:link w:val="690"/>
    <w:uiPriority w:val="30"/>
    <w:rPr>
      <w:i/>
    </w:rPr>
  </w:style>
  <w:style w:type="paragraph" w:styleId="692">
    <w:name w:val="Header"/>
    <w:basedOn w:val="841"/>
    <w:link w:val="69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3">
    <w:name w:val="Header Char"/>
    <w:basedOn w:val="843"/>
    <w:link w:val="692"/>
    <w:uiPriority w:val="99"/>
  </w:style>
  <w:style w:type="paragraph" w:styleId="694">
    <w:name w:val="Footer"/>
    <w:basedOn w:val="841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5">
    <w:name w:val="Footer Char"/>
    <w:basedOn w:val="843"/>
    <w:link w:val="694"/>
    <w:uiPriority w:val="99"/>
  </w:style>
  <w:style w:type="paragraph" w:styleId="696">
    <w:name w:val="Caption"/>
    <w:basedOn w:val="841"/>
    <w:next w:val="84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7">
    <w:name w:val="Caption Char"/>
    <w:basedOn w:val="696"/>
    <w:link w:val="694"/>
    <w:uiPriority w:val="99"/>
  </w:style>
  <w:style w:type="table" w:styleId="698">
    <w:name w:val="Table Grid Light"/>
    <w:basedOn w:val="84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9">
    <w:name w:val="Plain Table 1"/>
    <w:basedOn w:val="84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2"/>
    <w:basedOn w:val="84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2">
    <w:name w:val="Plain Table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Plain Table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4">
    <w:name w:val="Grid Table 1 Light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1 Light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Grid Table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2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3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4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6">
    <w:name w:val="Grid Table 4 - Accent 1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7">
    <w:name w:val="Grid Table 4 - Accent 2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8">
    <w:name w:val="Grid Table 4 - Accent 3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9">
    <w:name w:val="Grid Table 4 - Accent 4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0">
    <w:name w:val="Grid Table 4 - Accent 5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1">
    <w:name w:val="Grid Table 4 - Accent 6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2">
    <w:name w:val="Grid Table 5 Dark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3">
    <w:name w:val="Grid Table 5 Dark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5">
    <w:name w:val="Grid Table 5 Dark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6">
    <w:name w:val="Grid Table 5 Dark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8">
    <w:name w:val="Grid Table 5 Dark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9">
    <w:name w:val="Grid Table 6 Colorful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0">
    <w:name w:val="Grid Table 6 Colorful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1">
    <w:name w:val="Grid Table 6 Colorful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2">
    <w:name w:val="Grid Table 6 Colorful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3">
    <w:name w:val="Grid Table 6 Colorful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4">
    <w:name w:val="Grid Table 6 Colorful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6 Colorful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6">
    <w:name w:val="Grid Table 7 Colorful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7 Colorful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1 Light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List Table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1">
    <w:name w:val="List Table 2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2">
    <w:name w:val="List Table 2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3">
    <w:name w:val="List Table 2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4">
    <w:name w:val="List Table 2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5">
    <w:name w:val="List Table 2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6">
    <w:name w:val="List Table 2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7">
    <w:name w:val="List Table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3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4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5 Dark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5 Dark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8">
    <w:name w:val="List Table 6 Colorful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9">
    <w:name w:val="List Table 6 Colorful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0">
    <w:name w:val="List Table 6 Colorful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1">
    <w:name w:val="List Table 6 Colorful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2">
    <w:name w:val="List Table 6 Colorful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3">
    <w:name w:val="List Table 6 Colorful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4">
    <w:name w:val="List Table 6 Colorful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5">
    <w:name w:val="List Table 7 Colorful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6">
    <w:name w:val="List Table 7 Colorful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97">
    <w:name w:val="List Table 7 Colorful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8">
    <w:name w:val="List Table 7 Colorful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9">
    <w:name w:val="List Table 7 Colorful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00">
    <w:name w:val="List Table 7 Colorful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01">
    <w:name w:val="List Table 7 Colorful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02">
    <w:name w:val="Lined - Accent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3">
    <w:name w:val="Lined - Accent 1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4">
    <w:name w:val="Lined - Accent 2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5">
    <w:name w:val="Lined - Accent 3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6">
    <w:name w:val="Lined - Accent 4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7">
    <w:name w:val="Lined - Accent 5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8">
    <w:name w:val="Lined - Accent 6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9">
    <w:name w:val="Bordered &amp; Lined - Accent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0">
    <w:name w:val="Bordered &amp; Lined - Accent 1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1">
    <w:name w:val="Bordered &amp; Lined - Accent 2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2">
    <w:name w:val="Bordered &amp; Lined - Accent 3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3">
    <w:name w:val="Bordered &amp; Lined - Accent 4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4">
    <w:name w:val="Bordered &amp; Lined - Accent 5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5">
    <w:name w:val="Bordered &amp; Lined - Accent 6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6">
    <w:name w:val="Bordered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7">
    <w:name w:val="Bordered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8">
    <w:name w:val="Bordered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9">
    <w:name w:val="Bordered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0">
    <w:name w:val="Bordered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1">
    <w:name w:val="Bordered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2">
    <w:name w:val="Bordered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23">
    <w:name w:val="Hyperlink"/>
    <w:uiPriority w:val="99"/>
    <w:unhideWhenUsed/>
    <w:rPr>
      <w:color w:val="0000ff" w:themeColor="hyperlink"/>
      <w:u w:val="single"/>
    </w:rPr>
  </w:style>
  <w:style w:type="paragraph" w:styleId="824">
    <w:name w:val="footnote text"/>
    <w:basedOn w:val="841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>
    <w:name w:val="Footnote Text Char"/>
    <w:link w:val="824"/>
    <w:uiPriority w:val="99"/>
    <w:rPr>
      <w:sz w:val="18"/>
    </w:rPr>
  </w:style>
  <w:style w:type="character" w:styleId="826">
    <w:name w:val="footnote reference"/>
    <w:basedOn w:val="843"/>
    <w:uiPriority w:val="99"/>
    <w:unhideWhenUsed/>
    <w:rPr>
      <w:vertAlign w:val="superscript"/>
    </w:rPr>
  </w:style>
  <w:style w:type="paragraph" w:styleId="827">
    <w:name w:val="endnote text"/>
    <w:basedOn w:val="841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>
    <w:name w:val="Endnote Text Char"/>
    <w:link w:val="827"/>
    <w:uiPriority w:val="99"/>
    <w:rPr>
      <w:sz w:val="20"/>
    </w:rPr>
  </w:style>
  <w:style w:type="character" w:styleId="829">
    <w:name w:val="endnote reference"/>
    <w:basedOn w:val="843"/>
    <w:uiPriority w:val="99"/>
    <w:semiHidden/>
    <w:unhideWhenUsed/>
    <w:rPr>
      <w:vertAlign w:val="superscript"/>
    </w:rPr>
  </w:style>
  <w:style w:type="paragraph" w:styleId="830">
    <w:name w:val="toc 1"/>
    <w:basedOn w:val="841"/>
    <w:next w:val="841"/>
    <w:uiPriority w:val="39"/>
    <w:unhideWhenUsed/>
    <w:pPr>
      <w:ind w:left="0" w:right="0" w:firstLine="0"/>
      <w:spacing w:after="57"/>
    </w:pPr>
  </w:style>
  <w:style w:type="paragraph" w:styleId="831">
    <w:name w:val="toc 2"/>
    <w:basedOn w:val="841"/>
    <w:next w:val="841"/>
    <w:uiPriority w:val="39"/>
    <w:unhideWhenUsed/>
    <w:pPr>
      <w:ind w:left="283" w:right="0" w:firstLine="0"/>
      <w:spacing w:after="57"/>
    </w:pPr>
  </w:style>
  <w:style w:type="paragraph" w:styleId="832">
    <w:name w:val="toc 3"/>
    <w:basedOn w:val="841"/>
    <w:next w:val="841"/>
    <w:uiPriority w:val="39"/>
    <w:unhideWhenUsed/>
    <w:pPr>
      <w:ind w:left="567" w:right="0" w:firstLine="0"/>
      <w:spacing w:after="57"/>
    </w:pPr>
  </w:style>
  <w:style w:type="paragraph" w:styleId="833">
    <w:name w:val="toc 4"/>
    <w:basedOn w:val="841"/>
    <w:next w:val="841"/>
    <w:uiPriority w:val="39"/>
    <w:unhideWhenUsed/>
    <w:pPr>
      <w:ind w:left="850" w:right="0" w:firstLine="0"/>
      <w:spacing w:after="57"/>
    </w:pPr>
  </w:style>
  <w:style w:type="paragraph" w:styleId="834">
    <w:name w:val="toc 5"/>
    <w:basedOn w:val="841"/>
    <w:next w:val="841"/>
    <w:uiPriority w:val="39"/>
    <w:unhideWhenUsed/>
    <w:pPr>
      <w:ind w:left="1134" w:right="0" w:firstLine="0"/>
      <w:spacing w:after="57"/>
    </w:pPr>
  </w:style>
  <w:style w:type="paragraph" w:styleId="835">
    <w:name w:val="toc 6"/>
    <w:basedOn w:val="841"/>
    <w:next w:val="841"/>
    <w:uiPriority w:val="39"/>
    <w:unhideWhenUsed/>
    <w:pPr>
      <w:ind w:left="1417" w:right="0" w:firstLine="0"/>
      <w:spacing w:after="57"/>
    </w:pPr>
  </w:style>
  <w:style w:type="paragraph" w:styleId="836">
    <w:name w:val="toc 7"/>
    <w:basedOn w:val="841"/>
    <w:next w:val="841"/>
    <w:uiPriority w:val="39"/>
    <w:unhideWhenUsed/>
    <w:pPr>
      <w:ind w:left="1701" w:right="0" w:firstLine="0"/>
      <w:spacing w:after="57"/>
    </w:pPr>
  </w:style>
  <w:style w:type="paragraph" w:styleId="837">
    <w:name w:val="toc 8"/>
    <w:basedOn w:val="841"/>
    <w:next w:val="841"/>
    <w:uiPriority w:val="39"/>
    <w:unhideWhenUsed/>
    <w:pPr>
      <w:ind w:left="1984" w:right="0" w:firstLine="0"/>
      <w:spacing w:after="57"/>
    </w:pPr>
  </w:style>
  <w:style w:type="paragraph" w:styleId="838">
    <w:name w:val="toc 9"/>
    <w:basedOn w:val="841"/>
    <w:next w:val="841"/>
    <w:uiPriority w:val="39"/>
    <w:unhideWhenUsed/>
    <w:pPr>
      <w:ind w:left="2268" w:right="0" w:firstLine="0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841"/>
    <w:next w:val="841"/>
    <w:uiPriority w:val="99"/>
    <w:unhideWhenUsed/>
    <w:pPr>
      <w:spacing w:after="0" w:afterAutospacing="0"/>
    </w:pPr>
  </w:style>
  <w:style w:type="paragraph" w:styleId="841" w:default="1">
    <w:name w:val="Normal"/>
    <w:qFormat/>
    <w:rPr>
      <w:rFonts w:ascii="Times New Roman" w:hAnsi="Times New Roman" w:eastAsia="Times New Roman"/>
    </w:rPr>
  </w:style>
  <w:style w:type="paragraph" w:styleId="842">
    <w:name w:val="Heading 4"/>
    <w:basedOn w:val="841"/>
    <w:next w:val="841"/>
    <w:link w:val="847"/>
    <w:qFormat/>
    <w:pPr>
      <w:ind w:firstLine="709"/>
      <w:keepNext/>
      <w:outlineLvl w:val="3"/>
    </w:pPr>
    <w:rPr>
      <w:sz w:val="28"/>
    </w:rPr>
  </w:style>
  <w:style w:type="character" w:styleId="843" w:default="1">
    <w:name w:val="Default Paragraph Font"/>
    <w:uiPriority w:val="1"/>
    <w:semiHidden/>
    <w:unhideWhenUsed/>
  </w:style>
  <w:style w:type="table" w:styleId="84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5" w:default="1">
    <w:name w:val="No List"/>
    <w:uiPriority w:val="99"/>
    <w:semiHidden/>
    <w:unhideWhenUsed/>
  </w:style>
  <w:style w:type="paragraph" w:styleId="846" w:customStyle="1">
    <w:name w:val="Стиль1"/>
    <w:basedOn w:val="841"/>
    <w:qFormat/>
    <w:rPr>
      <w:sz w:val="24"/>
    </w:rPr>
  </w:style>
  <w:style w:type="character" w:styleId="847" w:customStyle="1">
    <w:name w:val="Заголовок 4 Знак"/>
    <w:link w:val="842"/>
    <w:rPr>
      <w:rFonts w:ascii="Times New Roman" w:hAnsi="Times New Roman" w:eastAsia="Times New Roman"/>
      <w:szCs w:val="20"/>
      <w:lang w:eastAsia="ru-RU"/>
    </w:rPr>
  </w:style>
  <w:style w:type="paragraph" w:styleId="848" w:customStyle="1">
    <w:name w:val="ConsPlusTitle"/>
    <w:pPr>
      <w:widowControl w:val="off"/>
    </w:pPr>
    <w:rPr>
      <w:rFonts w:ascii="Times New Roman" w:hAnsi="Times New Roman" w:eastAsia="Times New Roman"/>
      <w:b/>
      <w:bCs/>
      <w:sz w:val="28"/>
      <w:szCs w:val="28"/>
    </w:rPr>
  </w:style>
  <w:style w:type="paragraph" w:styleId="849">
    <w:name w:val="Balloon Text"/>
    <w:basedOn w:val="841"/>
    <w:link w:val="850"/>
    <w:uiPriority w:val="99"/>
    <w:semiHidden/>
    <w:unhideWhenUsed/>
    <w:rPr>
      <w:rFonts w:ascii="Tahoma" w:hAnsi="Tahoma" w:cs="Tahoma"/>
      <w:sz w:val="16"/>
      <w:szCs w:val="16"/>
    </w:rPr>
  </w:style>
  <w:style w:type="character" w:styleId="850" w:customStyle="1">
    <w:name w:val="Текст выноски Знак"/>
    <w:link w:val="849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paragraph" w:styleId="851">
    <w:name w:val="List Paragraph"/>
    <w:basedOn w:val="841"/>
    <w:uiPriority w:val="34"/>
    <w:qFormat/>
    <w:pPr>
      <w:contextualSpacing/>
      <w:ind w:left="720"/>
    </w:pPr>
  </w:style>
  <w:style w:type="paragraph" w:styleId="852" w:customStyle="1">
    <w:name w:val="Знак Знак1 Знак Знак Знак Знак Знак Знак Знак Знак Знак Знак Знак Знак"/>
    <w:basedOn w:val="841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853" w:customStyle="1">
    <w:name w:val="Знак Знак1 Знак Знак Знак Знак Знак Знак"/>
    <w:basedOn w:val="841"/>
    <w:pPr>
      <w:spacing w:after="160" w:line="240" w:lineRule="exact"/>
    </w:pPr>
    <w:rPr>
      <w:rFonts w:ascii="Verdana" w:hAnsi="Verdana" w:cs="Verdana"/>
      <w:lang w:val="en-US" w:eastAsia="en-US"/>
    </w:rPr>
  </w:style>
  <w:style w:type="table" w:styleId="854">
    <w:name w:val="Table Grid"/>
    <w:basedOn w:val="844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55">
    <w:name w:val="Plain Text"/>
    <w:basedOn w:val="841"/>
    <w:link w:val="856"/>
    <w:rPr>
      <w:rFonts w:ascii="Courier New" w:hAnsi="Courier New" w:cs="Courier New"/>
    </w:rPr>
  </w:style>
  <w:style w:type="character" w:styleId="856" w:customStyle="1">
    <w:name w:val="Текст Знак"/>
    <w:link w:val="855"/>
    <w:rPr>
      <w:rFonts w:ascii="Courier New" w:hAnsi="Courier New" w:eastAsia="Times New Roman" w:cs="Courier New"/>
    </w:rPr>
  </w:style>
  <w:style w:type="paragraph" w:styleId="857">
    <w:name w:val="Body Text"/>
    <w:basedOn w:val="841"/>
    <w:link w:val="858"/>
    <w:uiPriority w:val="99"/>
    <w:unhideWhenUsed/>
    <w:pPr>
      <w:spacing w:after="120" w:line="276" w:lineRule="auto"/>
    </w:pPr>
    <w:rPr>
      <w:rFonts w:ascii="Calibri" w:hAnsi="Calibri" w:eastAsia="Calibri"/>
      <w:sz w:val="22"/>
      <w:szCs w:val="22"/>
      <w:lang w:eastAsia="en-US"/>
    </w:rPr>
  </w:style>
  <w:style w:type="character" w:styleId="858" w:customStyle="1">
    <w:name w:val="Основной текст Знак"/>
    <w:basedOn w:val="843"/>
    <w:link w:val="857"/>
    <w:uiPriority w:val="99"/>
    <w:rPr>
      <w:sz w:val="22"/>
      <w:szCs w:val="22"/>
      <w:lang w:eastAsia="en-US"/>
    </w:rPr>
  </w:style>
  <w:style w:type="character" w:styleId="859" w:customStyle="1">
    <w:name w:val="fontstyle01"/>
    <w:basedOn w:val="843"/>
    <w:rPr>
      <w:rFonts w:hint="default" w:ascii="TimesNewRomanPSMT" w:hAnsi="TimesNewRomanPSMT"/>
      <w:b w:val="0"/>
      <w:bCs w:val="0"/>
      <w:i w:val="0"/>
      <w:iCs w:val="0"/>
      <w:color w:val="000000"/>
      <w:sz w:val="20"/>
      <w:szCs w:val="20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://pechengamr.gov-murman.ru/" TargetMode="External"/><Relationship Id="rId12" Type="http://schemas.openxmlformats.org/officeDocument/2006/relationships/hyperlink" Target="http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85513B-FAD8-4992-81A6-593AE89F3B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fomenko</dc:creator>
  <cp:revision>4</cp:revision>
  <dcterms:created xsi:type="dcterms:W3CDTF">2025-06-26T07:51:00Z</dcterms:created>
  <dcterms:modified xsi:type="dcterms:W3CDTF">2025-07-02T08:24:34Z</dcterms:modified>
</cp:coreProperties>
</file>