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02.07.2025</w:t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№ 1134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ind w:firstLine="708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О внесении изменений в административный регламент предоставления муниципальной услуги «</w:t>
      </w:r>
      <w:r>
        <w:rPr>
          <w:rFonts w:ascii="Times New Roman" w:hAnsi="Times New Roman"/>
          <w:b/>
          <w:sz w:val="20"/>
          <w:szCs w:val="20"/>
        </w:rPr>
        <w:t xml:space="preserve">Предоставление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в собственность, аренду, постоянное (бессрочное) пользование, безвозмездное пользование </w:t>
      </w:r>
      <w:r>
        <w:rPr>
          <w:rFonts w:ascii="Times New Roman" w:hAnsi="Times New Roman"/>
          <w:b/>
          <w:sz w:val="20"/>
          <w:szCs w:val="20"/>
        </w:rPr>
        <w:t xml:space="preserve">земельного участка</w:t>
      </w:r>
      <w:r>
        <w:rPr>
          <w:rFonts w:ascii="Times New Roman" w:hAnsi="Times New Roman"/>
          <w:b/>
          <w:sz w:val="20"/>
          <w:szCs w:val="20"/>
        </w:rPr>
        <w:t xml:space="preserve">, находящегося в</w:t>
      </w:r>
      <w:r>
        <w:rPr>
          <w:rFonts w:ascii="Times New Roman" w:hAnsi="Times New Roman"/>
          <w:b/>
          <w:sz w:val="20"/>
          <w:szCs w:val="20"/>
        </w:rPr>
        <w:t xml:space="preserve"> государственной или</w:t>
      </w:r>
      <w:r>
        <w:rPr>
          <w:rFonts w:ascii="Times New Roman" w:hAnsi="Times New Roman"/>
          <w:b/>
          <w:sz w:val="20"/>
          <w:szCs w:val="20"/>
        </w:rPr>
        <w:t xml:space="preserve"> муниципальной собственности,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без проведения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торгов</w:t>
      </w:r>
      <w:r>
        <w:rPr>
          <w:rFonts w:ascii="Times New Roman" w:hAnsi="Times New Roman"/>
          <w:b/>
          <w:sz w:val="20"/>
          <w:szCs w:val="20"/>
        </w:rPr>
        <w:t xml:space="preserve">,</w:t>
      </w:r>
      <w:r>
        <w:rPr>
          <w:rFonts w:ascii="Times New Roman" w:hAnsi="Times New Roman"/>
          <w:b/>
          <w:sz w:val="20"/>
          <w:szCs w:val="20"/>
        </w:rPr>
        <w:t xml:space="preserve"> на </w:t>
      </w:r>
      <w:r>
        <w:rPr>
          <w:rFonts w:ascii="Times New Roman" w:hAnsi="Times New Roman"/>
          <w:b/>
          <w:sz w:val="20"/>
          <w:szCs w:val="20"/>
        </w:rPr>
        <w:t xml:space="preserve">территории Печенгского муниципального округа», утвержденный постановлением администрации Печенгс</w:t>
      </w:r>
      <w:r>
        <w:rPr>
          <w:rFonts w:ascii="Times New Roman" w:hAnsi="Times New Roman"/>
          <w:b/>
          <w:sz w:val="20"/>
          <w:szCs w:val="20"/>
        </w:rPr>
        <w:t xml:space="preserve">кого муниципального округа </w:t>
        <w:br/>
        <w:t xml:space="preserve">от 06</w:t>
      </w:r>
      <w:r>
        <w:rPr>
          <w:rFonts w:ascii="Times New Roman" w:hAnsi="Times New Roman"/>
          <w:b/>
          <w:sz w:val="20"/>
          <w:szCs w:val="20"/>
        </w:rPr>
        <w:t xml:space="preserve">.06.202</w:t>
      </w:r>
      <w:r>
        <w:rPr>
          <w:rFonts w:ascii="Times New Roman" w:hAnsi="Times New Roman"/>
          <w:b/>
          <w:sz w:val="20"/>
          <w:szCs w:val="20"/>
        </w:rPr>
        <w:t xml:space="preserve">3 </w:t>
      </w:r>
      <w:r>
        <w:rPr>
          <w:rFonts w:ascii="Times New Roman" w:hAnsi="Times New Roman"/>
          <w:b/>
          <w:sz w:val="20"/>
          <w:szCs w:val="20"/>
        </w:rPr>
        <w:t xml:space="preserve">№ 833</w:t>
      </w:r>
      <w:r>
        <w:rPr>
          <w:rFonts w:ascii="Times New Roman" w:hAnsi="Times New Roman"/>
          <w:b/>
          <w:sz w:val="20"/>
          <w:szCs w:val="20"/>
        </w:rPr>
      </w:r>
      <w:r>
        <w:rPr>
          <w:rFonts w:ascii="Times New Roman" w:hAnsi="Times New Roman"/>
          <w:b/>
          <w:sz w:val="20"/>
          <w:szCs w:val="20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firstLine="709"/>
        <w:jc w:val="both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В целях приведения муниципального нормативного правового акта в соответствие с действующим законодательством,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-567"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left="-567" w:right="-2"/>
        <w:jc w:val="both"/>
        <w:rPr>
          <w:rFonts w:ascii="Times New Roman" w:hAnsi="Times New Roman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  <w:lang w:eastAsia="zh-CN"/>
        </w:rPr>
      </w:r>
      <w:r>
        <w:rPr>
          <w:rFonts w:ascii="Times New Roman" w:hAnsi="Times New Roman"/>
          <w:b/>
          <w:sz w:val="24"/>
          <w:szCs w:val="24"/>
          <w:lang w:eastAsia="zh-CN"/>
        </w:rPr>
      </w:r>
    </w:p>
    <w:p>
      <w:pPr>
        <w:ind w:left="-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left="0" w:right="0" w:firstLine="709"/>
        <w:jc w:val="both"/>
        <w:spacing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bCs/>
          <w:sz w:val="24"/>
          <w:szCs w:val="24"/>
        </w:rPr>
        <w:t xml:space="preserve">1. </w:t>
      </w:r>
      <w:r>
        <w:rPr>
          <w:rFonts w:ascii="Times New Roman" w:hAnsi="Times New Roman"/>
          <w:bCs/>
          <w:sz w:val="24"/>
          <w:szCs w:val="24"/>
        </w:rPr>
        <w:t xml:space="preserve">Внести в </w:t>
      </w:r>
      <w:r>
        <w:rPr>
          <w:rFonts w:ascii="Times New Roman" w:hAnsi="Times New Roman"/>
          <w:sz w:val="24"/>
          <w:szCs w:val="24"/>
        </w:rPr>
        <w:t xml:space="preserve">административный регламент предоставления муниципальной услуги «</w:t>
      </w:r>
      <w:r>
        <w:rPr>
          <w:rFonts w:ascii="Times New Roman" w:hAnsi="Times New Roman"/>
          <w:sz w:val="24"/>
          <w:szCs w:val="24"/>
        </w:rPr>
        <w:t xml:space="preserve">Предоставление </w:t>
      </w:r>
      <w:r>
        <w:rPr>
          <w:rFonts w:ascii="Times New Roman" w:hAnsi="Times New Roman"/>
          <w:sz w:val="24"/>
          <w:szCs w:val="24"/>
        </w:rPr>
        <w:t xml:space="preserve">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торгов, на территории Печенгского муниципального округа», </w:t>
      </w:r>
      <w:r>
        <w:rPr>
          <w:rFonts w:ascii="Times New Roman" w:hAnsi="Times New Roman"/>
          <w:sz w:val="24"/>
          <w:szCs w:val="24"/>
        </w:rPr>
        <w:t xml:space="preserve">утвержденный постановлением администрации Печенгского муниципального округа от</w:t>
      </w:r>
      <w:r>
        <w:rPr>
          <w:rFonts w:ascii="Times New Roman" w:hAnsi="Times New Roman"/>
          <w:sz w:val="24"/>
          <w:szCs w:val="24"/>
        </w:rPr>
        <w:t xml:space="preserve"> 06</w:t>
      </w:r>
      <w:r>
        <w:rPr>
          <w:rFonts w:ascii="Times New Roman" w:hAnsi="Times New Roman"/>
          <w:sz w:val="24"/>
          <w:szCs w:val="24"/>
        </w:rPr>
        <w:t xml:space="preserve">.06.2023 №</w:t>
      </w:r>
      <w:r>
        <w:rPr>
          <w:rFonts w:ascii="Times New Roman" w:hAnsi="Times New Roman"/>
          <w:sz w:val="24"/>
          <w:szCs w:val="24"/>
        </w:rPr>
        <w:t xml:space="preserve"> 833</w:t>
      </w:r>
      <w:r>
        <w:rPr>
          <w:rFonts w:ascii="Times New Roman" w:hAnsi="Times New Roman"/>
          <w:sz w:val="24"/>
          <w:szCs w:val="24"/>
        </w:rPr>
        <w:t xml:space="preserve"> (далее – Регламент), следующие изменения: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2"/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1.1. В преамбуле Регламента слова «от 27.07.2006 № 149-ФЗ «Об информации, информационных технологиях и о защите информации»» исключить.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2"/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1.2. В подразделе 2.5</w:t>
      </w:r>
      <w:r>
        <w:rPr>
          <w:rFonts w:ascii="Times New Roman" w:hAnsi="Times New Roman"/>
          <w:sz w:val="24"/>
          <w:szCs w:val="24"/>
        </w:rPr>
        <w:t xml:space="preserve"> раздела 2 Регламента абзац де</w:t>
      </w:r>
      <w:r>
        <w:rPr>
          <w:rFonts w:ascii="Times New Roman" w:hAnsi="Times New Roman"/>
          <w:sz w:val="24"/>
          <w:szCs w:val="24"/>
        </w:rPr>
        <w:t xml:space="preserve">сятый</w:t>
      </w:r>
      <w:r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- Федеральный закон от 29.12.2022 </w:t>
      </w:r>
      <w:r>
        <w:t xml:space="preserve">№</w:t>
      </w:r>
      <w:r>
        <w:t xml:space="preserve"> 572-ФЗ «Об осуществлении идентификации и (</w:t>
      </w:r>
      <w:r>
        <w:t xml:space="preserve">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Федерации».</w:t>
      </w:r>
      <w:r/>
    </w:p>
    <w:p>
      <w:pPr>
        <w:pStyle w:val="882"/>
        <w:numPr>
          <w:ilvl w:val="1"/>
          <w:numId w:val="5"/>
        </w:numPr>
        <w:ind w:left="0" w:right="0" w:firstLine="709"/>
        <w:jc w:val="both"/>
        <w:spacing w:line="240" w:lineRule="auto"/>
        <w:shd w:val="clear" w:color="auto" w:fill="ffffff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Подпункт</w:t>
      </w:r>
      <w:r>
        <w:rPr>
          <w:rFonts w:ascii="Times New Roman" w:hAnsi="Times New Roman"/>
          <w:sz w:val="24"/>
          <w:szCs w:val="24"/>
        </w:rPr>
        <w:t xml:space="preserve">ы 8 -</w:t>
      </w:r>
      <w:r>
        <w:rPr>
          <w:rFonts w:ascii="Times New Roman" w:hAnsi="Times New Roman"/>
          <w:sz w:val="24"/>
          <w:szCs w:val="24"/>
        </w:rPr>
        <w:t xml:space="preserve"> 10, 13 пункта</w:t>
      </w:r>
      <w:r>
        <w:rPr>
          <w:rFonts w:ascii="Times New Roman" w:hAnsi="Times New Roman"/>
          <w:sz w:val="24"/>
          <w:szCs w:val="24"/>
        </w:rPr>
        <w:t xml:space="preserve"> 2.8.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раздела 2 Регламента </w:t>
      </w:r>
      <w:r>
        <w:rPr>
          <w:rFonts w:ascii="Times New Roman" w:hAnsi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«</w:t>
      </w:r>
      <w:r>
        <w:t xml:space="preserve">8) </w:t>
      </w:r>
      <w:r>
        <w:t xml:space="preserve">указанный в заявлении о предоставлении земельного участка земельный участок расположен в границах территории, </w:t>
      </w:r>
      <w:r>
        <w:t xml:space="preserve">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 требуется заключения договора о комплексном развитии территории, за иск</w:t>
      </w:r>
      <w:r>
        <w:t xml:space="preserve">лючением случаев, если с заявлением о предоставлении земельного участка обратился собственник здания, сооружения, помещений в них, объекта незавершенного строительства, расположенных на таком земельном участке, или правообладатель такого земельного участка</w:t>
      </w:r>
      <w:r>
        <w:t xml:space="preserve">»;</w:t>
      </w:r>
      <w:r/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 </w:t>
      </w:r>
      <w:r>
        <w:t xml:space="preserve">«</w:t>
      </w:r>
      <w:r>
        <w:t xml:space="preserve">9) </w:t>
      </w:r>
      <w:r>
        <w:t xml:space="preserve">указанный в заявлении о предоставлении</w:t>
      </w:r>
      <w:r>
        <w:t xml:space="preserve">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не</w:t>
      </w:r>
      <w:r>
        <w:t xml:space="preserve"> требуется заключения договора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уч</w:t>
      </w:r>
      <w:r>
        <w:t xml:space="preserve">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объектов»;</w:t>
      </w:r>
      <w:r/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«10) указанный в заявлении о предоставлен</w:t>
      </w:r>
      <w:r>
        <w:t xml:space="preserve">ии земельного участка земельный участок расположен в границах территории, в отношении которой с другим лицом заключен договор о комплексном развитии территории либо принято решение о ее комплексном развитии в случае, если для реализации указанного решения </w:t>
      </w:r>
      <w:r>
        <w:t xml:space="preserve">не требуется заключения договора о комплексном развитии территории, или земельный участок образован из земельного участка, в отношении которого с другим лицом заключен договор о комплексном развитии территории, за исключением случаев, если такой земельный </w:t>
      </w:r>
      <w:r>
        <w:t xml:space="preserve">участок предназначен для размещения объектов федерального значения, объектов регионального значения или объектов местного значения и с заявлением о предоставлении такого земельного участка обратилось лицо, уполномоченное на строительство указанных объектов</w:t>
      </w:r>
      <w:r>
        <w:t xml:space="preserve">»;</w:t>
      </w:r>
      <w:r/>
    </w:p>
    <w:p>
      <w:pPr>
        <w:pStyle w:val="887"/>
        <w:ind w:left="0" w:right="0" w:firstLine="709"/>
        <w:jc w:val="both"/>
        <w:spacing w:before="0" w:beforeAutospacing="0" w:after="0" w:afterAutospacing="0" w:line="240" w:lineRule="auto"/>
        <w:suppressLineNumbers w:val="0"/>
      </w:pPr>
      <w:r>
        <w:t xml:space="preserve">«13) в отношении земельного участка, указанного в заявлении о его предоставлении, размещено в соответствии с </w:t>
      </w:r>
      <w:hyperlink r:id="rId11" w:tooltip="https://login.consultant.ru/link/?req=doc&amp;base=LAW&amp;n=501324&amp;dst=860&amp;field=134&amp;date=14.05.2025" w:history="1">
        <w:r>
          <w:rPr>
            <w:rStyle w:val="886"/>
            <w:rFonts w:eastAsia="Arial"/>
            <w:color w:val="auto"/>
            <w:u w:val="none"/>
          </w:rPr>
          <w:t xml:space="preserve">подпунктом 1 пункта 1 статьи 39.18</w:t>
        </w:r>
      </w:hyperlink>
      <w:r>
        <w:t xml:space="preserve"> настоящего Кодекса извещение о предоставлении земельного участка для индивидуального жилищного строительства, ведения личного подсобного хозяйства, ведения гражданами садоводства для собственных нужд»</w:t>
      </w:r>
      <w:r>
        <w:t xml:space="preserve">.</w:t>
      </w:r>
      <w:r/>
    </w:p>
    <w:p>
      <w:pPr>
        <w:pStyle w:val="882"/>
        <w:numPr>
          <w:ilvl w:val="0"/>
          <w:numId w:val="5"/>
        </w:numPr>
        <w:ind w:left="0" w:right="0" w:firstLine="709"/>
        <w:jc w:val="both"/>
        <w:spacing w:line="240" w:lineRule="auto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Настоящее постановление вступает в силу после его опубликования в газете «Печенга» и подлежит размещению на сайте Печенгского муниципального округа https://pechengamr.gov-murman.ru/.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-567" w:firstLine="709"/>
        <w:jc w:val="both"/>
        <w:rPr>
          <w:rFonts w:ascii="Times New Roman" w:hAnsi="Times New Roman"/>
          <w:sz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</w:rPr>
      </w:r>
      <w:r>
        <w:rPr>
          <w:rFonts w:ascii="Times New Roman" w:hAnsi="Times New Roman"/>
          <w:sz w:val="24"/>
        </w:rPr>
      </w:r>
    </w:p>
    <w:p>
      <w:pPr>
        <w:pStyle w:val="887"/>
        <w:ind w:left="-567" w:firstLine="567"/>
        <w:jc w:val="both"/>
        <w:spacing w:before="0" w:beforeAutospacing="0" w:after="0" w:afterAutospacing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ind w:left="-567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     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             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883"/>
        <w:ind w:left="-567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  <w:r>
        <w:rPr>
          <w:rFonts w:ascii="Times New Roman" w:hAnsi="Times New Roman" w:cs="Times New Roman"/>
          <w:sz w:val="20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-567"/>
        <w:jc w:val="both"/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Лаврущик С.С.,50579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822" w:left="1701" w:header="709" w:footer="709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space"/>
      <w:lvlText w:val="%1.%2."/>
      <w:lvlJc w:val="left"/>
      <w:pPr>
        <w:ind w:left="141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89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37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7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84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264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18" w:hanging="360"/>
      </w:pPr>
      <w:rPr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707"/>
    <w:link w:val="699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character" w:styleId="673">
    <w:name w:val="Title Char"/>
    <w:basedOn w:val="707"/>
    <w:link w:val="720"/>
    <w:uiPriority w:val="10"/>
    <w:rPr>
      <w:sz w:val="48"/>
      <w:szCs w:val="48"/>
    </w:rPr>
  </w:style>
  <w:style w:type="character" w:styleId="674">
    <w:name w:val="Subtitle Char"/>
    <w:basedOn w:val="707"/>
    <w:link w:val="722"/>
    <w:uiPriority w:val="11"/>
    <w:rPr>
      <w:sz w:val="24"/>
      <w:szCs w:val="24"/>
    </w:rPr>
  </w:style>
  <w:style w:type="character" w:styleId="675">
    <w:name w:val="Quote Char"/>
    <w:link w:val="724"/>
    <w:uiPriority w:val="29"/>
    <w:rPr>
      <w:i/>
    </w:rPr>
  </w:style>
  <w:style w:type="character" w:styleId="676">
    <w:name w:val="Intense Quote Char"/>
    <w:link w:val="726"/>
    <w:uiPriority w:val="30"/>
    <w:rPr>
      <w:i/>
    </w:rPr>
  </w:style>
  <w:style w:type="table" w:styleId="677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694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696">
    <w:name w:val="Endnote Text Char"/>
    <w:link w:val="858"/>
    <w:uiPriority w:val="99"/>
    <w:rPr>
      <w:sz w:val="20"/>
    </w:rPr>
  </w:style>
  <w:style w:type="paragraph" w:styleId="697" w:default="1">
    <w:name w:val="Normal"/>
    <w:qFormat/>
    <w:rPr>
      <w:sz w:val="22"/>
      <w:szCs w:val="22"/>
      <w:lang w:eastAsia="en-US"/>
    </w:rPr>
  </w:style>
  <w:style w:type="paragraph" w:styleId="698">
    <w:name w:val="Heading 1"/>
    <w:basedOn w:val="697"/>
    <w:next w:val="697"/>
    <w:link w:val="71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9">
    <w:name w:val="Heading 2"/>
    <w:basedOn w:val="697"/>
    <w:next w:val="697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0">
    <w:name w:val="Heading 3"/>
    <w:basedOn w:val="697"/>
    <w:next w:val="697"/>
    <w:link w:val="71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1">
    <w:name w:val="Heading 4"/>
    <w:basedOn w:val="697"/>
    <w:next w:val="697"/>
    <w:link w:val="71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697"/>
    <w:next w:val="697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3">
    <w:name w:val="Heading 6"/>
    <w:basedOn w:val="697"/>
    <w:next w:val="69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04">
    <w:name w:val="Heading 7"/>
    <w:basedOn w:val="697"/>
    <w:next w:val="697"/>
    <w:link w:val="71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705">
    <w:name w:val="Heading 8"/>
    <w:basedOn w:val="697"/>
    <w:next w:val="697"/>
    <w:link w:val="71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706">
    <w:name w:val="Heading 9"/>
    <w:basedOn w:val="697"/>
    <w:next w:val="697"/>
    <w:link w:val="71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Заголовок 1 Знак"/>
    <w:basedOn w:val="707"/>
    <w:link w:val="698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Заголовок 2 Знак"/>
    <w:basedOn w:val="707"/>
    <w:link w:val="699"/>
    <w:uiPriority w:val="9"/>
    <w:rPr>
      <w:rFonts w:ascii="Arial" w:hAnsi="Arial" w:eastAsia="Arial" w:cs="Arial"/>
      <w:sz w:val="34"/>
    </w:rPr>
  </w:style>
  <w:style w:type="character" w:styleId="712" w:customStyle="1">
    <w:name w:val="Заголовок 3 Знак"/>
    <w:basedOn w:val="707"/>
    <w:link w:val="700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Заголовок 4 Знак"/>
    <w:basedOn w:val="707"/>
    <w:link w:val="701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Заголовок 5 Знак"/>
    <w:basedOn w:val="707"/>
    <w:link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Заголовок 6 Знак"/>
    <w:basedOn w:val="707"/>
    <w:link w:val="703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Заголовок 7 Знак"/>
    <w:basedOn w:val="707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Заголовок 8 Знак"/>
    <w:basedOn w:val="707"/>
    <w:link w:val="705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Заголовок 9 Знак"/>
    <w:basedOn w:val="707"/>
    <w:link w:val="706"/>
    <w:uiPriority w:val="9"/>
    <w:rPr>
      <w:rFonts w:ascii="Arial" w:hAnsi="Arial" w:eastAsia="Arial" w:cs="Arial"/>
      <w:i/>
      <w:iCs/>
      <w:sz w:val="21"/>
      <w:szCs w:val="21"/>
    </w:rPr>
  </w:style>
  <w:style w:type="paragraph" w:styleId="719">
    <w:name w:val="No Spacing"/>
    <w:uiPriority w:val="1"/>
    <w:qFormat/>
  </w:style>
  <w:style w:type="paragraph" w:styleId="720">
    <w:name w:val="Title"/>
    <w:basedOn w:val="697"/>
    <w:next w:val="697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 w:customStyle="1">
    <w:name w:val="Название Знак"/>
    <w:basedOn w:val="707"/>
    <w:link w:val="720"/>
    <w:uiPriority w:val="10"/>
    <w:rPr>
      <w:sz w:val="48"/>
      <w:szCs w:val="48"/>
    </w:rPr>
  </w:style>
  <w:style w:type="paragraph" w:styleId="722">
    <w:name w:val="Subtitle"/>
    <w:basedOn w:val="697"/>
    <w:next w:val="697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 w:customStyle="1">
    <w:name w:val="Подзаголовок Знак"/>
    <w:basedOn w:val="707"/>
    <w:link w:val="722"/>
    <w:uiPriority w:val="11"/>
    <w:rPr>
      <w:sz w:val="24"/>
      <w:szCs w:val="24"/>
    </w:rPr>
  </w:style>
  <w:style w:type="paragraph" w:styleId="724">
    <w:name w:val="Quote"/>
    <w:basedOn w:val="697"/>
    <w:next w:val="697"/>
    <w:link w:val="725"/>
    <w:uiPriority w:val="29"/>
    <w:qFormat/>
    <w:pPr>
      <w:ind w:left="720" w:right="720"/>
    </w:pPr>
    <w:rPr>
      <w:i/>
    </w:r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7"/>
    <w:next w:val="697"/>
    <w:link w:val="72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7"/>
    <w:uiPriority w:val="99"/>
  </w:style>
  <w:style w:type="character" w:styleId="729" w:customStyle="1">
    <w:name w:val="Footer Char"/>
    <w:basedOn w:val="707"/>
    <w:uiPriority w:val="99"/>
  </w:style>
  <w:style w:type="paragraph" w:styleId="730">
    <w:name w:val="Caption"/>
    <w:basedOn w:val="697"/>
    <w:next w:val="69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1" w:customStyle="1">
    <w:name w:val="Caption Char"/>
    <w:uiPriority w:val="99"/>
  </w:style>
  <w:style w:type="table" w:styleId="732" w:customStyle="1">
    <w:name w:val="Table Grid Light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3" w:customStyle="1">
    <w:name w:val="Таблица простая 11"/>
    <w:basedOn w:val="70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Таблица простая 21"/>
    <w:basedOn w:val="70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5" w:customStyle="1">
    <w:name w:val="Таблица простая 3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6" w:customStyle="1">
    <w:name w:val="Таблица простая 4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Таблица простая 51"/>
    <w:basedOn w:val="70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8" w:customStyle="1">
    <w:name w:val="Таблица-сетка 1 светлая1"/>
    <w:basedOn w:val="70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-сетка 2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Таблица-сетка 31"/>
    <w:basedOn w:val="70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1"/>
    <w:basedOn w:val="70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5"/>
    <w:basedOn w:val="70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6"/>
    <w:basedOn w:val="70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Таблица-сетка 41"/>
    <w:basedOn w:val="70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0" w:customStyle="1">
    <w:name w:val="Grid Table 4 - Accent 1"/>
    <w:basedOn w:val="70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1" w:customStyle="1">
    <w:name w:val="Grid Table 4 - Accent 2"/>
    <w:basedOn w:val="70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62" w:customStyle="1">
    <w:name w:val="Grid Table 4 - Accent 3"/>
    <w:basedOn w:val="70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3" w:customStyle="1">
    <w:name w:val="Grid Table 4 - Accent 4"/>
    <w:basedOn w:val="70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4" w:customStyle="1">
    <w:name w:val="Grid Table 4 - Accent 5"/>
    <w:basedOn w:val="70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5" w:customStyle="1">
    <w:name w:val="Grid Table 4 - Accent 6"/>
    <w:basedOn w:val="70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6" w:customStyle="1">
    <w:name w:val="Таблица-сетка 5 темная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1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2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3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- Accent 4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5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 - Accent 6"/>
    <w:basedOn w:val="70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3" w:customStyle="1">
    <w:name w:val="Таблица-сетк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4" w:customStyle="1">
    <w:name w:val="Grid Table 6 Colorful - Accent 1"/>
    <w:basedOn w:val="70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5" w:customStyle="1">
    <w:name w:val="Grid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6" w:customStyle="1">
    <w:name w:val="Grid Table 6 Colorful - Accent 3"/>
    <w:basedOn w:val="70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7" w:customStyle="1">
    <w:name w:val="Grid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8" w:customStyle="1">
    <w:name w:val="Grid Table 6 Colorful - Accent 5"/>
    <w:basedOn w:val="70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6 Colorful - Accent 6"/>
    <w:basedOn w:val="70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0" w:customStyle="1">
    <w:name w:val="Таблица-сетка 7 цветная1"/>
    <w:basedOn w:val="70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1"/>
    <w:basedOn w:val="70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2"/>
    <w:basedOn w:val="70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3"/>
    <w:basedOn w:val="70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4"/>
    <w:basedOn w:val="70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5"/>
    <w:basedOn w:val="70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6"/>
    <w:basedOn w:val="70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Список-таблица 1 светлая1"/>
    <w:basedOn w:val="70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1"/>
    <w:basedOn w:val="70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2"/>
    <w:basedOn w:val="70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3"/>
    <w:basedOn w:val="70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4"/>
    <w:basedOn w:val="70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5"/>
    <w:basedOn w:val="70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6"/>
    <w:basedOn w:val="70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Список-таблица 21"/>
    <w:basedOn w:val="70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1" w:customStyle="1">
    <w:name w:val="Список-таблица 3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Список-таблица 41"/>
    <w:basedOn w:val="70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1"/>
    <w:basedOn w:val="70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2"/>
    <w:basedOn w:val="70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3"/>
    <w:basedOn w:val="70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4"/>
    <w:basedOn w:val="70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5"/>
    <w:basedOn w:val="70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6"/>
    <w:basedOn w:val="70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Список-таблица 5 темная1"/>
    <w:basedOn w:val="70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1"/>
    <w:basedOn w:val="70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5 Dark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2" w:customStyle="1">
    <w:name w:val="Список-таблица 6 цветная1"/>
    <w:basedOn w:val="70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3" w:customStyle="1">
    <w:name w:val="List Table 6 Colorful - Accent 1"/>
    <w:basedOn w:val="70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4" w:customStyle="1">
    <w:name w:val="List Table 6 Colorful - Accent 2"/>
    <w:basedOn w:val="70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5" w:customStyle="1">
    <w:name w:val="List Table 6 Colorful - Accent 3"/>
    <w:basedOn w:val="70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6" w:customStyle="1">
    <w:name w:val="List Table 6 Colorful - Accent 4"/>
    <w:basedOn w:val="70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7" w:customStyle="1">
    <w:name w:val="List Table 6 Colorful - Accent 5"/>
    <w:basedOn w:val="70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8" w:customStyle="1">
    <w:name w:val="List Table 6 Colorful - Accent 6"/>
    <w:basedOn w:val="70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9" w:customStyle="1">
    <w:name w:val="Список-таблица 7 цветная1"/>
    <w:basedOn w:val="70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1"/>
    <w:basedOn w:val="70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2"/>
    <w:basedOn w:val="70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3"/>
    <w:basedOn w:val="70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4"/>
    <w:basedOn w:val="70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5"/>
    <w:basedOn w:val="70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6"/>
    <w:basedOn w:val="70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ned - Accent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7" w:customStyle="1">
    <w:name w:val="Lined - Accent 1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8" w:customStyle="1">
    <w:name w:val="Lined - Accent 2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9" w:customStyle="1">
    <w:name w:val="Lined - Accent 3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0" w:customStyle="1">
    <w:name w:val="Lined - Accent 4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1" w:customStyle="1">
    <w:name w:val="Lined - Accent 5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2" w:customStyle="1">
    <w:name w:val="Lined - Accent 6"/>
    <w:basedOn w:val="70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3" w:customStyle="1">
    <w:name w:val="Bordered &amp; Lined - Accent"/>
    <w:basedOn w:val="70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4" w:customStyle="1">
    <w:name w:val="Bordered &amp; Lined - Accent 1"/>
    <w:basedOn w:val="70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5" w:customStyle="1">
    <w:name w:val="Bordered &amp; Lined - Accent 2"/>
    <w:basedOn w:val="70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6" w:customStyle="1">
    <w:name w:val="Bordered &amp; Lined - Accent 3"/>
    <w:basedOn w:val="70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7" w:customStyle="1">
    <w:name w:val="Bordered &amp; Lined - Accent 4"/>
    <w:basedOn w:val="70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8" w:customStyle="1">
    <w:name w:val="Bordered &amp; Lined - Accent 5"/>
    <w:basedOn w:val="70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9" w:customStyle="1">
    <w:name w:val="Bordered &amp; Lined - Accent 6"/>
    <w:basedOn w:val="70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0" w:customStyle="1">
    <w:name w:val="Bordered"/>
    <w:basedOn w:val="70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1" w:customStyle="1">
    <w:name w:val="Bordered - Accent 1"/>
    <w:basedOn w:val="70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52" w:customStyle="1">
    <w:name w:val="Bordered - Accent 2"/>
    <w:basedOn w:val="70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3" w:customStyle="1">
    <w:name w:val="Bordered - Accent 3"/>
    <w:basedOn w:val="70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4" w:customStyle="1">
    <w:name w:val="Bordered - Accent 4"/>
    <w:basedOn w:val="70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5" w:customStyle="1">
    <w:name w:val="Bordered - Accent 5"/>
    <w:basedOn w:val="70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6" w:customStyle="1">
    <w:name w:val="Bordered - Accent 6"/>
    <w:basedOn w:val="70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57" w:customStyle="1">
    <w:name w:val="Footnote Text Char"/>
    <w:uiPriority w:val="99"/>
    <w:rPr>
      <w:sz w:val="18"/>
    </w:rPr>
  </w:style>
  <w:style w:type="paragraph" w:styleId="858">
    <w:name w:val="endnote text"/>
    <w:basedOn w:val="697"/>
    <w:link w:val="859"/>
    <w:uiPriority w:val="99"/>
    <w:semiHidden/>
    <w:unhideWhenUsed/>
    <w:rPr>
      <w:sz w:val="20"/>
    </w:rPr>
  </w:style>
  <w:style w:type="character" w:styleId="859" w:customStyle="1">
    <w:name w:val="Текст концевой сноски Знак"/>
    <w:link w:val="858"/>
    <w:uiPriority w:val="99"/>
    <w:rPr>
      <w:sz w:val="20"/>
    </w:rPr>
  </w:style>
  <w:style w:type="character" w:styleId="860">
    <w:name w:val="endnote reference"/>
    <w:basedOn w:val="707"/>
    <w:uiPriority w:val="99"/>
    <w:semiHidden/>
    <w:unhideWhenUsed/>
    <w:rPr>
      <w:vertAlign w:val="superscript"/>
    </w:rPr>
  </w:style>
  <w:style w:type="paragraph" w:styleId="861">
    <w:name w:val="toc 1"/>
    <w:basedOn w:val="697"/>
    <w:next w:val="697"/>
    <w:uiPriority w:val="39"/>
    <w:unhideWhenUsed/>
    <w:pPr>
      <w:spacing w:after="57"/>
    </w:pPr>
  </w:style>
  <w:style w:type="paragraph" w:styleId="862">
    <w:name w:val="toc 2"/>
    <w:basedOn w:val="697"/>
    <w:next w:val="697"/>
    <w:uiPriority w:val="39"/>
    <w:unhideWhenUsed/>
    <w:pPr>
      <w:ind w:left="283"/>
      <w:spacing w:after="57"/>
    </w:pPr>
  </w:style>
  <w:style w:type="paragraph" w:styleId="863">
    <w:name w:val="toc 3"/>
    <w:basedOn w:val="697"/>
    <w:next w:val="697"/>
    <w:uiPriority w:val="39"/>
    <w:unhideWhenUsed/>
    <w:pPr>
      <w:ind w:left="567"/>
      <w:spacing w:after="57"/>
    </w:pPr>
  </w:style>
  <w:style w:type="paragraph" w:styleId="864">
    <w:name w:val="toc 4"/>
    <w:basedOn w:val="697"/>
    <w:next w:val="697"/>
    <w:uiPriority w:val="39"/>
    <w:unhideWhenUsed/>
    <w:pPr>
      <w:ind w:left="850"/>
      <w:spacing w:after="57"/>
    </w:pPr>
  </w:style>
  <w:style w:type="paragraph" w:styleId="865">
    <w:name w:val="toc 5"/>
    <w:basedOn w:val="697"/>
    <w:next w:val="697"/>
    <w:uiPriority w:val="39"/>
    <w:unhideWhenUsed/>
    <w:pPr>
      <w:ind w:left="1134"/>
      <w:spacing w:after="57"/>
    </w:pPr>
  </w:style>
  <w:style w:type="paragraph" w:styleId="866">
    <w:name w:val="toc 6"/>
    <w:basedOn w:val="697"/>
    <w:next w:val="697"/>
    <w:uiPriority w:val="39"/>
    <w:unhideWhenUsed/>
    <w:pPr>
      <w:ind w:left="1417"/>
      <w:spacing w:after="57"/>
    </w:pPr>
  </w:style>
  <w:style w:type="paragraph" w:styleId="867">
    <w:name w:val="toc 7"/>
    <w:basedOn w:val="697"/>
    <w:next w:val="697"/>
    <w:uiPriority w:val="39"/>
    <w:unhideWhenUsed/>
    <w:pPr>
      <w:ind w:left="1701"/>
      <w:spacing w:after="57"/>
    </w:pPr>
  </w:style>
  <w:style w:type="paragraph" w:styleId="868">
    <w:name w:val="toc 8"/>
    <w:basedOn w:val="697"/>
    <w:next w:val="697"/>
    <w:uiPriority w:val="39"/>
    <w:unhideWhenUsed/>
    <w:pPr>
      <w:ind w:left="1984"/>
      <w:spacing w:after="57"/>
    </w:pPr>
  </w:style>
  <w:style w:type="paragraph" w:styleId="869">
    <w:name w:val="toc 9"/>
    <w:basedOn w:val="697"/>
    <w:next w:val="697"/>
    <w:uiPriority w:val="39"/>
    <w:unhideWhenUsed/>
    <w:pPr>
      <w:ind w:left="2268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697"/>
    <w:next w:val="697"/>
    <w:uiPriority w:val="99"/>
    <w:unhideWhenUsed/>
  </w:style>
  <w:style w:type="table" w:styleId="872">
    <w:name w:val="Table Grid"/>
    <w:basedOn w:val="708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3" w:customStyle="1">
    <w:name w:val="ConsPlusNonformat"/>
    <w:uiPriority w:val="99"/>
    <w:rPr>
      <w:rFonts w:ascii="Courier New" w:hAnsi="Courier New" w:cs="Courier New"/>
      <w:lang w:eastAsia="en-US"/>
    </w:rPr>
  </w:style>
  <w:style w:type="table" w:styleId="874">
    <w:name w:val="Table Grid 1"/>
    <w:basedOn w:val="708"/>
    <w:uiPriority w:val="99"/>
    <w:rPr>
      <w:rFonts w:ascii="Times New Roman" w:hAnsi="Times New Roman" w:eastAsia="Times New Roman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</w:style>
  <w:style w:type="paragraph" w:styleId="875">
    <w:name w:val="Header"/>
    <w:basedOn w:val="697"/>
    <w:link w:val="87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6" w:customStyle="1">
    <w:name w:val="Верхний колонтитул Знак"/>
    <w:basedOn w:val="707"/>
    <w:link w:val="875"/>
    <w:uiPriority w:val="99"/>
  </w:style>
  <w:style w:type="paragraph" w:styleId="877">
    <w:name w:val="Footer"/>
    <w:basedOn w:val="697"/>
    <w:link w:val="87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8" w:customStyle="1">
    <w:name w:val="Нижний колонтитул Знак"/>
    <w:basedOn w:val="707"/>
    <w:link w:val="877"/>
    <w:uiPriority w:val="99"/>
  </w:style>
  <w:style w:type="paragraph" w:styleId="879">
    <w:name w:val="footnote text"/>
    <w:basedOn w:val="697"/>
    <w:link w:val="880"/>
    <w:unhideWhenUsed/>
    <w:qFormat/>
    <w:rPr>
      <w:rFonts w:ascii="Times New Roman" w:hAnsi="Times New Roman" w:eastAsia="Times New Roman"/>
      <w:sz w:val="20"/>
      <w:szCs w:val="20"/>
      <w:lang w:eastAsia="ru-RU"/>
    </w:rPr>
  </w:style>
  <w:style w:type="character" w:styleId="880" w:customStyle="1">
    <w:name w:val="Текст сноски Знак"/>
    <w:link w:val="879"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81">
    <w:name w:val="footnote reference"/>
    <w:uiPriority w:val="99"/>
    <w:unhideWhenUsed/>
    <w:qFormat/>
    <w:rPr>
      <w:vertAlign w:val="superscript"/>
    </w:rPr>
  </w:style>
  <w:style w:type="paragraph" w:styleId="882">
    <w:name w:val="List Paragraph"/>
    <w:basedOn w:val="697"/>
    <w:uiPriority w:val="34"/>
    <w:qFormat/>
    <w:pPr>
      <w:contextualSpacing/>
      <w:ind w:left="720"/>
    </w:pPr>
  </w:style>
  <w:style w:type="paragraph" w:styleId="883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884">
    <w:name w:val="Balloon Text"/>
    <w:basedOn w:val="697"/>
    <w:link w:val="885"/>
    <w:uiPriority w:val="99"/>
    <w:semiHidden/>
    <w:unhideWhenUsed/>
    <w:rPr>
      <w:rFonts w:ascii="Segoe UI" w:hAnsi="Segoe UI"/>
      <w:sz w:val="18"/>
      <w:szCs w:val="18"/>
    </w:rPr>
  </w:style>
  <w:style w:type="character" w:styleId="885" w:customStyle="1">
    <w:name w:val="Текст выноски Знак"/>
    <w:link w:val="884"/>
    <w:uiPriority w:val="99"/>
    <w:semiHidden/>
    <w:rPr>
      <w:rFonts w:ascii="Segoe UI" w:hAnsi="Segoe UI" w:cs="Segoe UI"/>
      <w:sz w:val="18"/>
      <w:szCs w:val="18"/>
    </w:rPr>
  </w:style>
  <w:style w:type="character" w:styleId="886">
    <w:name w:val="Hyperlink"/>
    <w:uiPriority w:val="99"/>
    <w:semiHidden/>
    <w:unhideWhenUsed/>
    <w:rPr>
      <w:color w:val="0000ff"/>
      <w:u w:val="single"/>
    </w:rPr>
  </w:style>
  <w:style w:type="paragraph" w:styleId="887">
    <w:name w:val="Normal (Web)"/>
    <w:basedOn w:val="697"/>
    <w:uiPriority w:val="99"/>
    <w:unhideWhenUsed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88" w:customStyle="1">
    <w:name w:val="ConsPlusTitle"/>
    <w:uiPriority w:val="99"/>
    <w:pPr>
      <w:widowControl w:val="off"/>
    </w:pPr>
    <w:rPr>
      <w:rFonts w:ascii="Arial" w:hAnsi="Arial" w:eastAsia="Times New Roman" w:cs="Arial"/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1324&amp;dst=860&amp;field=134&amp;date=14.05.2025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F71A9-2F9E-477A-9058-593428F11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&amp;</dc:creator>
  <cp:revision>6</cp:revision>
  <dcterms:created xsi:type="dcterms:W3CDTF">2025-06-18T13:05:00Z</dcterms:created>
  <dcterms:modified xsi:type="dcterms:W3CDTF">2025-07-03T09:52:33Z</dcterms:modified>
</cp:coreProperties>
</file>