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both"/>
        <w:widowControl w:val="off"/>
        <w:rPr>
          <w:b/>
          <w:color w:val="000000"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2738120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15.60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pStyle w:val="844"/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pStyle w:val="844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pStyle w:val="844"/>
        <w:jc w:val="center"/>
        <w:widowControl w:val="off"/>
      </w:pPr>
      <w:r/>
      <w:r/>
    </w:p>
    <w:p>
      <w:pPr>
        <w:pStyle w:val="844"/>
      </w:pPr>
      <w:r/>
      <w:r/>
    </w:p>
    <w:p>
      <w:pPr>
        <w:pStyle w:val="844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08.07.2025                                                                                                     </w:t>
      </w:r>
      <w:r>
        <w:rPr>
          <w:b/>
          <w:sz w:val="24"/>
        </w:rPr>
        <w:t xml:space="preserve">                  </w:t>
      </w:r>
      <w:r>
        <w:rPr>
          <w:b/>
          <w:sz w:val="24"/>
        </w:rPr>
        <w:t xml:space="preserve">№</w:t>
      </w:r>
      <w:r>
        <w:rPr>
          <w:b/>
          <w:sz w:val="24"/>
        </w:rPr>
        <w:t xml:space="preserve"> 1157</w:t>
      </w:r>
      <w:r>
        <w:rPr>
          <w:b/>
          <w:sz w:val="24"/>
        </w:rPr>
      </w:r>
      <w:r>
        <w:rPr>
          <w:b/>
          <w:sz w:val="24"/>
        </w:rPr>
      </w:r>
    </w:p>
    <w:p>
      <w:pPr>
        <w:pStyle w:val="844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pStyle w:val="84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Об утверждении условий приватизации нежил</w:t>
      </w:r>
      <w:r>
        <w:rPr>
          <w:b/>
        </w:rPr>
        <w:t xml:space="preserve">ого</w:t>
      </w:r>
      <w:r>
        <w:rPr>
          <w:b/>
        </w:rPr>
        <w:t xml:space="preserve"> </w:t>
      </w:r>
      <w:r>
        <w:rPr>
          <w:b/>
        </w:rPr>
        <w:t xml:space="preserve">помещения</w:t>
      </w:r>
      <w:r>
        <w:rPr>
          <w:b/>
        </w:rPr>
        <w:t xml:space="preserve">,</w:t>
      </w:r>
      <w:r>
        <w:rPr>
          <w:b/>
        </w:rPr>
        <w:t xml:space="preserve"> </w:t>
      </w:r>
      <w:r>
        <w:rPr>
          <w:b/>
        </w:rPr>
        <w:t xml:space="preserve">расположенн</w:t>
      </w:r>
      <w:r>
        <w:rPr>
          <w:b/>
        </w:rPr>
        <w:t xml:space="preserve">ого</w:t>
      </w:r>
      <w:r>
        <w:rPr>
          <w:b/>
        </w:rPr>
        <w:t xml:space="preserve"> по адресу: </w:t>
      </w:r>
      <w:r>
        <w:rPr>
          <w:b/>
        </w:rPr>
      </w:r>
      <w:r>
        <w:rPr>
          <w:b/>
        </w:rPr>
      </w:r>
    </w:p>
    <w:p>
      <w:pPr>
        <w:pStyle w:val="844"/>
        <w:jc w:val="center"/>
        <w:rPr>
          <w:b/>
        </w:rPr>
      </w:pPr>
      <w:r>
        <w:rPr>
          <w:b/>
        </w:rPr>
        <w:t xml:space="preserve">п.</w:t>
      </w:r>
      <w:r>
        <w:rPr>
          <w:b/>
        </w:rPr>
        <w:t xml:space="preserve">г.</w:t>
      </w:r>
      <w:r>
        <w:rPr>
          <w:b/>
        </w:rPr>
        <w:t xml:space="preserve">т. Никель, ул. Победы, д. 16</w:t>
      </w:r>
      <w:r>
        <w:rPr>
          <w:b/>
        </w:rPr>
      </w:r>
      <w:r>
        <w:rPr>
          <w:b/>
        </w:rPr>
      </w:r>
    </w:p>
    <w:p>
      <w:pPr>
        <w:pStyle w:val="844"/>
        <w:jc w:val="center"/>
      </w:pPr>
      <w:r/>
      <w:r/>
    </w:p>
    <w:p>
      <w:pPr>
        <w:pStyle w:val="844"/>
        <w:jc w:val="center"/>
      </w:pPr>
      <w:r/>
      <w:r/>
    </w:p>
    <w:p>
      <w:pPr>
        <w:pStyle w:val="844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</w:t>
      </w:r>
      <w:r>
        <w:rPr>
          <w:sz w:val="24"/>
          <w:szCs w:val="24"/>
        </w:rPr>
        <w:t xml:space="preserve"> Федеральным законом от 22.07.2008 № 159-ФЗ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rFonts w:eastAsia="Calibri"/>
          <w:bCs/>
          <w:sz w:val="24"/>
          <w:szCs w:val="24"/>
        </w:rPr>
        <w:t xml:space="preserve">Об особенностях отчуждения </w:t>
      </w:r>
      <w:r>
        <w:rPr>
          <w:rFonts w:eastAsia="Calibri"/>
          <w:bCs/>
          <w:sz w:val="24"/>
          <w:szCs w:val="24"/>
        </w:rPr>
        <w:t xml:space="preserve">движимого </w:t>
      </w:r>
      <w:r>
        <w:rPr>
          <w:rFonts w:eastAsia="Calibri"/>
          <w:bCs/>
          <w:sz w:val="24"/>
          <w:szCs w:val="24"/>
        </w:rPr>
        <w:t xml:space="preserve">и </w:t>
      </w:r>
      <w:r>
        <w:rPr>
          <w:rFonts w:eastAsia="Calibri"/>
          <w:bCs/>
          <w:sz w:val="24"/>
          <w:szCs w:val="24"/>
        </w:rPr>
        <w:t xml:space="preserve">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sz w:val="24"/>
          <w:szCs w:val="24"/>
        </w:rPr>
        <w:t xml:space="preserve">», </w:t>
      </w:r>
      <w:r>
        <w:rPr>
          <w:sz w:val="24"/>
          <w:szCs w:val="24"/>
        </w:rPr>
        <w:t xml:space="preserve">обращени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ООО «Омега» от 05.03.2025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8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-5"/>
        <w:jc w:val="both"/>
        <w:spacing w:line="274" w:lineRule="exact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pStyle w:val="844"/>
        <w:ind w:right="0" w:firstLine="708"/>
        <w:jc w:val="both"/>
        <w:spacing w:line="240" w:lineRule="auto"/>
        <w:shd w:val="clear" w:color="auto" w:fill="ffffff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Утвердить условия приватизации нежил</w:t>
      </w:r>
      <w:r>
        <w:rPr>
          <w:sz w:val="24"/>
          <w:szCs w:val="24"/>
        </w:rPr>
        <w:t xml:space="preserve">ого помещения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расположенн</w:t>
      </w:r>
      <w:r>
        <w:rPr>
          <w:sz w:val="24"/>
          <w:szCs w:val="24"/>
        </w:rPr>
        <w:t xml:space="preserve">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адресу:</w:t>
      </w:r>
      <w:r>
        <w:t xml:space="preserve"> </w:t>
      </w:r>
      <w:r>
        <w:rPr>
          <w:sz w:val="24"/>
          <w:szCs w:val="24"/>
        </w:rPr>
        <w:t xml:space="preserve">Мурманская область, Печенгский район,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п.</w:t>
      </w:r>
      <w:r>
        <w:rPr>
          <w:sz w:val="24"/>
          <w:szCs w:val="24"/>
        </w:rPr>
        <w:t xml:space="preserve">г.</w:t>
      </w:r>
      <w:r>
        <w:rPr>
          <w:sz w:val="24"/>
          <w:szCs w:val="24"/>
        </w:rPr>
        <w:t xml:space="preserve">т. Никель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ул. Победы</w:t>
      </w:r>
      <w:r>
        <w:rPr>
          <w:sz w:val="24"/>
          <w:szCs w:val="24"/>
        </w:rPr>
        <w:t xml:space="preserve">, д.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spacing w:line="240" w:lineRule="auto"/>
        <w:rPr>
          <w:sz w:val="24"/>
          <w:szCs w:val="24"/>
        </w:rPr>
        <w:suppressLineNumbers w:val="0"/>
      </w:pPr>
      <w:r>
        <w:rPr>
          <w:spacing w:val="-20"/>
          <w:sz w:val="24"/>
          <w:szCs w:val="24"/>
        </w:rPr>
        <w:t xml:space="preserve">1.</w:t>
      </w:r>
      <w:r>
        <w:rPr>
          <w:spacing w:val="-20"/>
          <w:sz w:val="24"/>
          <w:szCs w:val="24"/>
        </w:rPr>
        <w:t xml:space="preserve">1. 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арактеристик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подлежащего отчуждению объект</w:t>
      </w:r>
      <w:r>
        <w:rPr>
          <w:sz w:val="24"/>
          <w:szCs w:val="24"/>
        </w:rPr>
        <w:t xml:space="preserve">а муниципального нежилого фонда (далее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объект):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spacing w:line="240" w:lineRule="auto"/>
        <w:suppressLineNumbers w:val="0"/>
      </w:pPr>
      <w:r/>
      <w:r/>
    </w:p>
    <w:tbl>
      <w:tblPr>
        <w:tblW w:w="10186" w:type="dxa"/>
        <w:jc w:val="center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2188"/>
        <w:gridCol w:w="1312"/>
        <w:gridCol w:w="1459"/>
        <w:gridCol w:w="2480"/>
        <w:gridCol w:w="27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Адрес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(местоположение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объекта)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Площадь объекта,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кв. м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Номера объекта на поэтажном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плане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80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Характеристика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pStyle w:val="844"/>
              <w:ind w:right="-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объекта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4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Правообладатель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80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47" w:type="dxa"/>
            <w:vAlign w:val="center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Вид права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1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44"/>
              <w:ind w:right="-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Мурманская обл., Печенгский район,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44"/>
              <w:ind w:right="-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</w:t>
            </w:r>
            <w:r>
              <w:rPr>
                <w:sz w:val="24"/>
                <w:szCs w:val="24"/>
              </w:rPr>
              <w:t xml:space="preserve">г.</w:t>
            </w:r>
            <w:r>
              <w:rPr>
                <w:sz w:val="24"/>
                <w:szCs w:val="24"/>
              </w:rPr>
              <w:t xml:space="preserve">т. Никель</w:t>
            </w:r>
            <w:r>
              <w:rPr>
                <w:sz w:val="24"/>
                <w:szCs w:val="24"/>
              </w:rPr>
              <w:t xml:space="preserve">,</w:t>
              <w:br/>
            </w:r>
            <w:r>
              <w:rPr>
                <w:sz w:val="24"/>
                <w:szCs w:val="24"/>
              </w:rPr>
              <w:t xml:space="preserve">ул. Победы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44"/>
              <w:ind w:right="-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д. 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44"/>
              <w:ind w:right="-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10,1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44"/>
              <w:ind w:right="-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V</w:t>
            </w:r>
            <w:r>
              <w:rPr>
                <w:color w:val="000000"/>
                <w:sz w:val="24"/>
                <w:szCs w:val="24"/>
              </w:rPr>
              <w:t xml:space="preserve">/ </w:t>
            </w:r>
            <w:r>
              <w:rPr>
                <w:color w:val="000000"/>
                <w:sz w:val="24"/>
                <w:szCs w:val="24"/>
              </w:rPr>
              <w:t xml:space="preserve">4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80" w:type="dxa"/>
            <w:vAlign w:val="center"/>
            <w:vMerge w:val="restart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</w:t>
            </w:r>
            <w:r>
              <w:rPr>
                <w:sz w:val="24"/>
                <w:szCs w:val="24"/>
              </w:rPr>
              <w:t xml:space="preserve">помещен</w:t>
            </w:r>
            <w:r>
              <w:rPr>
                <w:sz w:val="24"/>
                <w:szCs w:val="24"/>
              </w:rPr>
              <w:t xml:space="preserve">ие, </w:t>
            </w:r>
            <w:r>
              <w:rPr>
                <w:sz w:val="24"/>
                <w:szCs w:val="24"/>
              </w:rPr>
              <w:t xml:space="preserve">расположен</w:t>
            </w: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е 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многоквартирном доме, этаж подвал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47" w:type="dxa"/>
            <w:vAlign w:val="top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образование </w:t>
            </w:r>
            <w:r>
              <w:rPr>
                <w:sz w:val="24"/>
                <w:szCs w:val="24"/>
              </w:rPr>
              <w:t xml:space="preserve">Печенгский муниципальный округ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4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8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2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9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80" w:type="dxa"/>
            <w:vAlign w:val="center"/>
            <w:vMerge w:val="continue"/>
            <w:textDirection w:val="lrTb"/>
            <w:noWrap w:val="false"/>
          </w:tcPr>
          <w:p>
            <w:pPr>
              <w:pStyle w:val="84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47" w:type="dxa"/>
            <w:vAlign w:val="top"/>
            <w:textDirection w:val="lrTb"/>
            <w:noWrap w:val="false"/>
          </w:tcPr>
          <w:p>
            <w:pPr>
              <w:pStyle w:val="844"/>
              <w:ind w:right="-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844"/>
        <w:ind w:right="-5"/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пособ приватизации объекта – возмездное отчуждение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собственность арендатор</w:t>
      </w:r>
      <w:r>
        <w:rPr>
          <w:sz w:val="24"/>
          <w:szCs w:val="24"/>
        </w:rPr>
        <w:t xml:space="preserve">а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ОО «Омега»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являющ</w:t>
      </w:r>
      <w:r>
        <w:rPr>
          <w:sz w:val="24"/>
          <w:szCs w:val="24"/>
        </w:rPr>
        <w:t xml:space="preserve">егося</w:t>
      </w:r>
      <w:r>
        <w:rPr>
          <w:sz w:val="24"/>
          <w:szCs w:val="24"/>
        </w:rPr>
        <w:t xml:space="preserve"> субъект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малого ил</w:t>
      </w:r>
      <w:r>
        <w:rPr>
          <w:sz w:val="24"/>
          <w:szCs w:val="24"/>
        </w:rPr>
        <w:t xml:space="preserve">и среднего предпринимательства и реализующего преимущественное право на приобретение арендуемого имущества.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rPr>
          <w:color w:val="000000"/>
          <w:sz w:val="24"/>
          <w:szCs w:val="24"/>
        </w:rPr>
        <w:suppressLineNumbers w:val="0"/>
      </w:pPr>
      <w:r>
        <w:rPr>
          <w:color w:val="000000"/>
          <w:sz w:val="24"/>
          <w:szCs w:val="24"/>
        </w:rPr>
        <w:t xml:space="preserve">1.3. Цена продажи объект</w:t>
      </w:r>
      <w:r>
        <w:rPr>
          <w:color w:val="000000"/>
          <w:sz w:val="24"/>
          <w:szCs w:val="24"/>
        </w:rPr>
        <w:t xml:space="preserve">а</w:t>
      </w:r>
      <w:r>
        <w:rPr>
          <w:color w:val="000000"/>
          <w:sz w:val="24"/>
          <w:szCs w:val="24"/>
        </w:rPr>
        <w:t xml:space="preserve"> – 163</w:t>
      </w:r>
      <w:r>
        <w:rPr>
          <w:color w:val="000000"/>
          <w:sz w:val="24"/>
          <w:szCs w:val="24"/>
        </w:rPr>
        <w:t xml:space="preserve"> 000</w:t>
      </w:r>
      <w:r>
        <w:rPr>
          <w:color w:val="000000"/>
          <w:sz w:val="24"/>
          <w:szCs w:val="24"/>
        </w:rPr>
        <w:t xml:space="preserve"> (</w:t>
      </w:r>
      <w:r>
        <w:rPr>
          <w:color w:val="000000"/>
          <w:sz w:val="24"/>
          <w:szCs w:val="24"/>
        </w:rPr>
        <w:t xml:space="preserve">сто шестьдесят три </w:t>
      </w:r>
      <w:r>
        <w:rPr>
          <w:color w:val="000000"/>
          <w:sz w:val="24"/>
          <w:szCs w:val="24"/>
        </w:rPr>
        <w:t xml:space="preserve">тысяч</w:t>
      </w:r>
      <w:r>
        <w:rPr>
          <w:color w:val="000000"/>
          <w:sz w:val="24"/>
          <w:szCs w:val="24"/>
        </w:rPr>
        <w:t xml:space="preserve">и</w:t>
      </w:r>
      <w:r>
        <w:rPr>
          <w:color w:val="000000"/>
          <w:sz w:val="24"/>
          <w:szCs w:val="24"/>
        </w:rPr>
        <w:t xml:space="preserve">) рублей</w:t>
      </w:r>
      <w:r>
        <w:rPr>
          <w:color w:val="000000"/>
          <w:sz w:val="24"/>
          <w:szCs w:val="24"/>
        </w:rPr>
        <w:t xml:space="preserve"> 00 копеек </w:t>
      </w:r>
      <w:r>
        <w:rPr>
          <w:color w:val="000000"/>
          <w:sz w:val="24"/>
          <w:szCs w:val="24"/>
        </w:rPr>
        <w:t xml:space="preserve">без учета</w:t>
      </w:r>
      <w:r>
        <w:rPr>
          <w:color w:val="000000"/>
          <w:sz w:val="24"/>
          <w:szCs w:val="24"/>
        </w:rPr>
        <w:t xml:space="preserve"> НДС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4. Срок оплаты: перв</w:t>
      </w:r>
      <w:r>
        <w:rPr>
          <w:sz w:val="24"/>
          <w:szCs w:val="24"/>
        </w:rPr>
        <w:t xml:space="preserve">ый взнос в течение 10 рабочих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дней после подписания договора </w:t>
      </w:r>
      <w:r>
        <w:rPr>
          <w:sz w:val="24"/>
          <w:szCs w:val="24"/>
        </w:rPr>
        <w:t xml:space="preserve">купли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продажи, остальная часть ежемесячно в рассрочку в течение </w:t>
      </w:r>
      <w:r>
        <w:rPr>
          <w:sz w:val="24"/>
          <w:szCs w:val="24"/>
        </w:rPr>
        <w:t xml:space="preserve">59</w:t>
      </w:r>
      <w:r>
        <w:rPr>
          <w:sz w:val="24"/>
          <w:szCs w:val="24"/>
        </w:rPr>
        <w:t xml:space="preserve"> месяцев </w:t>
      </w:r>
      <w:r>
        <w:rPr>
          <w:sz w:val="24"/>
          <w:szCs w:val="24"/>
        </w:rPr>
        <w:t xml:space="preserve">согласно графику платежей. Средства от сделки поступают в бюджет </w:t>
      </w:r>
      <w:r>
        <w:rPr>
          <w:sz w:val="24"/>
          <w:szCs w:val="24"/>
        </w:rPr>
        <w:t xml:space="preserve">муниципального образования</w:t>
      </w:r>
      <w:r>
        <w:rPr>
          <w:sz w:val="24"/>
          <w:szCs w:val="24"/>
        </w:rPr>
        <w:t xml:space="preserve"> Печенгский муниципальный округ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омитет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по управлению имуществом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Лаврущик С.С.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обеспечить подготовку и заключение договора купли-продажи;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/>
        <w:jc w:val="both"/>
        <w:tabs>
          <w:tab w:val="left" w:pos="70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- направить арендатор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</w:t>
      </w:r>
      <w:r>
        <w:rPr>
          <w:sz w:val="24"/>
          <w:szCs w:val="24"/>
        </w:rPr>
        <w:t xml:space="preserve">пию настоящего постанов</w:t>
      </w:r>
      <w:r>
        <w:rPr>
          <w:sz w:val="24"/>
          <w:szCs w:val="24"/>
        </w:rPr>
        <w:t xml:space="preserve">ления и проект договора купли-</w:t>
      </w:r>
      <w:r>
        <w:rPr>
          <w:sz w:val="24"/>
          <w:szCs w:val="24"/>
        </w:rPr>
        <w:t xml:space="preserve">продажи.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 </w:t>
      </w:r>
      <w:r>
        <w:rPr>
          <w:sz w:val="24"/>
          <w:szCs w:val="24"/>
        </w:rPr>
        <w:t xml:space="preserve">его </w:t>
      </w:r>
      <w:r>
        <w:rPr>
          <w:sz w:val="24"/>
          <w:szCs w:val="24"/>
        </w:rPr>
        <w:t xml:space="preserve">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опубликовать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газете «Печенга»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0" w:firstLine="709"/>
        <w:jc w:val="both"/>
        <w:keepNext/>
        <w:rPr>
          <w:sz w:val="24"/>
          <w:szCs w:val="24"/>
        </w:rPr>
        <w:outlineLvl w:val="0"/>
        <w:suppressLineNumbers w:val="0"/>
      </w:pP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 Контроль за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</w:t>
      </w:r>
      <w:r>
        <w:rPr>
          <w:sz w:val="24"/>
          <w:szCs w:val="24"/>
        </w:rPr>
        <w:t xml:space="preserve">муниципального округа                          </w:t>
      </w:r>
      <w:r>
        <w:rPr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-1184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ind w:right="-1184"/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44"/>
        <w:ind w:right="-1184"/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Веверица В.А.,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2-52-63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sz w:val="20"/>
          <w:szCs w:val="20"/>
          <w:highlight w:val="none"/>
        </w:rPr>
      </w:r>
    </w:p>
    <w:sectPr>
      <w:footnotePr/>
      <w:endnotePr/>
      <w:type w:val="nextPage"/>
      <w:pgSz w:w="11906" w:h="16838" w:orient="portrait"/>
      <w:pgMar w:top="113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4"/>
    <w:next w:val="844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4"/>
    <w:next w:val="844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4"/>
    <w:next w:val="844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link w:val="670"/>
    <w:uiPriority w:val="9"/>
    <w:rPr>
      <w:rFonts w:ascii="Arial" w:hAnsi="Arial" w:eastAsia="Arial" w:cs="Arial"/>
      <w:sz w:val="30"/>
      <w:szCs w:val="30"/>
    </w:rPr>
  </w:style>
  <w:style w:type="paragraph" w:styleId="672">
    <w:name w:val="Heading 4"/>
    <w:basedOn w:val="844"/>
    <w:next w:val="844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3">
    <w:name w:val="Heading 4 Char"/>
    <w:link w:val="672"/>
    <w:uiPriority w:val="9"/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844"/>
    <w:next w:val="844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5">
    <w:name w:val="Heading 5 Char"/>
    <w:link w:val="674"/>
    <w:uiPriority w:val="9"/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844"/>
    <w:next w:val="844"/>
    <w:link w:val="67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7">
    <w:name w:val="Heading 6 Char"/>
    <w:link w:val="676"/>
    <w:uiPriority w:val="9"/>
    <w:rPr>
      <w:rFonts w:ascii="Arial" w:hAnsi="Arial" w:eastAsia="Arial" w:cs="Arial"/>
      <w:b/>
      <w:bCs/>
      <w:sz w:val="22"/>
      <w:szCs w:val="22"/>
    </w:rPr>
  </w:style>
  <w:style w:type="paragraph" w:styleId="678">
    <w:name w:val="Heading 7"/>
    <w:basedOn w:val="844"/>
    <w:next w:val="844"/>
    <w:link w:val="67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9">
    <w:name w:val="Heading 7 Char"/>
    <w:link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0">
    <w:name w:val="Heading 8"/>
    <w:basedOn w:val="844"/>
    <w:next w:val="844"/>
    <w:link w:val="68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1">
    <w:name w:val="Heading 8 Char"/>
    <w:link w:val="680"/>
    <w:uiPriority w:val="9"/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844"/>
    <w:next w:val="844"/>
    <w:link w:val="68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>
    <w:name w:val="Heading 9 Char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List Paragraph"/>
    <w:basedOn w:val="844"/>
    <w:uiPriority w:val="34"/>
    <w:qFormat/>
    <w:pPr>
      <w:contextualSpacing/>
      <w:ind w:left="720"/>
    </w:pPr>
  </w:style>
  <w:style w:type="paragraph" w:styleId="685">
    <w:name w:val="No Spacing"/>
    <w:uiPriority w:val="1"/>
    <w:qFormat/>
    <w:pPr>
      <w:spacing w:before="0" w:after="0" w:line="240" w:lineRule="auto"/>
    </w:pPr>
  </w:style>
  <w:style w:type="paragraph" w:styleId="686">
    <w:name w:val="Title"/>
    <w:basedOn w:val="844"/>
    <w:next w:val="844"/>
    <w:link w:val="68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7">
    <w:name w:val="Title Char"/>
    <w:link w:val="686"/>
    <w:uiPriority w:val="10"/>
    <w:rPr>
      <w:sz w:val="48"/>
      <w:szCs w:val="48"/>
    </w:rPr>
  </w:style>
  <w:style w:type="paragraph" w:styleId="688">
    <w:name w:val="Subtitle"/>
    <w:basedOn w:val="844"/>
    <w:next w:val="844"/>
    <w:link w:val="689"/>
    <w:uiPriority w:val="11"/>
    <w:qFormat/>
    <w:pPr>
      <w:spacing w:before="200" w:after="200"/>
    </w:pPr>
    <w:rPr>
      <w:sz w:val="24"/>
      <w:szCs w:val="24"/>
    </w:rPr>
  </w:style>
  <w:style w:type="character" w:styleId="689">
    <w:name w:val="Subtitle Char"/>
    <w:link w:val="688"/>
    <w:uiPriority w:val="11"/>
    <w:rPr>
      <w:sz w:val="24"/>
      <w:szCs w:val="24"/>
    </w:rPr>
  </w:style>
  <w:style w:type="paragraph" w:styleId="690">
    <w:name w:val="Quote"/>
    <w:basedOn w:val="844"/>
    <w:next w:val="844"/>
    <w:link w:val="691"/>
    <w:uiPriority w:val="29"/>
    <w:qFormat/>
    <w:pPr>
      <w:ind w:left="720" w:right="720"/>
    </w:pPr>
    <w:rPr>
      <w:i/>
    </w:rPr>
  </w:style>
  <w:style w:type="character" w:styleId="691">
    <w:name w:val="Quote Char"/>
    <w:link w:val="690"/>
    <w:uiPriority w:val="29"/>
    <w:rPr>
      <w:i/>
    </w:rPr>
  </w:style>
  <w:style w:type="paragraph" w:styleId="692">
    <w:name w:val="Intense Quote"/>
    <w:basedOn w:val="844"/>
    <w:next w:val="844"/>
    <w:link w:val="69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3">
    <w:name w:val="Intense Quote Char"/>
    <w:link w:val="692"/>
    <w:uiPriority w:val="30"/>
    <w:rPr>
      <w:i/>
    </w:rPr>
  </w:style>
  <w:style w:type="paragraph" w:styleId="694">
    <w:name w:val="Header"/>
    <w:basedOn w:val="844"/>
    <w:link w:val="69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Header Char"/>
    <w:link w:val="694"/>
    <w:uiPriority w:val="99"/>
  </w:style>
  <w:style w:type="paragraph" w:styleId="696">
    <w:name w:val="Footer"/>
    <w:basedOn w:val="844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Footer Char"/>
    <w:link w:val="696"/>
    <w:uiPriority w:val="99"/>
  </w:style>
  <w:style w:type="paragraph" w:styleId="698">
    <w:name w:val="Caption"/>
    <w:basedOn w:val="844"/>
    <w:next w:val="8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9">
    <w:name w:val="Caption Char"/>
    <w:basedOn w:val="698"/>
    <w:link w:val="696"/>
    <w:uiPriority w:val="99"/>
  </w:style>
  <w:style w:type="table" w:styleId="70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6">
    <w:name w:val="Hyperlink"/>
    <w:uiPriority w:val="99"/>
    <w:unhideWhenUsed/>
    <w:rPr>
      <w:color w:val="0000ff" w:themeColor="hyperlink"/>
      <w:u w:val="single"/>
    </w:rPr>
  </w:style>
  <w:style w:type="paragraph" w:styleId="827">
    <w:name w:val="footnote text"/>
    <w:basedOn w:val="844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>
    <w:name w:val="Footnote Text Char"/>
    <w:link w:val="827"/>
    <w:uiPriority w:val="99"/>
    <w:rPr>
      <w:sz w:val="18"/>
    </w:rPr>
  </w:style>
  <w:style w:type="character" w:styleId="829">
    <w:name w:val="footnote reference"/>
    <w:uiPriority w:val="99"/>
    <w:unhideWhenUsed/>
    <w:rPr>
      <w:vertAlign w:val="superscript"/>
    </w:rPr>
  </w:style>
  <w:style w:type="paragraph" w:styleId="830">
    <w:name w:val="endnote text"/>
    <w:basedOn w:val="844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>
    <w:name w:val="Endnote Text Char"/>
    <w:link w:val="830"/>
    <w:uiPriority w:val="99"/>
    <w:rPr>
      <w:sz w:val="20"/>
    </w:rPr>
  </w:style>
  <w:style w:type="character" w:styleId="832">
    <w:name w:val="endnote reference"/>
    <w:uiPriority w:val="99"/>
    <w:semiHidden/>
    <w:unhideWhenUsed/>
    <w:rPr>
      <w:vertAlign w:val="superscript"/>
    </w:rPr>
  </w:style>
  <w:style w:type="paragraph" w:styleId="833">
    <w:name w:val="toc 1"/>
    <w:basedOn w:val="844"/>
    <w:next w:val="844"/>
    <w:uiPriority w:val="39"/>
    <w:unhideWhenUsed/>
    <w:pPr>
      <w:ind w:left="0" w:right="0" w:firstLine="0"/>
      <w:spacing w:after="57"/>
    </w:pPr>
  </w:style>
  <w:style w:type="paragraph" w:styleId="834">
    <w:name w:val="toc 2"/>
    <w:basedOn w:val="844"/>
    <w:next w:val="844"/>
    <w:uiPriority w:val="39"/>
    <w:unhideWhenUsed/>
    <w:pPr>
      <w:ind w:left="283" w:right="0" w:firstLine="0"/>
      <w:spacing w:after="57"/>
    </w:pPr>
  </w:style>
  <w:style w:type="paragraph" w:styleId="835">
    <w:name w:val="toc 3"/>
    <w:basedOn w:val="844"/>
    <w:next w:val="844"/>
    <w:uiPriority w:val="39"/>
    <w:unhideWhenUsed/>
    <w:pPr>
      <w:ind w:left="567" w:right="0" w:firstLine="0"/>
      <w:spacing w:after="57"/>
    </w:pPr>
  </w:style>
  <w:style w:type="paragraph" w:styleId="836">
    <w:name w:val="toc 4"/>
    <w:basedOn w:val="844"/>
    <w:next w:val="844"/>
    <w:uiPriority w:val="39"/>
    <w:unhideWhenUsed/>
    <w:pPr>
      <w:ind w:left="850" w:right="0" w:firstLine="0"/>
      <w:spacing w:after="57"/>
    </w:pPr>
  </w:style>
  <w:style w:type="paragraph" w:styleId="837">
    <w:name w:val="toc 5"/>
    <w:basedOn w:val="844"/>
    <w:next w:val="844"/>
    <w:uiPriority w:val="39"/>
    <w:unhideWhenUsed/>
    <w:pPr>
      <w:ind w:left="1134" w:right="0" w:firstLine="0"/>
      <w:spacing w:after="57"/>
    </w:pPr>
  </w:style>
  <w:style w:type="paragraph" w:styleId="838">
    <w:name w:val="toc 6"/>
    <w:basedOn w:val="844"/>
    <w:next w:val="844"/>
    <w:uiPriority w:val="39"/>
    <w:unhideWhenUsed/>
    <w:pPr>
      <w:ind w:left="1417" w:right="0" w:firstLine="0"/>
      <w:spacing w:after="57"/>
    </w:pPr>
  </w:style>
  <w:style w:type="paragraph" w:styleId="839">
    <w:name w:val="toc 7"/>
    <w:basedOn w:val="844"/>
    <w:next w:val="844"/>
    <w:uiPriority w:val="39"/>
    <w:unhideWhenUsed/>
    <w:pPr>
      <w:ind w:left="1701" w:right="0" w:firstLine="0"/>
      <w:spacing w:after="57"/>
    </w:pPr>
  </w:style>
  <w:style w:type="paragraph" w:styleId="840">
    <w:name w:val="toc 8"/>
    <w:basedOn w:val="844"/>
    <w:next w:val="844"/>
    <w:uiPriority w:val="39"/>
    <w:unhideWhenUsed/>
    <w:pPr>
      <w:ind w:left="1984" w:right="0" w:firstLine="0"/>
      <w:spacing w:after="57"/>
    </w:pPr>
  </w:style>
  <w:style w:type="paragraph" w:styleId="841">
    <w:name w:val="toc 9"/>
    <w:basedOn w:val="844"/>
    <w:next w:val="844"/>
    <w:uiPriority w:val="39"/>
    <w:unhideWhenUsed/>
    <w:pPr>
      <w:ind w:left="2268" w:right="0" w:firstLine="0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844"/>
    <w:next w:val="844"/>
    <w:uiPriority w:val="99"/>
    <w:unhideWhenUsed/>
    <w:pPr>
      <w:spacing w:after="0" w:afterAutospacing="0"/>
    </w:pPr>
  </w:style>
  <w:style w:type="paragraph" w:styleId="844" w:default="1">
    <w:name w:val="Normal"/>
    <w:next w:val="844"/>
    <w:link w:val="844"/>
    <w:qFormat/>
    <w:rPr>
      <w:rFonts w:ascii="Times New Roman" w:hAnsi="Times New Roman" w:eastAsia="Times New Roman"/>
      <w:lang w:val="ru-RU" w:eastAsia="ru-RU" w:bidi="ar-SA"/>
    </w:rPr>
  </w:style>
  <w:style w:type="paragraph" w:styleId="845">
    <w:name w:val="Заголовок 4"/>
    <w:basedOn w:val="844"/>
    <w:next w:val="844"/>
    <w:link w:val="850"/>
    <w:qFormat/>
    <w:pPr>
      <w:ind w:firstLine="709"/>
      <w:keepNext/>
      <w:outlineLvl w:val="3"/>
    </w:pPr>
    <w:rPr>
      <w:sz w:val="28"/>
    </w:rPr>
  </w:style>
  <w:style w:type="character" w:styleId="846">
    <w:name w:val="Основной шрифт абзаца, Знак Знак1 Знак Знак Знак Знак Знак Знак Знак Знак Знак Знак Знак Знак Знак Знак"/>
    <w:next w:val="846"/>
    <w:link w:val="844"/>
    <w:uiPriority w:val="1"/>
    <w:semiHidden/>
    <w:unhideWhenUsed/>
  </w:style>
  <w:style w:type="table" w:styleId="847">
    <w:name w:val="Обычная таблица"/>
    <w:next w:val="847"/>
    <w:link w:val="844"/>
    <w:uiPriority w:val="99"/>
    <w:semiHidden/>
    <w:unhideWhenUsed/>
    <w:qFormat/>
    <w:tblPr/>
  </w:style>
  <w:style w:type="numbering" w:styleId="848">
    <w:name w:val="Нет списка"/>
    <w:next w:val="848"/>
    <w:link w:val="844"/>
    <w:uiPriority w:val="99"/>
    <w:semiHidden/>
    <w:unhideWhenUsed/>
  </w:style>
  <w:style w:type="paragraph" w:styleId="849">
    <w:name w:val="Стиль1"/>
    <w:basedOn w:val="844"/>
    <w:next w:val="849"/>
    <w:link w:val="844"/>
    <w:qFormat/>
    <w:rPr>
      <w:rFonts w:ascii="Times New Roman" w:hAnsi="Times New Roman"/>
      <w:sz w:val="24"/>
    </w:rPr>
  </w:style>
  <w:style w:type="character" w:styleId="850">
    <w:name w:val="Заголовок 4 Знак"/>
    <w:next w:val="850"/>
    <w:link w:val="845"/>
    <w:rPr>
      <w:rFonts w:ascii="Times New Roman" w:hAnsi="Times New Roman" w:eastAsia="Times New Roman"/>
      <w:szCs w:val="20"/>
      <w:lang w:eastAsia="ru-RU"/>
    </w:rPr>
  </w:style>
  <w:style w:type="paragraph" w:styleId="851">
    <w:name w:val="ConsPlusTitle"/>
    <w:next w:val="851"/>
    <w:link w:val="844"/>
    <w:pPr>
      <w:widowControl w:val="off"/>
    </w:pPr>
    <w:rPr>
      <w:rFonts w:ascii="Times New Roman" w:hAnsi="Times New Roman" w:eastAsia="Times New Roman"/>
      <w:b/>
      <w:bCs/>
      <w:sz w:val="28"/>
      <w:szCs w:val="28"/>
      <w:lang w:val="ru-RU" w:eastAsia="ru-RU" w:bidi="ar-SA"/>
    </w:rPr>
  </w:style>
  <w:style w:type="paragraph" w:styleId="852">
    <w:name w:val="Текст выноски"/>
    <w:basedOn w:val="844"/>
    <w:next w:val="852"/>
    <w:link w:val="853"/>
    <w:uiPriority w:val="99"/>
    <w:semiHidden/>
    <w:unhideWhenUsed/>
    <w:rPr>
      <w:rFonts w:ascii="Tahoma" w:hAnsi="Tahoma" w:cs="Tahoma"/>
      <w:sz w:val="16"/>
      <w:szCs w:val="16"/>
    </w:rPr>
  </w:style>
  <w:style w:type="character" w:styleId="853">
    <w:name w:val="Текст выноски Знак"/>
    <w:next w:val="853"/>
    <w:link w:val="85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4">
    <w:name w:val="Абзац списка"/>
    <w:basedOn w:val="844"/>
    <w:next w:val="854"/>
    <w:link w:val="844"/>
    <w:uiPriority w:val="34"/>
    <w:qFormat/>
    <w:pPr>
      <w:contextualSpacing/>
      <w:ind w:left="720"/>
    </w:pPr>
  </w:style>
  <w:style w:type="paragraph" w:styleId="855">
    <w:name w:val=" Знак Знак1 Знак Знак Знак Знак Знак Знак Знак Знак Знак Знак Знак Знак"/>
    <w:basedOn w:val="844"/>
    <w:next w:val="855"/>
    <w:link w:val="84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6">
    <w:name w:val=" Знак Знак1 Знак Знак Знак Знак Знак Знак"/>
    <w:basedOn w:val="844"/>
    <w:next w:val="856"/>
    <w:link w:val="846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7">
    <w:name w:val="Сетка таблицы"/>
    <w:basedOn w:val="847"/>
    <w:next w:val="857"/>
    <w:link w:val="844"/>
    <w:uiPriority w:val="59"/>
    <w:tblPr/>
  </w:style>
  <w:style w:type="paragraph" w:styleId="858">
    <w:name w:val="Текст"/>
    <w:basedOn w:val="844"/>
    <w:next w:val="858"/>
    <w:link w:val="859"/>
    <w:rPr>
      <w:rFonts w:ascii="Courier New" w:hAnsi="Courier New" w:cs="Courier New"/>
    </w:rPr>
  </w:style>
  <w:style w:type="character" w:styleId="859">
    <w:name w:val="Текст Знак"/>
    <w:next w:val="859"/>
    <w:link w:val="858"/>
    <w:rPr>
      <w:rFonts w:ascii="Courier New" w:hAnsi="Courier New" w:eastAsia="Times New Roman" w:cs="Courier New"/>
    </w:rPr>
  </w:style>
  <w:style w:type="character" w:styleId="860" w:default="1">
    <w:name w:val="Default Paragraph Font"/>
    <w:uiPriority w:val="1"/>
    <w:semiHidden/>
    <w:unhideWhenUsed/>
  </w:style>
  <w:style w:type="numbering" w:styleId="861" w:default="1">
    <w:name w:val="No List"/>
    <w:uiPriority w:val="99"/>
    <w:semiHidden/>
    <w:unhideWhenUsed/>
  </w:style>
  <w:style w:type="table" w:styleId="862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fomenko</dc:creator>
  <cp:revision>43</cp:revision>
  <dcterms:created xsi:type="dcterms:W3CDTF">2018-07-19T13:10:00Z</dcterms:created>
  <dcterms:modified xsi:type="dcterms:W3CDTF">2025-07-09T08:20:28Z</dcterms:modified>
  <cp:version>917504</cp:version>
</cp:coreProperties>
</file>