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2691765</wp:posOffset>
                </wp:positionH>
                <wp:positionV relativeFrom="paragraph">
                  <wp:posOffset>102235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1.95pt;mso-position-horizontal:absolute;mso-position-vertical-relative:text;margin-top:8.0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</w:t>
      </w:r>
      <w:r>
        <w:rPr>
          <w:b/>
          <w:sz w:val="24"/>
          <w:szCs w:val="24"/>
        </w:rPr>
        <w:t xml:space="preserve">т</w:t>
      </w:r>
      <w:r>
        <w:rPr>
          <w:b/>
          <w:sz w:val="24"/>
          <w:szCs w:val="24"/>
        </w:rPr>
        <w:t xml:space="preserve"> 11.07.2025 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</w:rPr>
        <w:t xml:space="preserve"> №</w:t>
      </w:r>
      <w:r>
        <w:rPr>
          <w:b/>
          <w:sz w:val="24"/>
          <w:szCs w:val="24"/>
        </w:rPr>
        <w:t xml:space="preserve"> 89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rFonts w:eastAsiaTheme="minorHAnsi"/>
          <w:b/>
          <w:bCs/>
          <w:color w:val="auto"/>
          <w:lang w:eastAsia="en-US"/>
        </w:rPr>
      </w:pPr>
      <w:r>
        <w:rPr>
          <w:rFonts w:eastAsiaTheme="minorHAnsi"/>
          <w:b/>
          <w:bCs/>
          <w:color w:val="auto"/>
          <w:lang w:eastAsia="en-US"/>
        </w:rPr>
        <w:t xml:space="preserve">О</w:t>
      </w:r>
      <w:r>
        <w:rPr>
          <w:rFonts w:eastAsiaTheme="minorHAnsi"/>
          <w:b/>
          <w:bCs/>
          <w:color w:val="auto"/>
          <w:lang w:eastAsia="en-US"/>
        </w:rPr>
        <w:t xml:space="preserve"> внесении изменений в план мероприятий («дорожную карту») по содействию развитию конкуренции</w:t>
      </w:r>
      <w:r>
        <w:rPr>
          <w:rFonts w:eastAsiaTheme="minorHAnsi"/>
          <w:b/>
          <w:bCs/>
          <w:color w:val="auto"/>
          <w:lang w:eastAsia="en-US"/>
        </w:rPr>
        <w:t xml:space="preserve"> в </w:t>
      </w:r>
      <w:r>
        <w:rPr>
          <w:rFonts w:eastAsiaTheme="minorHAnsi"/>
          <w:b/>
          <w:bCs/>
          <w:color w:val="auto"/>
          <w:lang w:eastAsia="en-US"/>
        </w:rPr>
        <w:t xml:space="preserve">Печенгском муниципальном округе</w:t>
      </w:r>
      <w:r>
        <w:rPr>
          <w:rFonts w:eastAsiaTheme="minorHAnsi"/>
          <w:b/>
          <w:bCs/>
          <w:color w:val="auto"/>
          <w:lang w:eastAsia="en-US"/>
        </w:rPr>
        <w:t xml:space="preserve"> до 2025 года</w:t>
      </w:r>
      <w:r>
        <w:rPr>
          <w:rFonts w:eastAsiaTheme="minorHAnsi"/>
          <w:b/>
          <w:bCs/>
          <w:color w:val="auto"/>
          <w:lang w:eastAsia="en-US"/>
        </w:rPr>
        <w:t xml:space="preserve">, утвержденный </w:t>
      </w:r>
      <w:r>
        <w:rPr>
          <w:b/>
          <w:color w:val="auto"/>
        </w:rPr>
        <w:t xml:space="preserve">распоряжением администрации Печенгского муниципального округа от 24.06.2022 № 51</w:t>
      </w:r>
      <w:r>
        <w:rPr>
          <w:rFonts w:eastAsiaTheme="minorHAnsi"/>
          <w:b/>
          <w:bCs/>
          <w:color w:val="auto"/>
          <w:lang w:eastAsia="en-US"/>
        </w:rPr>
      </w:r>
      <w:r>
        <w:rPr>
          <w:rFonts w:eastAsiaTheme="minorHAnsi"/>
          <w:b/>
          <w:bCs/>
          <w:color w:val="auto"/>
          <w:lang w:eastAsia="en-US"/>
        </w:rPr>
      </w:r>
    </w:p>
    <w:p>
      <w:pPr>
        <w:widowControl w:val="off"/>
        <w:rPr>
          <w:color w:val="auto"/>
          <w:sz w:val="24"/>
          <w:szCs w:val="24"/>
        </w:rPr>
        <w:outlineLvl w:val="3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color w:val="auto"/>
          <w:sz w:val="24"/>
          <w:szCs w:val="24"/>
        </w:rPr>
        <w:outlineLvl w:val="3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  <w:outlineLvl w:val="3"/>
      </w:pPr>
      <w:r>
        <w:rPr>
          <w:color w:val="auto"/>
          <w:sz w:val="24"/>
          <w:szCs w:val="24"/>
        </w:rPr>
        <w:t xml:space="preserve">В </w:t>
      </w:r>
      <w:r>
        <w:rPr>
          <w:color w:val="auto"/>
          <w:sz w:val="24"/>
          <w:szCs w:val="24"/>
        </w:rPr>
        <w:t xml:space="preserve">целях реализации</w:t>
      </w:r>
      <w:r>
        <w:rPr>
          <w:color w:val="auto"/>
          <w:sz w:val="24"/>
          <w:szCs w:val="24"/>
        </w:rPr>
        <w:t xml:space="preserve"> распоряжения Правительства Российской Федерации </w:t>
        <w:br/>
        <w:t xml:space="preserve">от 17.04.2019 № 768-р «Об утверждении стандарта развития конкуренции в субъектах Российской Федерации»,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  <w:outlineLvl w:val="3"/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Внести изменения в план мероприятий («дорожную карту») по содействию развитию конкуренции в Печенгском муниципальном округе до 2025 года, утвержденный распоряжением администрации Печенгского муниципального округа от 24.06.2022 № </w:t>
      </w:r>
      <w:r>
        <w:rPr>
          <w:color w:val="auto"/>
          <w:sz w:val="24"/>
          <w:szCs w:val="24"/>
        </w:rPr>
        <w:t xml:space="preserve">51 </w:t>
        <w:br/>
        <w:t xml:space="preserve">(в редакции распоряжения администрации Печенгского муниципального округа </w:t>
        <w:br/>
        <w:t xml:space="preserve">от 28.03.2024 № 30)</w:t>
      </w:r>
      <w:r>
        <w:rPr>
          <w:color w:val="auto"/>
          <w:sz w:val="24"/>
          <w:szCs w:val="24"/>
        </w:rPr>
        <w:t xml:space="preserve">, изложив его в новой редакции согласно приложению.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распоряжение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распоряжение </w:t>
      </w:r>
      <w:r>
        <w:rPr>
          <w:sz w:val="24"/>
          <w:szCs w:val="24"/>
        </w:rPr>
        <w:t xml:space="preserve">разместить на сайте Печенгского муниципального округа https://pechengamr.gov-mur</w:t>
      </w:r>
      <w:bookmarkStart w:id="0" w:name="_GoBack"/>
      <w:r/>
      <w:bookmarkEnd w:id="0"/>
      <w:r>
        <w:rPr>
          <w:sz w:val="24"/>
          <w:szCs w:val="24"/>
        </w:rPr>
        <w:t xml:space="preserve">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jc w:val="center"/>
      </w:pPr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rPr>
          <w:highlight w:val="none"/>
        </w:rPr>
      </w:pPr>
      <w:r>
        <w:t xml:space="preserve">Швец Г.В., 6-20-41</w:t>
      </w:r>
      <w:r>
        <w:rPr>
          <w:highlight w:val="none"/>
        </w:rPr>
      </w:r>
    </w:p>
    <w:p>
      <w:pPr>
        <w:ind w:left="0"/>
        <w:rPr>
          <w:sz w:val="24"/>
          <w:szCs w:val="24"/>
        </w:rPr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646" w:right="737" w:bottom="720" w:left="1701" w:header="720" w:footer="720" w:gutter="0"/>
          <w:pgNumType w:start="1"/>
          <w:cols w:num="1" w:sep="0" w:space="720" w:equalWidth="1"/>
          <w:docGrid w:linePitch="360"/>
          <w:titlePg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</w:rPr>
      </w:pPr>
      <w:r>
        <w:rPr>
          <w:sz w:val="24"/>
          <w:szCs w:val="24"/>
        </w:rPr>
        <w:t xml:space="preserve">к распоряжению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  <w:u w:val="none"/>
        </w:rPr>
      </w:pPr>
      <w:r>
        <w:rPr>
          <w:sz w:val="24"/>
          <w:szCs w:val="24"/>
        </w:rPr>
        <w:t xml:space="preserve">от 11.07.2025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none"/>
        </w:rPr>
        <w:t xml:space="preserve">89</w:t>
      </w:r>
      <w:r>
        <w:rPr>
          <w:sz w:val="24"/>
          <w:szCs w:val="24"/>
          <w:u w:val="none"/>
        </w:rPr>
      </w:r>
      <w:r>
        <w:rPr>
          <w:sz w:val="24"/>
          <w:szCs w:val="24"/>
          <w:u w:val="none"/>
        </w:rPr>
      </w:r>
    </w:p>
    <w:p>
      <w:pPr>
        <w:ind w:left="113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left="11340"/>
        <w:tabs>
          <w:tab w:val="center" w:pos="637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«Приложение </w:t>
      </w:r>
      <w:r>
        <w:rPr>
          <w:sz w:val="24"/>
          <w:szCs w:val="24"/>
        </w:rPr>
        <w:t xml:space="preserve">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</w:rPr>
      </w:pPr>
      <w:r>
        <w:rPr>
          <w:sz w:val="24"/>
          <w:szCs w:val="24"/>
        </w:rPr>
        <w:t xml:space="preserve">к распоряжению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340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06</w:t>
      </w:r>
      <w:r>
        <w:rPr>
          <w:sz w:val="24"/>
          <w:szCs w:val="24"/>
        </w:rPr>
        <w:t xml:space="preserve">.2022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firstLine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ПЛАН МЕРОПРИЯТИЙ («ДОРОЖНАЯ КАРТА») ПО СОДЕЙСТВИЮ РАЗВИТИЮ КОНКУРЕНЦИИ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firstLine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В ПЕЧЕНГСКОМ МУНИЦИПАЛЬНОМ ОКРУГЕ ДО 2025 ГОДА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I. Перечень рынков товаров, работ, услуг Печенгского муниципального округа для целей содействия развитию конкуренции с плановыми значениями ключевых показателей развития конкуренции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до 2025 года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183" w:hanging="191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530" w:type="dxa"/>
        <w:tblInd w:w="-113" w:type="dxa"/>
        <w:tblLayout w:type="fixed"/>
        <w:tblCellMar>
          <w:top w:w="7" w:type="dxa"/>
          <w:right w:w="62" w:type="dxa"/>
        </w:tblCellMar>
        <w:tblLook w:val="04A0" w:firstRow="1" w:lastRow="0" w:firstColumn="1" w:lastColumn="0" w:noHBand="0" w:noVBand="1"/>
      </w:tblPr>
      <w:tblGrid>
        <w:gridCol w:w="647"/>
        <w:gridCol w:w="1559"/>
        <w:gridCol w:w="2268"/>
        <w:gridCol w:w="1276"/>
        <w:gridCol w:w="1134"/>
        <w:gridCol w:w="1134"/>
        <w:gridCol w:w="1275"/>
        <w:gridCol w:w="1276"/>
        <w:gridCol w:w="1276"/>
        <w:gridCol w:w="1417"/>
        <w:gridCol w:w="2268"/>
      </w:tblGrid>
      <w:tr>
        <w:tblPrEx/>
        <w:trPr>
          <w:trHeight w:val="931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Наименование рынка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Ключевой показатель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Целевое значение ключевого пока</w:t>
            </w:r>
            <w:r>
              <w:rPr>
                <w:b/>
                <w:sz w:val="22"/>
                <w:szCs w:val="22"/>
                <w:lang w:val="en-US"/>
              </w:rPr>
              <w:t xml:space="preserve">зателя</w:t>
            </w:r>
            <w:r>
              <w:rPr>
                <w:rStyle w:val="997"/>
                <w:b/>
                <w:sz w:val="22"/>
                <w:szCs w:val="22"/>
                <w:lang w:val="en-US"/>
              </w:rPr>
              <w:footnoteReference w:id="2"/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Фактическое значение на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 xml:space="preserve">31.12.2020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Фактическое значение на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 xml:space="preserve">31.12.202</w:t>
            </w:r>
            <w:r>
              <w:rPr>
                <w:b/>
              </w:rPr>
              <w:t xml:space="preserve">2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Фактическое значение на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31.12.202</w:t>
            </w:r>
            <w:r>
              <w:rPr>
                <w:b/>
              </w:rPr>
              <w:t xml:space="preserve">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Плановое значение на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 xml:space="preserve">31.12.2024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Фактическое значение на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31.12.202</w:t>
            </w:r>
            <w:r>
              <w:rPr>
                <w:b/>
              </w:rPr>
              <w:t xml:space="preserve">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Плановое значение на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 xml:space="preserve">31.12.2025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Ответственный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</w:t>
            </w:r>
            <w:r>
              <w:rPr>
                <w:b/>
                <w:sz w:val="22"/>
                <w:szCs w:val="22"/>
              </w:rPr>
              <w:t xml:space="preserve">сполнитель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Рынок услуг по транспортированию твердых коммунальных отходов 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(ТКО)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твердых коммунальных отходов, транспортируемых организациями частных форм собственности (негосударственными и немуниципальными организациями) и не аффилированными с региональным оператором по обращению с твердыми коммунальными отходами,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30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ЖКХ администрации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Печенгского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  <w:t xml:space="preserve">униципального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(далее – Отдел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строительства и ЖКХ)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5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электроэнергетики (купля-продажа на розничном рынке)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формы, осуществляющих деятельность по купле-продаже электроэнергии (энергосбытовую деятельность) на розничном рынке,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менее  30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</w:t>
            </w:r>
            <w:r>
              <w:rPr>
                <w:sz w:val="22"/>
                <w:szCs w:val="22"/>
              </w:rPr>
              <w:t xml:space="preserve">троительства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и ЖКХ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151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Рынок теплоснабжения (производ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ство тепловой энергии) 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теплоснабжения (производство тепловой энергии),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12,9%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13,6%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12,9%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14,2%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12,9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</w:t>
            </w:r>
            <w:r>
              <w:rPr>
                <w:sz w:val="22"/>
                <w:szCs w:val="22"/>
              </w:rPr>
              <w:t xml:space="preserve">троительства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84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оказания услуг по перевозке пассажиров автомобильным транспортом по муниципальным маршрутам регулярных перевозок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услуг (работ) по перевозке пассажиров автомобильным транспортом по муниципальным маршрутам регулярных перевозок, оказываемых (выполненных) организациями частной формы собственности,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 20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Комитет по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</w:t>
            </w:r>
            <w:r>
              <w:rPr>
                <w:sz w:val="22"/>
                <w:szCs w:val="22"/>
              </w:rPr>
              <w:t xml:space="preserve">правлению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муществом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</w:t>
            </w:r>
            <w:r>
              <w:rPr>
                <w:sz w:val="22"/>
                <w:szCs w:val="22"/>
              </w:rPr>
              <w:t xml:space="preserve">дминистрации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Печенгского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  <w:t xml:space="preserve">униципального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округа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(далее </w:t>
            </w:r>
            <w:r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 xml:space="preserve">КУИ)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74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оказания услуг по перевозке пассажиров и багажа легковым такси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оказания услуг по перевозке пассажиров и багажа легковым такси на территории субъекта Российской Федерации,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70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экономического развития администрации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Печенгского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муниципального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округа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(далее – ОЭР)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6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услуг дополнительного образования детей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услуг дополнительного образования детей,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5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,0%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2,5%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tabs>
                <w:tab w:val="left" w:pos="285" w:leader="none"/>
                <w:tab w:val="center" w:pos="55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5,7%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</w:t>
            </w:r>
            <w:r>
              <w:rPr>
                <w:sz w:val="22"/>
                <w:szCs w:val="22"/>
              </w:rPr>
              <w:t xml:space="preserve">дминистрации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Печенгского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  <w:t xml:space="preserve">униципального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округа (далее –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образования),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спорта 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молодежной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политики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Печенгского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  <w:t xml:space="preserve">униципального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округа (далее –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спорта 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молодежной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политики)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07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Рынок услуг розничной торговли лекарственными препаратами, медицинскими изделиями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услуг розничной торговли лекарственными препаратами, медицинскими изделиями,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hanging="142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 70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инвестиционной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24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строительства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объеме выполненных работ по виду экономической деятельности «Строительство»,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hanging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91%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100,0%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</w:r>
            <w:r>
              <w:rPr>
                <w:color w:val="ff0000"/>
                <w:sz w:val="22"/>
                <w:szCs w:val="22"/>
                <w:highlight w:val="yellow"/>
              </w:rPr>
            </w:r>
            <w:r>
              <w:rPr>
                <w:color w:val="ff0000"/>
                <w:sz w:val="22"/>
                <w:szCs w:val="22"/>
                <w:highlight w:val="yellow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</w:t>
            </w:r>
            <w:r>
              <w:rPr>
                <w:sz w:val="22"/>
                <w:szCs w:val="22"/>
              </w:rPr>
              <w:t xml:space="preserve">троительства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7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выполнения работ по благоустройству городской среды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выполнения работ по благоустройству городской среды,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64,4%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96,8%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«Управление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</w:t>
            </w:r>
            <w:r>
              <w:rPr>
                <w:sz w:val="22"/>
                <w:szCs w:val="22"/>
              </w:rPr>
              <w:t xml:space="preserve">лагоустройства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развития»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Печенсгкого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  <w:t xml:space="preserve">униципального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округа (далее –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«УБиР»),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  <w:t xml:space="preserve">БУ «Никельская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дорожная служ</w:t>
            </w:r>
            <w:r>
              <w:rPr>
                <w:sz w:val="22"/>
                <w:szCs w:val="22"/>
              </w:rPr>
              <w:t xml:space="preserve">б</w:t>
            </w:r>
            <w:r>
              <w:rPr>
                <w:sz w:val="22"/>
                <w:szCs w:val="22"/>
              </w:rPr>
              <w:t xml:space="preserve">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(далее –</w:t>
            </w:r>
            <w:r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 xml:space="preserve">НДС»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МБУ «Ремонтно-эксплуатационная служба» (далее – МБУ «РЭС»),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ЖКХ,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сопровождению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муниципальных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заказчиков,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</w:t>
            </w:r>
            <w:r>
              <w:rPr>
                <w:sz w:val="22"/>
                <w:szCs w:val="22"/>
              </w:rPr>
              <w:t xml:space="preserve">азмещению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</w:t>
            </w:r>
            <w:r>
              <w:rPr>
                <w:sz w:val="22"/>
                <w:szCs w:val="22"/>
              </w:rPr>
              <w:t xml:space="preserve">униципальных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закупок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tabs>
                <w:tab w:val="center" w:pos="270" w:leader="none"/>
                <w:tab w:val="center" w:pos="13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Сфера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270" w:leader="none"/>
                <w:tab w:val="center" w:pos="13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наружной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рекламы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наружной рекламы,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100%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6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7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tabs>
                <w:tab w:val="right" w:pos="1820" w:leader="none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Рынок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tabs>
                <w:tab w:val="right" w:pos="1820" w:leader="none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ритуальных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услуг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кладбищ и мест захоронений на них, включенных в </w:t>
            </w:r>
            <w:r>
              <w:rPr>
                <w:sz w:val="22"/>
                <w:szCs w:val="22"/>
              </w:rPr>
              <w:t xml:space="preserve">справочник сведений </w:t>
            </w:r>
            <w:r>
              <w:rPr>
                <w:sz w:val="22"/>
                <w:szCs w:val="22"/>
              </w:rPr>
              <w:t xml:space="preserve">кладбищ и мест захоронений на них, </w:t>
            </w:r>
            <w:r>
              <w:rPr>
                <w:color w:val="auto"/>
                <w:sz w:val="22"/>
                <w:szCs w:val="22"/>
              </w:rPr>
              <w:t xml:space="preserve">размещенный в федеральной государственной информационной системе «Единая система нормативной справочной информации»</w:t>
            </w:r>
            <w:r>
              <w:rPr>
                <w:sz w:val="22"/>
                <w:szCs w:val="22"/>
              </w:rPr>
              <w:t xml:space="preserve">, от</w:t>
            </w:r>
            <w:r>
              <w:rPr>
                <w:sz w:val="22"/>
                <w:szCs w:val="22"/>
              </w:rPr>
              <w:t xml:space="preserve"> общего количества существующих кладбищ,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</w:t>
            </w: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color w:val="auto"/>
                <w:sz w:val="22"/>
                <w:szCs w:val="22"/>
              </w:rPr>
              <w:t xml:space="preserve">-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 xml:space="preserve">-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trike/>
                <w:color w:val="auto"/>
                <w:sz w:val="22"/>
                <w:szCs w:val="22"/>
              </w:rPr>
            </w:pPr>
            <w:r>
              <w:rPr>
                <w:strike/>
                <w:color w:val="auto"/>
                <w:sz w:val="22"/>
                <w:szCs w:val="22"/>
              </w:rPr>
              <w:t xml:space="preserve">-</w:t>
            </w:r>
            <w:r>
              <w:rPr>
                <w:strike/>
                <w:color w:val="auto"/>
                <w:sz w:val="22"/>
                <w:szCs w:val="22"/>
              </w:rPr>
            </w:r>
            <w:r>
              <w:rPr>
                <w:strike/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</w:t>
            </w:r>
            <w:r>
              <w:rPr>
                <w:strike/>
                <w:sz w:val="22"/>
                <w:szCs w:val="22"/>
                <w:vertAlign w:val="superscript"/>
                <w:lang w:val="en-US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trike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trike/>
                <w:sz w:val="22"/>
                <w:szCs w:val="22"/>
                <w:lang w:val="en-US"/>
              </w:rPr>
              <w:t xml:space="preserve"> </w:t>
            </w:r>
            <w:r>
              <w:rPr>
                <w:strike/>
                <w:sz w:val="22"/>
                <w:szCs w:val="22"/>
                <w:lang w:val="en-US"/>
              </w:rPr>
            </w:r>
            <w:r>
              <w:rPr>
                <w:strike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882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хозяйствующих субъектов, оказывающих услуги по организации похорон, зарегистрированных на территории </w:t>
            </w:r>
            <w:r>
              <w:rPr>
                <w:sz w:val="22"/>
                <w:szCs w:val="22"/>
              </w:rPr>
              <w:t xml:space="preserve">Печенгского муниципального округа, включенных в справочник сведений о хозяйствующих субъектов, оказывающих услуги по организации похорон, размещенный в федеральной государственной информационной системе «Единая система нормативной справочной информации»,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100%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0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47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Рынок торговли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</w:t>
            </w:r>
            <w:r>
              <w:rPr>
                <w:sz w:val="22"/>
                <w:szCs w:val="22"/>
              </w:rPr>
              <w:t xml:space="preserve"> нестационарных торговых объектов и торговых мест </w:t>
            </w:r>
            <w:r>
              <w:rPr>
                <w:sz w:val="22"/>
                <w:szCs w:val="22"/>
              </w:rPr>
              <w:t xml:space="preserve">на ярмарках </w:t>
            </w:r>
            <w:r>
              <w:rPr>
                <w:sz w:val="22"/>
                <w:szCs w:val="22"/>
              </w:rPr>
              <w:t xml:space="preserve">по отношению к 2020 году, ед.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134</w:t>
            </w:r>
            <w:r>
              <w:rPr>
                <w:sz w:val="22"/>
                <w:szCs w:val="22"/>
                <w:vertAlign w:val="superscript"/>
              </w:rPr>
              <w:t xml:space="preserve">2</w:t>
            </w:r>
            <w:r>
              <w:rPr>
                <w:sz w:val="22"/>
                <w:szCs w:val="22"/>
                <w:vertAlign w:val="superscript"/>
              </w:rPr>
            </w:r>
            <w:r>
              <w:rPr>
                <w:sz w:val="22"/>
                <w:szCs w:val="22"/>
                <w:vertAlign w:val="superscript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9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9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9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9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147</w:t>
            </w:r>
            <w:r>
              <w:rPr>
                <w:sz w:val="22"/>
                <w:szCs w:val="22"/>
                <w:vertAlign w:val="superscript"/>
              </w:rPr>
              <w:t xml:space="preserve">2</w:t>
            </w:r>
            <w:r>
              <w:rPr>
                <w:sz w:val="22"/>
                <w:szCs w:val="22"/>
                <w:vertAlign w:val="superscript"/>
              </w:rPr>
            </w:r>
            <w:r>
              <w:rPr>
                <w:sz w:val="22"/>
                <w:szCs w:val="22"/>
                <w:vertAlign w:val="superscript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инвестиционной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882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15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tabs>
                <w:tab w:val="right" w:pos="18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right" w:pos="182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нефтепро-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дуктов 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на рынке нефтепродуктов,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инвестиционной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5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Рынок оказания услуг по ремонту автотранспортных средств 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оказания услуг по ремонту автотранспортных средств,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инвестиционной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159"/>
        </w:trPr>
        <w:tc>
          <w:tcPr>
            <w:gridSpan w:val="11"/>
            <w:shd w:val="clear" w:color="auto" w:fill="auto"/>
            <w:tcBorders>
              <w:top w:val="single" w:color="auto" w:sz="4" w:space="0"/>
            </w:tcBorders>
            <w:tcW w:w="1553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2 </w:t>
            </w:r>
            <w:r>
              <w:rPr>
                <w:sz w:val="22"/>
                <w:szCs w:val="22"/>
              </w:rPr>
              <w:t xml:space="preserve">Учитывая внесение изменений в распоряжение Правительства Российской Федерации от 02.09.2021 № 2424-р показ</w:t>
            </w:r>
            <w:r>
              <w:rPr>
                <w:sz w:val="22"/>
                <w:szCs w:val="22"/>
              </w:rPr>
              <w:t xml:space="preserve">а</w:t>
            </w:r>
            <w:r>
              <w:rPr>
                <w:sz w:val="22"/>
                <w:szCs w:val="22"/>
              </w:rPr>
              <w:t xml:space="preserve">тель 2020 года и целевое значение на 31.12.2025 пересчитаны.</w:t>
            </w:r>
            <w:r>
              <w:rPr>
                <w:sz w:val="22"/>
                <w:szCs w:val="22"/>
                <w:vertAlign w:val="superscript"/>
              </w:rPr>
            </w:r>
            <w:r>
              <w:rPr>
                <w:sz w:val="22"/>
                <w:szCs w:val="22"/>
                <w:vertAlign w:val="superscript"/>
              </w:rPr>
            </w:r>
          </w:p>
        </w:tc>
      </w:tr>
      <w:tr>
        <w:tblPrEx/>
        <w:trPr>
          <w:trHeight w:val="204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социальных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trike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услуг</w:t>
            </w:r>
            <w:r>
              <w:rPr>
                <w:strike/>
                <w:sz w:val="22"/>
                <w:szCs w:val="22"/>
              </w:rPr>
              <w:t xml:space="preserve"> 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негосударственных организаций социального обслуживания, предоставляющих социальные услуги по отношению к 2022 г 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10,0 %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 (1)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 (1)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 (1)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 (1)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33,3 (1)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инвестиционной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2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кадастровых и землеустроительных работ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кадастровых и землеустроительных работ,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80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-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ind w:lef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 xml:space="preserve">100%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9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доме 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многоквартирном доме,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36,3%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36,3%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36,3%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строительства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ЖКХ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0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Рынок вылова водных биоресу</w:t>
            </w:r>
            <w:r>
              <w:rPr>
                <w:sz w:val="22"/>
                <w:szCs w:val="22"/>
              </w:rPr>
              <w:t xml:space="preserve">р</w:t>
            </w:r>
            <w:r>
              <w:rPr>
                <w:sz w:val="22"/>
                <w:szCs w:val="22"/>
                <w:lang w:val="en-US"/>
              </w:rPr>
              <w:t xml:space="preserve">сов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на рынке вылова водных биоресурсов,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80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инвестиционной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84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19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right="226"/>
              <w:tabs>
                <w:tab w:val="left" w:pos="102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Рынок </w:t>
            </w:r>
            <w:r>
              <w:rPr>
                <w:sz w:val="22"/>
                <w:szCs w:val="22"/>
              </w:rPr>
              <w:t xml:space="preserve">товарной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4"/>
              <w:tabs>
                <w:tab w:val="left" w:pos="742" w:leader="none"/>
              </w:tabs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аквакультуры </w:t>
            </w:r>
            <w:r>
              <w:rPr>
                <w:sz w:val="22"/>
                <w:szCs w:val="22"/>
                <w:highlight w:val="yellow"/>
                <w:lang w:val="en-US"/>
              </w:rPr>
            </w:r>
            <w:r>
              <w:rPr>
                <w:sz w:val="22"/>
                <w:szCs w:val="22"/>
                <w:highlight w:val="yellow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на рынке товарной аквакультуры,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80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инвестиционной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10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внутреннего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въездного туризма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туристского потока в Печенгском округе, тыс. чел.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6,2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 xml:space="preserve">8,6</w:t>
            </w:r>
            <w:r>
              <w:rPr>
                <w:color w:val="ff0000"/>
                <w:sz w:val="22"/>
                <w:szCs w:val="22"/>
                <w:lang w:val="en-US"/>
              </w:rPr>
            </w:r>
            <w:r>
              <w:rPr>
                <w:color w:val="ff0000"/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10,9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5,1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13,2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13,9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r>
              <w:t xml:space="preserve">Консультант </w:t>
            </w:r>
            <w:r/>
          </w:p>
          <w:p>
            <w:r>
              <w:t xml:space="preserve">по приграничному</w:t>
            </w:r>
            <w:r/>
          </w:p>
          <w:p>
            <w:r>
              <w:t xml:space="preserve">сотрудничеству</w:t>
            </w:r>
            <w:r/>
          </w:p>
          <w:p>
            <w:r/>
            <w:r/>
          </w:p>
        </w:tc>
      </w:tr>
      <w:tr>
        <w:tblPrEx/>
        <w:trPr>
          <w:trHeight w:val="185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услуг связи, в том числе широкополосного доступа к информационно-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</w:rPr>
              <w:t xml:space="preserve">т</w:t>
            </w:r>
            <w:r>
              <w:rPr>
                <w:sz w:val="22"/>
                <w:szCs w:val="22"/>
                <w:lang w:val="en-US"/>
              </w:rPr>
              <w:t xml:space="preserve">елекоммуникацион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  <w:lang w:val="en-US"/>
              </w:rPr>
              <w:t xml:space="preserve">ной сети Интернет </w:t>
            </w:r>
            <w:r>
              <w:rPr>
                <w:sz w:val="22"/>
                <w:szCs w:val="22"/>
                <w:highlight w:val="yellow"/>
                <w:lang w:val="en-US"/>
              </w:rPr>
            </w:r>
            <w:r>
              <w:rPr>
                <w:sz w:val="22"/>
                <w:szCs w:val="22"/>
                <w:highlight w:val="yellow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оказания услуг по предоставлению широкополосного доступа к информационно-телекоммуникационной сети Интернет,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98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%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инвестиционной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II. План мероприятий («дорожная карта») по содействию развитию конкуренции на рынках товаров, работ, услуг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Печенгского муниципального округа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15667" w:type="dxa"/>
        <w:tblInd w:w="-108" w:type="dxa"/>
        <w:tblLayout w:type="fixed"/>
        <w:tblCellMar>
          <w:top w:w="7" w:type="dxa"/>
          <w:right w:w="10" w:type="dxa"/>
        </w:tblCellMar>
        <w:tblLook w:val="04A0" w:firstRow="1" w:lastRow="0" w:firstColumn="1" w:lastColumn="0" w:noHBand="0" w:noVBand="1"/>
      </w:tblPr>
      <w:tblGrid>
        <w:gridCol w:w="782"/>
        <w:gridCol w:w="3401"/>
        <w:gridCol w:w="39"/>
        <w:gridCol w:w="1777"/>
        <w:gridCol w:w="15"/>
        <w:gridCol w:w="12"/>
        <w:gridCol w:w="2671"/>
        <w:gridCol w:w="21"/>
        <w:gridCol w:w="2413"/>
        <w:gridCol w:w="41"/>
        <w:gridCol w:w="1944"/>
        <w:gridCol w:w="20"/>
        <w:gridCol w:w="21"/>
        <w:gridCol w:w="32"/>
        <w:gridCol w:w="2478"/>
      </w:tblGrid>
      <w:tr>
        <w:tblPrEx/>
        <w:trPr>
          <w:trHeight w:val="931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п/п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Наименование мероприятия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Проблема, на решение которой направлено мероприятие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Вид правового акта или показатель, характеризу-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ющий реализацию меро-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приятия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Результат реализации мероприятия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Сроки разработки и реализации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Ответственные исполнители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78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1.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услуг по транспортированию твердых коммунальных отходов (ТКО)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2" w:firstLine="5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Услуги по сбору и транспортированию ТКО с 01.01.2019 </w:t>
            </w:r>
            <w:r>
              <w:rPr>
                <w:sz w:val="22"/>
                <w:szCs w:val="22"/>
              </w:rPr>
              <w:t xml:space="preserve">года </w:t>
            </w:r>
            <w:r>
              <w:rPr>
                <w:sz w:val="22"/>
                <w:szCs w:val="22"/>
              </w:rPr>
              <w:t xml:space="preserve">предоставляются частной компанией АО «Ситиматик», которой с 10.01.2018 </w:t>
            </w:r>
            <w:r>
              <w:rPr>
                <w:sz w:val="22"/>
                <w:szCs w:val="22"/>
              </w:rPr>
              <w:t xml:space="preserve">года </w:t>
            </w:r>
            <w:r>
              <w:rPr>
                <w:sz w:val="22"/>
                <w:szCs w:val="22"/>
              </w:rPr>
              <w:t xml:space="preserve">присвоен статус регионального </w:t>
            </w:r>
            <w:r>
              <w:rPr>
                <w:sz w:val="22"/>
                <w:szCs w:val="22"/>
              </w:rPr>
              <w:t xml:space="preserve">оператора по обращению с ТКО на территории Мурманской области на 10 лет. Зона деятельности – вся Мурманская область. В соответствии с пунктом 4 раздела 1 Правил обращения с твердыми коммунальными отходами, утвержденных постановлением Правительства Российск</w:t>
            </w:r>
            <w:r>
              <w:rPr>
                <w:sz w:val="22"/>
                <w:szCs w:val="22"/>
              </w:rPr>
              <w:t xml:space="preserve">ой Федерации от 12.11.2016 № 1156 «Об обращении с твердыми коммунальными отходами и внесении изменения в постановление Правительства Российской Федерации от 25 августа 2008 г. № 641», обращение с ТКО на территории субъекта Российской Федерации обеспечивает</w:t>
            </w:r>
            <w:r>
              <w:rPr>
                <w:sz w:val="22"/>
                <w:szCs w:val="22"/>
              </w:rPr>
              <w:t xml:space="preserve">ся региональными операторами в соответствии с региональной программой в области обращения с отходами, в том числе с ТКО, и территориальной схемой обращения с отходами на основании заключенных с потребителями договоров на оказание услуг по обращению с ТКО.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2" w:firstLine="5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этом региональный оператор вправе как самостоятельно о</w:t>
            </w:r>
            <w:r>
              <w:rPr>
                <w:sz w:val="22"/>
                <w:szCs w:val="22"/>
              </w:rPr>
              <w:t xml:space="preserve">казывать полный комплекс услуг по обращению с ТКО, так и привлекать к этой деятельности других операторов по обращению с ТКО по результатам торгов, которые проводятся в форме аукциона в соответствии с Правилами проведения торгов, по результатам которых фор</w:t>
            </w:r>
            <w:r>
              <w:rPr>
                <w:sz w:val="22"/>
                <w:szCs w:val="22"/>
              </w:rPr>
              <w:t xml:space="preserve">мируются цены на услуги по сбору и транспортированию твердых коммунальных отходов для регионального оператора, утвержденными постановлением Правительства Российской Федерации от 03.11.2016 № 1133 «Об утверждении Правил проведения торгов, по результатам кот</w:t>
            </w:r>
            <w:r>
              <w:rPr>
                <w:sz w:val="22"/>
                <w:szCs w:val="22"/>
              </w:rPr>
              <w:t xml:space="preserve">орых формируются цены на услуги по сбору и транспортированию твердых коммунальных отходов для регионального оператора». В Печенгском муниципальном округе АО «Ситиматик» к деятельности по обращению с ТКО привлечен индивидуальный предприниматель Базанов Ю.Л.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2" w:firstLine="5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Конкурсный механизм на рынке услуг по сбору и транспортированию ТКО в Печенгском </w:t>
            </w:r>
            <w:r>
              <w:rPr>
                <w:sz w:val="22"/>
                <w:szCs w:val="22"/>
              </w:rPr>
              <w:t xml:space="preserve">муниципальном округе реализован в полном объеме. Анализ состояния конкурентной среды показывает, что доля участия организаций частной формы собственности в оказании услуг по сбору и транспортированию ТКО в Печенгском муниципальном округе составляет 100 %.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Основными барьерами входа новых хозяйствующих субъектов на рынок по сбору и транспортировке твердых коммунальных отходов являются: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numPr>
                <w:ilvl w:val="0"/>
                <w:numId w:val="30"/>
              </w:numPr>
              <w:ind w:left="0" w:firstLine="533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лицензирование отдельных видов деятельности,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numPr>
                <w:ilvl w:val="0"/>
                <w:numId w:val="30"/>
              </w:numPr>
              <w:ind w:left="0" w:firstLine="5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значительный размер капитальных вложений для покупки специального оборудования и специального автотранспорта.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0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0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Участие жителей в оценке деятельности организаций, оказывающих услуги по сбору и транспортированию </w:t>
            </w:r>
            <w:r>
              <w:rPr>
                <w:color w:val="auto"/>
                <w:sz w:val="22"/>
                <w:szCs w:val="22"/>
                <w:lang w:val="en-US"/>
              </w:rPr>
              <w:t xml:space="preserve">ТКО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 xml:space="preserve">Обязательное реагирование на поступающие обращения граждан в части работы организаций, оказывающих услуги по сбору и транспортированию </w:t>
            </w:r>
            <w:r>
              <w:rPr>
                <w:color w:val="auto"/>
                <w:sz w:val="22"/>
                <w:szCs w:val="22"/>
                <w:lang w:val="en-US"/>
              </w:rPr>
              <w:t xml:space="preserve">ТКО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Рассмотрение обращений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Обработка поступающих обращений посредством информационных сервисов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2022 – 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4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электроэнергетики (купля-продажа на розничном рынке)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розничной купли-продажи электрич</w:t>
            </w:r>
            <w:r>
              <w:rPr>
                <w:sz w:val="22"/>
                <w:szCs w:val="22"/>
              </w:rPr>
              <w:t xml:space="preserve">еской энергии (мощности) на розничном рынке электрической энергии (мощности) на территории Печенгского муниципального округа представлен организациями частной формы собственности – Александровским отделением филиала «КолАтомЭнергоСбыт» АО «АтомЭнергоСбыт».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Возможность влиять на организации частной и муниципально</w:t>
            </w:r>
            <w:r>
              <w:rPr>
                <w:sz w:val="22"/>
                <w:szCs w:val="22"/>
              </w:rPr>
              <w:t xml:space="preserve">й формы собственности в части купли-продажи электроэнергии (мощности) в ценовых и неценовых зонах исключена, так как в соответствии с постановлением Правительства Российской Федерации от 04.05.2012 № 442 данное влияние осуществляется на федеральном уровне.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Особенностью проблемы сферы производства электрической энергии является высокая себестоимость производства электроэнергии.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17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ind w:right="1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1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1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ind w:right="1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9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sz w:val="22"/>
                <w:szCs w:val="22"/>
                <w:lang w:val="en-US"/>
              </w:rPr>
            </w: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теплоснабжения (производство тепловой энергии)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теплоснабжения Печенгского муниципального округа является одной из важнейших сфер экономики округа. Он включает в себя производственные и иные имущественные объекты, задействованные в процессе производства тепловой энергии.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Одним из крупнейших теплоснабжающих предприятий Мурманской области является АО «Мурманэнергосбыт» (100% акций принадлежит Мурманской области), которое осуществляет основное теплоснабжение в Печенгском муниципальном округе.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территории Печенгского муниципального округа производство тепловой энергии осуществляют </w:t>
            </w:r>
            <w:r>
              <w:rPr>
                <w:sz w:val="22"/>
                <w:szCs w:val="22"/>
              </w:rPr>
              <w:t xml:space="preserve">четыре</w:t>
            </w:r>
            <w:r>
              <w:rPr>
                <w:sz w:val="22"/>
                <w:szCs w:val="22"/>
              </w:rPr>
              <w:t xml:space="preserve"> организаци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, из них </w:t>
            </w:r>
            <w:r>
              <w:rPr>
                <w:sz w:val="22"/>
                <w:szCs w:val="22"/>
              </w:rPr>
              <w:t xml:space="preserve">три</w:t>
            </w:r>
            <w:r>
              <w:rPr>
                <w:sz w:val="22"/>
                <w:szCs w:val="22"/>
              </w:rPr>
              <w:t xml:space="preserve"> организации – частной формы собственности: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ПАО «ТГК – 1»,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ООО «ПромВоенСтрой»,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ООО «ТеплоНорд»,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АО «Мурманэнергосбыт».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теплоснабжения является стратегической отраслью, которая должна обеспечивать бесперебойное предоставление услуг отопления и горячего водоснабжения населению региона в условиях Крайнего Севера. В целях </w:t>
            </w:r>
            <w:r>
              <w:rPr>
                <w:sz w:val="22"/>
                <w:szCs w:val="22"/>
              </w:rPr>
              <w:t xml:space="preserve">решения вопросов теплоснабжения на территории Печенгского муниципального округа в 2021 году разработана и утверждена схема теплоснабжения Печенгского муниципального округа (постановление администрации Печенгского муниципального округа от 23.12.2021 № 1453)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е актуализация осуществляется в соответствии с предусмотренными законодательством </w:t>
            </w:r>
            <w:r>
              <w:rPr>
                <w:sz w:val="22"/>
                <w:szCs w:val="22"/>
              </w:rPr>
              <w:t xml:space="preserve">сроками. В 2023 году проведена работа по актуализации схемы теплоснабжения на 2024 год (Постановление администрации Печенгского муниципального округа </w:t>
              <w:br/>
              <w:t xml:space="preserve">от 28.12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2023 №2035).</w:t>
            </w:r>
            <w:r>
              <w:rPr>
                <w:sz w:val="22"/>
                <w:szCs w:val="22"/>
              </w:rPr>
              <w:t xml:space="preserve"> В 2024 году </w:t>
            </w:r>
            <w:r>
              <w:rPr>
                <w:sz w:val="22"/>
                <w:szCs w:val="22"/>
              </w:rPr>
              <w:t xml:space="preserve">проведена работа по актуализации схемы теплоснабжения </w:t>
            </w:r>
            <w:r>
              <w:rPr>
                <w:sz w:val="22"/>
                <w:szCs w:val="22"/>
              </w:rPr>
              <w:t xml:space="preserve">до 2043 года</w:t>
            </w:r>
            <w:r>
              <w:rPr>
                <w:sz w:val="22"/>
                <w:szCs w:val="22"/>
              </w:rPr>
              <w:t xml:space="preserve"> (Постановление администрации Печенгского муниципального округа от </w:t>
            </w:r>
            <w:r>
              <w:rPr>
                <w:sz w:val="22"/>
                <w:szCs w:val="22"/>
              </w:rPr>
              <w:t xml:space="preserve">11</w:t>
            </w:r>
            <w:r>
              <w:rPr>
                <w:sz w:val="22"/>
                <w:szCs w:val="22"/>
              </w:rPr>
              <w:t xml:space="preserve">.1</w:t>
            </w:r>
            <w:r>
              <w:rPr>
                <w:sz w:val="22"/>
                <w:szCs w:val="22"/>
              </w:rPr>
              <w:t xml:space="preserve">0.</w:t>
            </w: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 xml:space="preserve"> 1569</w:t>
            </w:r>
            <w:r>
              <w:rPr>
                <w:sz w:val="22"/>
                <w:szCs w:val="22"/>
              </w:rPr>
              <w:t xml:space="preserve">).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Печенгском муниципальном округе по состоянию на </w:t>
            </w:r>
            <w:r>
              <w:rPr>
                <w:sz w:val="22"/>
                <w:szCs w:val="22"/>
              </w:rPr>
              <w:t xml:space="preserve">01.01.2021 </w:t>
            </w:r>
            <w:r>
              <w:rPr>
                <w:sz w:val="22"/>
                <w:szCs w:val="22"/>
              </w:rPr>
              <w:t xml:space="preserve">года </w:t>
            </w:r>
            <w:r>
              <w:rPr>
                <w:sz w:val="22"/>
                <w:szCs w:val="22"/>
              </w:rPr>
              <w:t xml:space="preserve">исходное</w:t>
            </w:r>
            <w:r>
              <w:rPr>
                <w:sz w:val="22"/>
                <w:szCs w:val="22"/>
              </w:rPr>
              <w:t xml:space="preserve"> значение ключевого показателя развития рынка теплоснабжения (производства тепловой энергии) на территории округа составляет 12,9%.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trike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целях развития конкуренции н</w:t>
            </w:r>
            <w:r>
              <w:rPr>
                <w:sz w:val="22"/>
                <w:szCs w:val="22"/>
              </w:rPr>
              <w:t xml:space="preserve">а рынке теплоснабжения (производство тепловой энергии), а также решения проблемы высоких тарифов осуществляется работа по реализации инвестиционных проектов в сфере теплоснабжения путем привлечения частных инвестиций и заключения концессионных соглашений, </w:t>
            </w:r>
            <w:r>
              <w:rPr>
                <w:sz w:val="22"/>
                <w:szCs w:val="22"/>
              </w:rPr>
              <w:t xml:space="preserve">в части реконструкции и модернизации объектов теплоснабжения.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августе 2023 года заключено концессионное соглашение с ООО «ПромВоенСтрой» в отношении реконструкции объектов по производству, передаче и распределению тепловой энергии и горячей воды, расположенных в н.п.Лиинахамари, сроком действия до 31.12.2037 года.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  <w:t xml:space="preserve"> 2024 </w:t>
            </w:r>
            <w:r>
              <w:rPr>
                <w:sz w:val="22"/>
                <w:szCs w:val="22"/>
              </w:rPr>
              <w:t xml:space="preserve">году продолжалось исполнение концессионного соглашения в отношении объектов по производству, передаче и распределению тепловой энергии и горяч</w:t>
            </w:r>
            <w:r>
              <w:rPr>
                <w:sz w:val="22"/>
                <w:szCs w:val="22"/>
              </w:rPr>
              <w:t xml:space="preserve">ей воды потребителям нп. Лиинахамари, которые подлежат реконструкции, заключенного с ООО «ПромВоенСтрой» до 31.12.2037 года. Без проведения конкурса (частная инициатива) между Печенгским муниципальным округом и ООО «ПромВоенСтрой» 11.10.2024 года заключено</w:t>
            </w:r>
            <w:r>
              <w:rPr>
                <w:sz w:val="22"/>
                <w:szCs w:val="22"/>
              </w:rPr>
              <w:t xml:space="preserve"> концессионное соглашение в отношении объектов по производству, передаче и распределению тепловой энергии и горячей воды, находящихся в муниципальной собственности пгт. Печенга, ж/д станция Печенга, нп. Спутник. Срок действия соглашения до 31.12.2033 года.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Модернизация, строительство и реконструкция объектов теплоснабжения путем привлечения частных инвестиций и заключения концессионных соглашений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Изношенность объектов теплоснабжения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реализованных инвестиционных проектов в сфере теплоснабжения, сокращение доли полезного отпуска тепловой энергии унитарными предприятиями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Обновление и модернизация объектов теплоснабжения, а также увеличение количества организаций частной формы собственности на рынке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2025 года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477" w:leader="none"/>
                <w:tab w:val="center" w:pos="1401" w:leader="none"/>
                <w:tab w:val="center" w:pos="207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84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Актуализация схемы теплоснабжения Печенгского муниципального округа в соответствии со сроками, предусмотренными законодательством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ind w:right="13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информированности хозяйствующих объектов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Постановление, информация размещена на официальном сайте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доступ для хозяйствующих объектов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соответствии со сроками, предусмотренными законодательством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477" w:leader="none"/>
                <w:tab w:val="center" w:pos="1401" w:leader="none"/>
                <w:tab w:val="center" w:pos="207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ind w:right="13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1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 организация частной формы собственности в сфере теплоснабжения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tabs>
                <w:tab w:val="center" w:pos="477" w:leader="none"/>
                <w:tab w:val="center" w:pos="1401" w:leader="none"/>
                <w:tab w:val="center" w:pos="207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477" w:leader="none"/>
                <w:tab w:val="center" w:pos="1401" w:leader="none"/>
                <w:tab w:val="center" w:pos="207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38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оказания услуг по перевозке пассажиров автомобильным транспортом по муниципальным маршрутам регулярных перевозок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На территории Печенгского муниципального округа деятельность по перевозке пассажиров и багажа автомобильным транспортом по муниципальным маршрутам регулярных пассажирских перевозках между поселениями в границах Печенгского района осуществляют 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 перевозчика частной формы собственности (общества с ограниченной ответственностью): ООО «Заполярное АТП», ООО «Печенгатранссервис», ООО «Премиум». Доля негосу</w:t>
            </w:r>
            <w:r>
              <w:rPr>
                <w:sz w:val="22"/>
                <w:szCs w:val="22"/>
              </w:rPr>
              <w:t xml:space="preserve">дарственных (немуниципальных) перевозчиков на 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 составляет 100 %.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территории Печенгского муниципального округа установлено 11 муниципальных маршрутов.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6 муниципальным маршрутам осуществляется перевозка пассажиров по регулируемым тарифам с предоставлением льгот, предусмотренных действующим законодательством.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развития конкуренции в данной сфере включают мероприятия, направленные на повышение как транспортной доступности населенных пунктов округа, так и качества предоставления услуг по перевозке пассажиров.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Административные и экономические барьеры для входа на рынок </w:t>
            </w:r>
            <w:r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202</w:t>
            </w:r>
            <w:r>
              <w:rPr>
                <w:color w:val="auto"/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г</w:t>
            </w:r>
            <w:r>
              <w:rPr>
                <w:sz w:val="22"/>
                <w:szCs w:val="22"/>
              </w:rPr>
              <w:t xml:space="preserve">оду</w:t>
            </w:r>
            <w:r>
              <w:rPr>
                <w:sz w:val="22"/>
                <w:szCs w:val="22"/>
              </w:rPr>
              <w:t xml:space="preserve"> не выявлены, обращений хозяйствующих субъектов и потребителей о нарушениях на рынке оказания услуг по перевозке пассажиров автомобильным транспортом по муниципальным маршрутам регулярных перевозок хозяйства не поступали.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39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4.1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ind w:right="13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 ОЭР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5</w:t>
            </w:r>
            <w:r>
              <w:rPr>
                <w:b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sz w:val="22"/>
                <w:szCs w:val="22"/>
                <w:lang w:val="en-US"/>
              </w:rPr>
            </w: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оказания услуг по перевозке пассажиров и багажа легковым такси на территории субъекта Российской Федерации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4" w:firstLine="534"/>
              <w:jc w:val="both"/>
              <w:tabs>
                <w:tab w:val="left" w:pos="1200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данным Единого реестра среднего и малого предпринимательства на территории Печенгского муниципального округа в настоящее время </w:t>
            </w:r>
            <w:r>
              <w:rPr>
                <w:sz w:val="22"/>
                <w:szCs w:val="22"/>
              </w:rPr>
              <w:t xml:space="preserve">зарегистрировано 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индивид</w:t>
            </w:r>
            <w:r>
              <w:rPr>
                <w:sz w:val="22"/>
                <w:szCs w:val="22"/>
              </w:rPr>
              <w:t xml:space="preserve">уальных предпринимателей и 1 общество с ограниченной ответственностью, основным видом экономической деятельности которых является 49.32 «Деятельность легкового такси». Все они являются хозяйствующими субъектами частной формы собственности на данном рынке.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настоящее время проблемы, связанные с организации таксомоторных перевозок в округе, такие же, как и во всей Российской Федерации. Прежде всего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t xml:space="preserve"> это связано с качеством федерального законодательства.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Данная проблема обусловлена неисполнением контрольно-надзорных функций со стороны уполномоченных федеральных органов исполнительной власти.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0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ind w:right="13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4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40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6</w:t>
            </w:r>
            <w:r>
              <w:rPr>
                <w:b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sz w:val="22"/>
                <w:szCs w:val="22"/>
                <w:lang w:val="en-US"/>
              </w:rPr>
            </w: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услуг дополнительного образования детей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В настоящее время на территории Печенгского муниципального округа функционирует </w:t>
            </w:r>
            <w:r>
              <w:rPr>
                <w:rStyle w:val="1041"/>
                <w:sz w:val="22"/>
                <w:szCs w:val="22"/>
              </w:rPr>
              <w:t xml:space="preserve">3</w:t>
            </w:r>
            <w:r>
              <w:rPr>
                <w:rStyle w:val="1041"/>
                <w:sz w:val="22"/>
                <w:szCs w:val="22"/>
              </w:rPr>
              <w:t xml:space="preserve">8</w:t>
            </w:r>
            <w:r>
              <w:rPr>
                <w:rStyle w:val="1041"/>
                <w:sz w:val="22"/>
                <w:szCs w:val="22"/>
              </w:rPr>
              <w:t xml:space="preserve"> организаци</w:t>
            </w:r>
            <w:r>
              <w:rPr>
                <w:rStyle w:val="1041"/>
                <w:sz w:val="22"/>
                <w:szCs w:val="22"/>
              </w:rPr>
              <w:t xml:space="preserve">й</w:t>
            </w:r>
            <w:r>
              <w:rPr>
                <w:rStyle w:val="1041"/>
                <w:sz w:val="22"/>
                <w:szCs w:val="22"/>
              </w:rPr>
              <w:t xml:space="preserve">, реализующих программы дополнительного образования, в том числе </w:t>
            </w:r>
            <w:r>
              <w:rPr>
                <w:rStyle w:val="1041"/>
                <w:sz w:val="22"/>
                <w:szCs w:val="22"/>
              </w:rPr>
              <w:t xml:space="preserve">31</w:t>
            </w:r>
            <w:r>
              <w:rPr>
                <w:rStyle w:val="1041"/>
                <w:sz w:val="22"/>
                <w:szCs w:val="22"/>
              </w:rPr>
              <w:t xml:space="preserve"> муниципальных учреждений</w:t>
            </w:r>
            <w:r>
              <w:rPr>
                <w:rStyle w:val="1041"/>
                <w:sz w:val="22"/>
                <w:szCs w:val="22"/>
              </w:rPr>
              <w:t xml:space="preserve">, </w:t>
            </w:r>
            <w:r>
              <w:rPr>
                <w:rStyle w:val="1041"/>
                <w:sz w:val="22"/>
                <w:szCs w:val="22"/>
              </w:rPr>
              <w:t xml:space="preserve">2</w:t>
            </w:r>
            <w:r>
              <w:rPr>
                <w:rStyle w:val="1041"/>
                <w:sz w:val="22"/>
                <w:szCs w:val="22"/>
              </w:rPr>
              <w:t xml:space="preserve"> организации государственной формы собственности</w:t>
            </w:r>
            <w:r>
              <w:rPr>
                <w:rStyle w:val="1041"/>
                <w:sz w:val="22"/>
                <w:szCs w:val="22"/>
              </w:rPr>
              <w:t xml:space="preserve"> и </w:t>
            </w:r>
            <w:r>
              <w:rPr>
                <w:rStyle w:val="1041"/>
                <w:sz w:val="22"/>
                <w:szCs w:val="22"/>
              </w:rPr>
              <w:t xml:space="preserve">5</w:t>
            </w:r>
            <w:r>
              <w:rPr>
                <w:rStyle w:val="1041"/>
                <w:sz w:val="22"/>
                <w:szCs w:val="22"/>
              </w:rPr>
              <w:t xml:space="preserve"> организации негосударственной формы собственности. 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Из них: восемь муниципальных бюджетных учреждений дополнительного образования:     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- МБУ ДО «Дом детского творчества № 1»,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- МБУ ДО «Дом детского творчества № 2»,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- МБУ ДО «Детская музыкальная школа № 1 имени А.А. Келаревой»,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- МБУ ДО «Детская музыкальная школа № 2»,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- МБУ ДО «Детская музыкальная школа № 3»,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- МБУ ДО «Детская художественная школа № 1»,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- МБУ ДО «Детская художественная школа № 2»,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- МБУ ДО «Детско-юношеская спортивная школа».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Дополнительное образование реализуется также в </w:t>
            </w:r>
            <w:r>
              <w:rPr>
                <w:rStyle w:val="1041"/>
                <w:sz w:val="22"/>
                <w:szCs w:val="22"/>
              </w:rPr>
              <w:t xml:space="preserve">1</w:t>
            </w:r>
            <w:r>
              <w:rPr>
                <w:rStyle w:val="1041"/>
                <w:sz w:val="22"/>
                <w:szCs w:val="22"/>
              </w:rPr>
              <w:t xml:space="preserve">0</w:t>
            </w:r>
            <w:r>
              <w:rPr>
                <w:rStyle w:val="1041"/>
                <w:sz w:val="22"/>
                <w:szCs w:val="22"/>
              </w:rPr>
              <w:t xml:space="preserve"> общеобразовательных и </w:t>
            </w:r>
            <w:r>
              <w:rPr>
                <w:rStyle w:val="1041"/>
                <w:sz w:val="22"/>
                <w:szCs w:val="22"/>
              </w:rPr>
              <w:t xml:space="preserve">13</w:t>
            </w:r>
            <w:r>
              <w:rPr>
                <w:rStyle w:val="1041"/>
                <w:sz w:val="22"/>
                <w:szCs w:val="22"/>
              </w:rPr>
              <w:t xml:space="preserve"> </w:t>
            </w:r>
            <w:r>
              <w:rPr>
                <w:rStyle w:val="1041"/>
                <w:sz w:val="22"/>
                <w:szCs w:val="22"/>
              </w:rPr>
              <w:t xml:space="preserve">дошкольных образовательных учреждениях.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С 01.09.2023 года дополнительное образование представляет Государственное автономное профессиональное образовательное учреждение Мурманской области «Печенгский политехнический техникум» - ГАПОУ МО «ППТ».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В форме сетевого взаимодействия дополнительного образования для детей н.п.</w:t>
            </w:r>
            <w:r>
              <w:rPr>
                <w:rStyle w:val="1041"/>
                <w:sz w:val="22"/>
                <w:szCs w:val="22"/>
              </w:rPr>
              <w:t xml:space="preserve"> </w:t>
            </w:r>
            <w:r>
              <w:rPr>
                <w:rStyle w:val="1041"/>
                <w:sz w:val="22"/>
                <w:szCs w:val="22"/>
              </w:rPr>
              <w:t xml:space="preserve">Корзуново предоставляет Государственное автономное нетиповое образовательное учреждение Мурманской области «Центр образования «Лапландия» мобильный технопарк «Кванториум».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rStyle w:val="1041"/>
                <w:sz w:val="22"/>
                <w:szCs w:val="22"/>
              </w:rPr>
            </w:pPr>
            <w:r>
              <w:rPr>
                <w:rStyle w:val="1041"/>
                <w:sz w:val="22"/>
                <w:szCs w:val="22"/>
              </w:rPr>
              <w:t xml:space="preserve">На территории Печенгского муниципального округа в 2024 году услуги по дополнительному образованию оказывали две коммерческие организации – ООО «Развитие» в г. Заполярном и ООО «Сотрудничество» в пгт. Никель. </w:t>
            </w:r>
            <w:r>
              <w:rPr>
                <w:rStyle w:val="1041"/>
                <w:sz w:val="22"/>
                <w:szCs w:val="22"/>
              </w:rPr>
            </w:r>
            <w:r>
              <w:rPr>
                <w:rStyle w:val="1041"/>
                <w:sz w:val="22"/>
                <w:szCs w:val="22"/>
              </w:rPr>
            </w:r>
          </w:p>
          <w:p>
            <w:pPr>
              <w:pStyle w:val="1042"/>
              <w:ind w:firstLine="547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детей, получающих услуги дополнительного образования в организациях всех форм собственности, на 31.12.2024 года составила  </w:t>
            </w:r>
            <w:r>
              <w:rPr>
                <w:sz w:val="22"/>
                <w:szCs w:val="22"/>
                <w:u w:val="single"/>
              </w:rPr>
              <w:t xml:space="preserve">4 149</w:t>
            </w:r>
            <w:r>
              <w:rPr>
                <w:sz w:val="22"/>
                <w:szCs w:val="22"/>
              </w:rPr>
              <w:t xml:space="preserve">_ 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человек (без учета сферы культуры) (на 31.12.2023 – 4 135 человек (без учета сферы культуры), в том числе получающих услуги дополнительного образования в организациях частной формы собственности, 125 человек (в 2023 году -  94 человека).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4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01.09.2023 года</w:t>
            </w:r>
            <w:r>
              <w:rPr>
                <w:sz w:val="22"/>
                <w:szCs w:val="22"/>
              </w:rPr>
              <w:t xml:space="preserve"> в Печенгском муниципальном округе введен социальный сер</w:t>
            </w:r>
            <w:r>
              <w:rPr>
                <w:sz w:val="22"/>
                <w:szCs w:val="22"/>
              </w:rPr>
              <w:t xml:space="preserve">тификат по направлению деятельности «реализация дополнительных образовательных программ» (за исключением дополнительных программ в области искусства), разработаны все нормативно-правовые акты для формирования и исполнения муниципального социального заказа.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4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развития конкуренции на рынке услуг допол</w:t>
            </w:r>
            <w:r>
              <w:rPr>
                <w:sz w:val="22"/>
                <w:szCs w:val="22"/>
              </w:rPr>
              <w:t xml:space="preserve">нительного образования детей – обеспечение повышения удовлетворенности потребителей качеством и выбором услуг путем создания условий для развития деятельности организаций дополнительного образования негосударственной (немуниципальной) формы собственности.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4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Перспективы развития рынка: увеличение доли организаций частной формы собственности в сфере услуг дополнительного образования детей.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47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Проблемы: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numPr>
                <w:ilvl w:val="0"/>
                <w:numId w:val="34"/>
              </w:numPr>
              <w:ind w:left="0" w:firstLine="547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недостаточная платежеспособность населения;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numPr>
                <w:ilvl w:val="0"/>
                <w:numId w:val="34"/>
              </w:numPr>
              <w:ind w:left="0" w:firstLine="54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недостаточное обеспечение разнообразия направлений деятельности в частных организациях дополнительного образования.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4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развития конкуренции на рынке услуг дополнительного образования детей – обеспечение повышения удовлетворенности потребителей качеством и выбором услуг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9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Style w:val="1041"/>
                <w:rFonts w:eastAsia="Calibri"/>
                <w:sz w:val="22"/>
                <w:szCs w:val="22"/>
              </w:rPr>
              <w:t xml:space="preserve">Внедрение и распространение целе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вой модели развития системы обра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зования детей в Печенгском муниципальном округе, включающей модель персони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фицированного финансирования дополнительного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Style w:val="1041"/>
                <w:rFonts w:eastAsia="Calibri"/>
                <w:sz w:val="22"/>
                <w:szCs w:val="22"/>
              </w:rPr>
              <w:t xml:space="preserve">Ограниченность выбо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ра детьми и родителя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ми доступных допол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нительных общеразви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вающих программ. Отсутствие равных условий для доступа 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бюджетным средствам для муниципальных, част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ных организаций и ин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дивидуальных пред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принимателей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4" w:type="dxa"/>
            <w:textDirection w:val="lrTb"/>
            <w:noWrap w:val="false"/>
          </w:tcPr>
          <w:p>
            <w:pPr>
              <w:tabs>
                <w:tab w:val="center" w:pos="1486" w:leader="none"/>
                <w:tab w:val="right" w:pos="2309" w:leader="none"/>
              </w:tabs>
              <w:rPr>
                <w:sz w:val="22"/>
                <w:szCs w:val="22"/>
              </w:rPr>
            </w:pPr>
            <w:r>
              <w:rPr>
                <w:rStyle w:val="1041"/>
                <w:rFonts w:eastAsia="Calibri"/>
                <w:sz w:val="22"/>
                <w:szCs w:val="22"/>
              </w:rPr>
              <w:t xml:space="preserve">Доля детей 5-17 лет включи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тельно, проживающих на территории Печенгского муниципального округа, охваченных систе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мой персонифицированного финансирования дополни</w:t>
            </w:r>
            <w:r>
              <w:rPr>
                <w:sz w:val="22"/>
                <w:szCs w:val="22"/>
              </w:rPr>
              <w:t xml:space="preserve">тельного </w:t>
            </w:r>
            <w:r>
              <w:rPr>
                <w:sz w:val="22"/>
                <w:szCs w:val="22"/>
              </w:rPr>
              <w:t xml:space="preserve">образования </w:t>
            </w:r>
            <w:r>
              <w:rPr>
                <w:sz w:val="22"/>
                <w:szCs w:val="22"/>
              </w:rPr>
              <w:tab/>
              <w:t xml:space="preserve">де</w:t>
            </w:r>
            <w:r>
              <w:rPr>
                <w:sz w:val="22"/>
                <w:szCs w:val="22"/>
              </w:rPr>
              <w:t xml:space="preserve">те</w:t>
            </w:r>
            <w:r>
              <w:rPr>
                <w:sz w:val="22"/>
                <w:szCs w:val="22"/>
              </w:rPr>
              <w:t xml:space="preserve">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rStyle w:val="1041"/>
                <w:rFonts w:eastAsia="Calibri"/>
                <w:sz w:val="22"/>
                <w:szCs w:val="22"/>
              </w:rPr>
              <w:t xml:space="preserve">Обеспечение равных условий деятельности для организаций раз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ных форм собствен</w:t>
            </w:r>
            <w:r>
              <w:rPr>
                <w:rStyle w:val="1041"/>
                <w:rFonts w:eastAsia="Calibri"/>
                <w:sz w:val="22"/>
                <w:szCs w:val="22"/>
              </w:rPr>
              <w:t xml:space="preserve">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2022-2025 </w:t>
            </w:r>
            <w:r>
              <w:rPr>
                <w:sz w:val="22"/>
                <w:szCs w:val="22"/>
              </w:rPr>
              <w:t xml:space="preserve">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rPr>
                <w:rStyle w:val="1041"/>
                <w:rFonts w:eastAsia="Calibri"/>
                <w:sz w:val="22"/>
                <w:szCs w:val="22"/>
              </w:rPr>
            </w:pPr>
            <w:r>
              <w:rPr>
                <w:rStyle w:val="1041"/>
                <w:rFonts w:eastAsia="Calibri"/>
                <w:sz w:val="22"/>
                <w:szCs w:val="22"/>
              </w:rPr>
              <w:t xml:space="preserve">Отдел образования (Муниципальный опорный центр)</w:t>
            </w:r>
            <w:r>
              <w:rPr>
                <w:rStyle w:val="1041"/>
                <w:rFonts w:eastAsia="Calibri"/>
                <w:sz w:val="22"/>
                <w:szCs w:val="22"/>
              </w:rPr>
            </w:r>
            <w:r>
              <w:rPr>
                <w:rStyle w:val="1041"/>
                <w:rFonts w:eastAsia="Calibri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4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 информационно-разъяснительной кампании в процессе работы в системе ПФДО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Низкая информированность населения и специалистов образовательных организаций всех форм собственности о новых организационно-экономических механизмах в системе дополнительного образования детей в Печенгском муниципальном округе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4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-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уровня информированности организаций и населения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2022 - 2025 годы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7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ind w:right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 организаций частной формы собственности в сфере дополнительного образования детей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4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услуг розничной торговли лекарственными препаратами, медицинскими изделиями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Печенгском муниципальном округе розничная торговля лекарственными препаратами, медицинскими изделиями и сопутствующими товарами осуществляется юридическими лицами и индивидуальными предпринимателями.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настоящее время в Печенгском муниципальном округе рынок розничной торговли лекарственными средствами сформирован в г. Заполярный, </w:t>
              <w:br/>
              <w:t xml:space="preserve">пгт. Никель.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В мае 2025 в пгт. Печенга открылся новый аптечный пункт, он рпботает на базе амбулатории.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г. Заполярный осуществляют деятельность 8 негосударственных аптечных пунктов отпуска фармацевтической продукции (аптеки и аптечные пункты), которые имеют лицензию на осуществление розничной торговли фармацевтической продукцией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  <w:t xml:space="preserve"> пгт. Никель – </w:t>
            </w:r>
            <w:r>
              <w:rPr>
                <w:sz w:val="22"/>
                <w:szCs w:val="22"/>
              </w:rPr>
              <w:t xml:space="preserve">7 (из них:  2 аптеки открылись в 2025 году).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 же время существует необходимость обеспечения доступности фармацевтической продукции в малонаселенных и отдаленных населенных пунктах Печенгского муниципального </w:t>
            </w:r>
            <w:r>
              <w:rPr>
                <w:sz w:val="22"/>
                <w:szCs w:val="22"/>
              </w:rPr>
              <w:t xml:space="preserve">округа. Основными причинами отсутствия сети аптечных организаций в малонаселенных пунктах в отдаленных местностях Печенгского муниципального округа являются: низкая плотность населения, удаленность от основных трасс.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целом в Печенгском муниципальном округе созданы благоприятные условия для содействия развитию конкуренции на рынке розничной торговли лекарственными препаратами, медицинскими изделиями и сопутствующими товарами.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0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 инвестиционной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43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строительства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trike/>
                <w:sz w:val="22"/>
                <w:szCs w:val="22"/>
              </w:rPr>
            </w:pPr>
            <w:r>
              <w:rPr>
                <w:b/>
                <w:strike/>
                <w:sz w:val="22"/>
                <w:szCs w:val="22"/>
              </w:rPr>
              <w:t xml:space="preserve"> 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Важнейшим инструментом создания конкурентной среды в строительной отрасли является конкурс</w:t>
            </w:r>
            <w:r>
              <w:rPr>
                <w:sz w:val="22"/>
                <w:szCs w:val="22"/>
              </w:rPr>
              <w:t xml:space="preserve">ная система размещения заказов на работы, услуги и поставки. В России конкурсный отбор поставщиков товаров и услуг для государственных и муниципальных нужд является обязательным условием размещения заказов и регламентируется федеральным законодательством.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rPr>
                <w:strike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Строительные организации в Печенгском муниципальном округе составляют предприятия частной формы собственности.</w:t>
            </w:r>
            <w:r>
              <w:rPr>
                <w:strike/>
                <w:sz w:val="22"/>
                <w:szCs w:val="22"/>
              </w:rPr>
              <w:t xml:space="preserve"> 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</w:tr>
      <w:tr>
        <w:tblPrEx/>
        <w:trPr>
          <w:trHeight w:val="162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ind w:right="12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предоставления муниципальной услуги по выдаче градостроительного плана земельного участка (ГПЗУ) в электронном виде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ind w:right="1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административной нагрузки при прохождении процедур в сфере строительства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доли предоставленной муниципальной услуги в электронном виде в общем объеме оказанных услуг по выдаче ГПЗУ до </w:t>
            </w:r>
            <w:r>
              <w:rPr>
                <w:sz w:val="22"/>
                <w:szCs w:val="22"/>
              </w:rPr>
              <w:t xml:space="preserve">(исходное значение – 1%)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tabs>
                <w:tab w:val="center" w:pos="438" w:leader="none"/>
                <w:tab w:val="center" w:pos="155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Снижение </w:t>
            </w:r>
            <w:r>
              <w:rPr>
                <w:sz w:val="22"/>
                <w:szCs w:val="22"/>
              </w:rPr>
              <w:tab/>
              <w:t xml:space="preserve">административных барьеров при осуществлении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 на рынке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постоянно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14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ind w:right="12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предоставления муниципальной услуги по выдаче разрешения на строительство, а также разрешения на ввод объекта в эксплуатацию исключительно в электронном виде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ind w:right="1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административной нагрузки при прохождении процедур в сфере строительства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доли предоставленных муниципальной услуги в электронном виде в общем объеме оказанных услуг по выдаче разрешения на строительство </w:t>
            </w:r>
            <w:r>
              <w:rPr>
                <w:sz w:val="22"/>
                <w:szCs w:val="22"/>
              </w:rPr>
              <w:t xml:space="preserve">до 50%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tabs>
                <w:tab w:val="center" w:pos="438" w:leader="none"/>
                <w:tab w:val="center" w:pos="155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Снижение </w:t>
            </w:r>
            <w:r>
              <w:rPr>
                <w:sz w:val="22"/>
                <w:szCs w:val="22"/>
              </w:rPr>
              <w:tab/>
              <w:t xml:space="preserve">административных барьеров при осуществлении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деятельности на рынке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постоянно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33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ind w:right="13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опубликования и актуализации на официальном сайте Печенгского муниципального округа в информационно-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телекоммуникационной сети Интернет административных регламентов предоставления муниципальных услуг по выдаче градостроительного плана земельного участка, разрешения на строительство и разрешения на ввод объекта в эксплуатацию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ind w:right="1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информированности хозяйствующих субъектов, осуществляющих деятельность на данном рынке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на официальном сайте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4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информированности хозяйствующих субъектов, осуществляющих деятельность на данном рынке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Постоянно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КУИ,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63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ind w:right="13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информации для государственной информационной системы обеспечения градостроительно</w:t>
            </w:r>
            <w:r>
              <w:rPr>
                <w:sz w:val="22"/>
                <w:szCs w:val="22"/>
              </w:rPr>
              <w:t xml:space="preserve">й деятельности (далее – ГИСОГД) регионального уровня в электронном виде с функциями автоматизированной информационно-аналитической поддержки осуществления полномочий в области градостроительной деятельности, позволяющей в том числе осуществлять подготовку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градостроительного плана земельного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</w:t>
            </w:r>
            <w:r>
              <w:rPr>
                <w:sz w:val="22"/>
                <w:szCs w:val="22"/>
              </w:rPr>
              <w:t xml:space="preserve">астка, разрешения на отклонение от предельных параметров разрешенного строительства, реконструкции объектов капитального строительства, разрешения на условно разрешенный вид использования земельного участка или объекта капитального строительства, разрешени</w:t>
            </w:r>
            <w:r>
              <w:rPr>
                <w:sz w:val="22"/>
                <w:szCs w:val="22"/>
              </w:rPr>
              <w:t xml:space="preserve">я на строительство, разрешения на ввод объекта в эксплуатацию, уведомления о соответствии планируемых строительстве или реконструкции объектов капитального строительства установленным параметрам, уведомления о соответствии построенных или реконструируемых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1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объектов капитального строительства  </w:t>
            </w:r>
            <w:r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ind w:right="1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органов государственной власти, органов местного самоуправления, физических и юридических лиц достоверными сведениями, необходимыми для осуществления градостроительной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Полнота и своевременность предоставление информации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tabs>
                <w:tab w:val="center" w:pos="438" w:leader="none"/>
                <w:tab w:val="center" w:pos="155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Снижение </w:t>
            </w:r>
            <w:r>
              <w:rPr>
                <w:sz w:val="22"/>
                <w:szCs w:val="22"/>
              </w:rPr>
              <w:tab/>
              <w:t xml:space="preserve">административных барьеров ведения деятельности, информационно-аналитическая поддержка осуществления полномочий в области градостроительной деятельности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trike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 xml:space="preserve">постоянно</w:t>
            </w:r>
            <w:r>
              <w:rPr>
                <w:strike/>
                <w:color w:val="ff0000"/>
                <w:sz w:val="22"/>
                <w:szCs w:val="22"/>
              </w:rPr>
              <w:t xml:space="preserve"> </w:t>
            </w:r>
            <w:r>
              <w:rPr>
                <w:strike/>
                <w:sz w:val="22"/>
                <w:szCs w:val="22"/>
                <w:lang w:val="en-US"/>
              </w:rPr>
            </w:r>
            <w:r>
              <w:rPr>
                <w:strike/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выполнения работ по благоустройству городской среды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выполнен</w:t>
            </w:r>
            <w:r>
              <w:rPr>
                <w:sz w:val="22"/>
                <w:szCs w:val="22"/>
              </w:rPr>
              <w:t xml:space="preserve">ия работ по благоустройству городской среды включает в себя уборку муниципальных территорий, ремонт тротуаров, озеленение, создание пешеходной инфраструктуры, благоустройство пустырей и заброшенных зон, за исключением благоустройства автомобильных дорог.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осуществлении сбора информации об объеме рынка выполнения работ по благоустройству городской среды в качестве источника получения информации использовались: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numPr>
                <w:ilvl w:val="0"/>
                <w:numId w:val="38"/>
              </w:num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структурных подразделений, подведомственных муниципальных учреждений администрации Печенгского муниципального округа;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numPr>
                <w:ilvl w:val="0"/>
                <w:numId w:val="38"/>
              </w:num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закупок муниц</w:t>
            </w:r>
            <w:r>
              <w:rPr>
                <w:sz w:val="22"/>
                <w:szCs w:val="22"/>
              </w:rPr>
              <w:t xml:space="preserve">ипальных учреждений Печенгского муниципального округа, разработанный в соответствии со статьей 17 Федерального закона от 05.04.2013 № 44 ФЗ «О контрактной системе в сфере закупок товаров, работ, услуг для обеспечения государственных и муниципальных нужд»;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numPr>
                <w:ilvl w:val="0"/>
                <w:numId w:val="38"/>
              </w:numPr>
              <w:ind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о проведенных закупках муниципальными учреждениями в части заключенных контрактов на выполнение работ.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84"/>
              <w:ind w:left="0"/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В соответствии с данными Мурманскстата, выделить организации, которые выполняют работы по благоустройству городской среды, не представляется возмо</w:t>
            </w:r>
            <w:r>
              <w:rPr>
                <w:sz w:val="22"/>
                <w:szCs w:val="22"/>
              </w:rPr>
              <w:t xml:space="preserve">жным в связи с тем, что данные работы могут выполнять любые организации, осуществляющие строительные работы. Кроме того, на территории Печенгского муниципального округа 1 индивидуальный предприниматель осуществляет деятельность по благоустройству ландшафта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Мероприятия по формированию комфортной городской среды реализуются в рамках муниципальной программы Печенгского муниципального округа «Комфортная среда проживани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я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».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состоянию на 01.01.2</w:t>
            </w:r>
            <w:r>
              <w:rPr>
                <w:sz w:val="22"/>
                <w:szCs w:val="22"/>
              </w:rPr>
              <w:t xml:space="preserve">024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года </w:t>
            </w:r>
            <w:r>
              <w:rPr>
                <w:sz w:val="22"/>
                <w:szCs w:val="22"/>
              </w:rPr>
              <w:t xml:space="preserve">общий объем работ по благоустройству городской территории в Печенгском муниципальном округе составил </w:t>
            </w:r>
            <w:r>
              <w:rPr>
                <w:sz w:val="22"/>
                <w:szCs w:val="22"/>
              </w:rPr>
              <w:t xml:space="preserve">144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528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t xml:space="preserve">3 т</w:t>
            </w:r>
            <w:r>
              <w:rPr>
                <w:sz w:val="22"/>
                <w:szCs w:val="22"/>
              </w:rPr>
              <w:t xml:space="preserve">ыс. рублей</w:t>
            </w:r>
            <w:r>
              <w:rPr>
                <w:sz w:val="22"/>
                <w:szCs w:val="22"/>
              </w:rPr>
              <w:t xml:space="preserve">, в т.ч. организациями частной формы </w:t>
            </w:r>
            <w:r>
              <w:rPr>
                <w:sz w:val="22"/>
                <w:szCs w:val="22"/>
              </w:rPr>
              <w:t xml:space="preserve">собственности – 93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091,0 тыс. рублей, что составляет 64,4 % объе</w:t>
            </w:r>
            <w:r>
              <w:rPr>
                <w:sz w:val="22"/>
                <w:szCs w:val="22"/>
              </w:rPr>
              <w:t xml:space="preserve">ма (доли) выручки организаций частной формы собственности.</w:t>
            </w:r>
            <w:r>
              <w:rPr>
                <w:sz w:val="22"/>
                <w:szCs w:val="22"/>
              </w:rPr>
              <w:t xml:space="preserve"> По состоянию</w:t>
            </w:r>
            <w:r>
              <w:rPr>
                <w:sz w:val="22"/>
                <w:szCs w:val="22"/>
              </w:rPr>
              <w:t xml:space="preserve"> на 01.01.2025 года общий объем составил – 124 653,7 тыс. рублей, в т.ч. частными организациями – 120 690,4 тыс. рублей, что составляет 96,8%.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1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 организаций частной формы собственности в сфере благоустройства городской среды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5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Сфера наружной рекламы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4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территории Печенгского муниципального округа по данным, полученным из Единого реестра субъектов малого и среднего предпринимательства, деятельность рекламных агенств по основному виду экономической деятельности 73.11 «Деятельность рекламных агенств» </w:t>
            </w:r>
            <w:r>
              <w:rPr>
                <w:sz w:val="22"/>
                <w:szCs w:val="22"/>
              </w:rPr>
              <w:t xml:space="preserve">осуществляют </w:t>
            </w:r>
            <w:r>
              <w:rPr>
                <w:sz w:val="22"/>
                <w:szCs w:val="22"/>
              </w:rPr>
              <w:t xml:space="preserve">11</w:t>
            </w:r>
            <w:r>
              <w:rPr>
                <w:sz w:val="22"/>
                <w:szCs w:val="22"/>
              </w:rPr>
              <w:t xml:space="preserve"> индивидуальных предпринимателей и 1 общество с ограниченной ответственностью.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4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Предприятия с государственным и муниципальным участием, осуществляющие свою деятельность в сфере наружной рекламы на территории Печенгского муниципального округа, отсутствуют.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84"/>
              <w:ind w:left="0" w:right="137" w:firstLine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Постан</w:t>
            </w: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влением Правительства Мурманской области от 03.03.2022 № 133-ПП «О мерах по реализации Закона Мурманской области от 10.12.2021 </w:t>
              <w:br/>
              <w:t xml:space="preserve">№ 2709-01-ЗМО «О перераспределении отдельных полномочий в сфере рекламы между органами местного самоуправления муниципальных обр</w:t>
            </w:r>
            <w:r>
              <w:rPr>
                <w:sz w:val="22"/>
                <w:szCs w:val="22"/>
              </w:rPr>
              <w:t xml:space="preserve">азований Мурманской области и органами государственной власти Мурманской области» утверждены типы и виды рекламных конструкций, допустимые и недопустимые к установке на территории муниципальных образований Мурманской области, в том числе требования к таким</w:t>
            </w:r>
            <w:r>
              <w:rPr>
                <w:sz w:val="22"/>
                <w:szCs w:val="22"/>
              </w:rPr>
              <w:t xml:space="preserve"> рекламным конструкциям, с учетом необходимости сохранения внешнего архитектурного облика сложившейся застройки поселений или муниципальных и городских округов Мурманской области; порядок утверждения схем размещения рекламных конструкций на земельных участ</w:t>
            </w:r>
            <w:r>
              <w:rPr>
                <w:sz w:val="22"/>
                <w:szCs w:val="22"/>
              </w:rPr>
              <w:t xml:space="preserve">ках независимо от форм собственности, а также на зданиях или ином недвижимом имуществе, находящихся в государственной собственности Мурманской области или муниципальной собственности муниципальных образований Мурманской области и внесения в них изменений.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84"/>
              <w:ind w:left="0" w:right="137" w:firstLine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Установлен предельный срок, на который могут заключаться договоры на установку и эксплуатацию рекламных конструкций для всех типов и видов рекламных конструкций и применяемых технологий демонстрации рекламы – 5 лет.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4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Полномочия в сфере наружной рекламы в части утверждения схемы размещения рекламных конструкций и внесения в нее изменений относятся к полномочиям Министерства градостроительства и благоустройства Мурманской области.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84"/>
              <w:ind w:left="0" w:right="137" w:firstLine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 основные мероприятия по содействию размеще</w:t>
            </w:r>
            <w:r>
              <w:rPr>
                <w:sz w:val="22"/>
                <w:szCs w:val="22"/>
              </w:rPr>
              <w:t xml:space="preserve">ния рекламных конструкций, поддержки конкурентной среды, мониторингу установки и эксплуатации рекламных конструкций, а также другие мероприятия осуществляются в рамках полномочий органов местного самоуправления муниципальных образований Мурманской области.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7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pStyle w:val="984"/>
              <w:ind w:left="0"/>
              <w:jc w:val="both"/>
              <w:rPr>
                <w:spacing w:val="-5"/>
                <w:sz w:val="22"/>
                <w:szCs w:val="22"/>
                <w:lang w:val="en-US"/>
              </w:rPr>
            </w:pPr>
            <w:r>
              <w:rPr>
                <w:spacing w:val="-5"/>
                <w:sz w:val="22"/>
                <w:szCs w:val="22"/>
                <w:lang w:val="en-US"/>
              </w:rPr>
              <w:t xml:space="preserve">1</w:t>
            </w:r>
            <w:r>
              <w:rPr>
                <w:spacing w:val="-5"/>
                <w:sz w:val="22"/>
                <w:szCs w:val="22"/>
              </w:rPr>
              <w:t xml:space="preserve">0</w:t>
            </w:r>
            <w:r>
              <w:rPr>
                <w:spacing w:val="-5"/>
                <w:sz w:val="22"/>
                <w:szCs w:val="22"/>
                <w:lang w:val="en-US"/>
              </w:rPr>
              <w:t xml:space="preserve">.1.</w:t>
            </w:r>
            <w:r>
              <w:rPr>
                <w:spacing w:val="-5"/>
                <w:sz w:val="22"/>
                <w:szCs w:val="22"/>
                <w:lang w:val="en-US"/>
              </w:rPr>
            </w:r>
            <w:r>
              <w:rPr>
                <w:spacing w:val="-5"/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pStyle w:val="998"/>
              <w:ind w:right="54"/>
              <w:jc w:val="both"/>
              <w:rPr>
                <w:rFonts w:eastAsia="Times New Roman"/>
                <w:spacing w:val="-5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pacing w:val="-5"/>
                <w:sz w:val="22"/>
                <w:szCs w:val="22"/>
                <w:lang w:eastAsia="ru-RU"/>
              </w:rPr>
              <w:t xml:space="preserve">Мониторинг установки и эксплуатации рекламных конструкций на основании утвержденных схем размещения рекламных конструкций Мурманской области </w:t>
            </w:r>
            <w:r>
              <w:rPr>
                <w:rFonts w:eastAsia="Times New Roman"/>
                <w:spacing w:val="-5"/>
                <w:sz w:val="22"/>
                <w:szCs w:val="22"/>
                <w:lang w:eastAsia="ru-RU"/>
              </w:rPr>
            </w:r>
            <w:r>
              <w:rPr>
                <w:rFonts w:eastAsia="Times New Roman"/>
                <w:spacing w:val="-5"/>
                <w:sz w:val="22"/>
                <w:szCs w:val="22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pStyle w:val="998"/>
              <w:ind w:right="137"/>
              <w:jc w:val="both"/>
              <w:rPr>
                <w:rFonts w:eastAsia="Times New Roman"/>
                <w:spacing w:val="-5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pacing w:val="-5"/>
                <w:sz w:val="22"/>
                <w:szCs w:val="22"/>
                <w:lang w:eastAsia="ru-RU"/>
              </w:rPr>
              <w:t xml:space="preserve">Содействие развитию конкуренции путем недопущения установки и эксплуатации незаконных рекламных конструкций </w:t>
            </w:r>
            <w:r>
              <w:rPr>
                <w:rFonts w:eastAsia="Times New Roman"/>
                <w:spacing w:val="-5"/>
                <w:sz w:val="22"/>
                <w:szCs w:val="22"/>
                <w:lang w:eastAsia="ru-RU"/>
              </w:rPr>
            </w:r>
            <w:r>
              <w:rPr>
                <w:rFonts w:eastAsia="Times New Roman"/>
                <w:spacing w:val="-5"/>
                <w:sz w:val="22"/>
                <w:szCs w:val="22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pStyle w:val="1004"/>
              <w:ind w:right="128"/>
              <w:jc w:val="both"/>
              <w:rPr>
                <w:rFonts w:ascii="Times New Roman" w:hAnsi="Times New Roman" w:cs="Times New Roman"/>
                <w:color w:val="000000"/>
                <w:spacing w:val="-5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lang w:val="en-US"/>
              </w:rPr>
              <w:t xml:space="preserve">Проведение контрольных мероприятий</w:t>
            </w:r>
            <w:r>
              <w:rPr>
                <w:rFonts w:ascii="Times New Roman" w:hAnsi="Times New Roman" w:cs="Times New Roman"/>
                <w:color w:val="000000"/>
                <w:spacing w:val="-5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pacing w:val="-5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pStyle w:val="998"/>
              <w:ind w:right="53"/>
              <w:jc w:val="both"/>
              <w:rPr>
                <w:rFonts w:eastAsia="Times New Roman"/>
                <w:spacing w:val="-5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pacing w:val="-5"/>
                <w:sz w:val="22"/>
                <w:szCs w:val="22"/>
                <w:lang w:eastAsia="ru-RU"/>
              </w:rPr>
              <w:t xml:space="preserve">Ликвидация и профилактика недопущения установки и эксплуатации незаконных рекламных конструкций </w:t>
            </w:r>
            <w:r>
              <w:rPr>
                <w:rFonts w:eastAsia="Times New Roman"/>
                <w:spacing w:val="-5"/>
                <w:sz w:val="22"/>
                <w:szCs w:val="22"/>
                <w:lang w:eastAsia="ru-RU"/>
              </w:rPr>
            </w:r>
            <w:r>
              <w:rPr>
                <w:rFonts w:eastAsia="Times New Roman"/>
                <w:spacing w:val="-5"/>
                <w:sz w:val="22"/>
                <w:szCs w:val="22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pacing w:val="-5"/>
                <w:sz w:val="22"/>
                <w:szCs w:val="22"/>
                <w:lang w:val="en-US"/>
              </w:rPr>
            </w:pPr>
            <w:r>
              <w:rPr>
                <w:spacing w:val="-5"/>
                <w:sz w:val="22"/>
                <w:szCs w:val="22"/>
                <w:lang w:val="en-US"/>
              </w:rPr>
              <w:t xml:space="preserve">2022-2025 годы</w:t>
            </w:r>
            <w:r>
              <w:rPr>
                <w:spacing w:val="-5"/>
                <w:sz w:val="22"/>
                <w:szCs w:val="22"/>
                <w:lang w:val="en-US"/>
              </w:rPr>
            </w:r>
            <w:r>
              <w:rPr>
                <w:spacing w:val="-5"/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pStyle w:val="984"/>
              <w:ind w:left="0"/>
              <w:jc w:val="both"/>
              <w:rPr>
                <w:spacing w:val="-5"/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 xml:space="preserve">КУИ</w:t>
            </w:r>
            <w:r>
              <w:rPr>
                <w:spacing w:val="-5"/>
                <w:sz w:val="22"/>
                <w:szCs w:val="22"/>
              </w:rPr>
            </w:r>
            <w:r>
              <w:rPr>
                <w:spacing w:val="-5"/>
                <w:sz w:val="22"/>
                <w:szCs w:val="22"/>
              </w:rPr>
            </w:r>
          </w:p>
        </w:tc>
      </w:tr>
      <w:tr>
        <w:tblPrEx/>
        <w:trPr>
          <w:trHeight w:val="36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ритуальных услуг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5"/>
                <w:szCs w:val="25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ритуаль</w:t>
            </w:r>
            <w:r>
              <w:rPr>
                <w:sz w:val="22"/>
                <w:szCs w:val="22"/>
              </w:rPr>
              <w:t xml:space="preserve">ных услуг является одной из наиболее социально значимых отраслей и затрагивает интересы населения Печенгского муниципального округа. Согласно информации, размещенной на сайте Федеральной налоговой службы, в Печенгском муниципальном округе зарегистрировано 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 хозяйствующих субъектов, оказывающих услуги похорон и предоставления связанных с ними услуг (96.03): </w:t>
            </w:r>
            <w:r>
              <w:rPr>
                <w:sz w:val="22"/>
                <w:szCs w:val="22"/>
              </w:rPr>
              <w:t xml:space="preserve">2 индивидуальных предпринимателя, МУП «Жилищный сервис», МБУ «Никельская дорожная служба», МБУ «Ремонтно-эксплуатационная служба».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Министерством строительства и жилищно-коммунального хозяйства Российской Федерации совместно с ФАС России разработ</w:t>
            </w:r>
            <w:r>
              <w:rPr>
                <w:sz w:val="22"/>
                <w:szCs w:val="22"/>
              </w:rPr>
              <w:t xml:space="preserve">ан проект федерального закона «О похоронном деле в Российской Федерации и о внесении изменений в отдельные законодательные акты Российской Федерации», который в том числе регулирует правоотношения негосударственного сектора в указанной сфере деятельности.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Законопроектом предусмотрено нали</w:t>
            </w:r>
            <w:r>
              <w:rPr>
                <w:sz w:val="22"/>
                <w:szCs w:val="22"/>
              </w:rPr>
              <w:t xml:space="preserve">чие уполномоченного органа исполнительной власти субъекта Российской Федерации в сфере похоронного дела, а также наличие уполномоченных органов на муниципальном уровне. После принятия соответствующего Закона и определения органа власти как на федеральном, </w:t>
            </w:r>
            <w:r>
              <w:rPr>
                <w:sz w:val="22"/>
                <w:szCs w:val="22"/>
              </w:rPr>
              <w:t xml:space="preserve">региональном, </w:t>
            </w:r>
            <w:r>
              <w:rPr>
                <w:sz w:val="22"/>
                <w:szCs w:val="22"/>
              </w:rPr>
              <w:t xml:space="preserve">так и на </w:t>
            </w:r>
            <w:r>
              <w:rPr>
                <w:sz w:val="22"/>
                <w:szCs w:val="22"/>
              </w:rPr>
              <w:t xml:space="preserve">муниципальном</w:t>
            </w:r>
            <w:r>
              <w:rPr>
                <w:sz w:val="22"/>
                <w:szCs w:val="22"/>
              </w:rPr>
              <w:t xml:space="preserve"> уровнях будет определен </w:t>
            </w:r>
            <w:r>
              <w:rPr>
                <w:sz w:val="22"/>
                <w:szCs w:val="22"/>
              </w:rPr>
              <w:t xml:space="preserve">ОМСУ</w:t>
            </w:r>
            <w:r>
              <w:rPr>
                <w:sz w:val="22"/>
                <w:szCs w:val="22"/>
              </w:rPr>
              <w:t xml:space="preserve">, ответственный за развитие рынка ритуальных услуг и осуществление соответствующих мероприятий.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Основные барьеры выхода на рынок: сложность получения доступа к земельным участкам, высокие налоги.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Ритуа</w:t>
            </w:r>
            <w:r>
              <w:rPr>
                <w:sz w:val="22"/>
                <w:szCs w:val="22"/>
              </w:rPr>
              <w:t xml:space="preserve">льные услуги, в том числе услуги по погребению, предоставляются хозяйствующими субъектами, как правило, частной формы собственности. Работы по содержанию кладбищ осуществляются преимущественно частными коммерческими организациями, заключившими договоры на </w:t>
            </w:r>
            <w:r>
              <w:rPr>
                <w:sz w:val="22"/>
                <w:szCs w:val="22"/>
              </w:rPr>
              <w:t xml:space="preserve">выполнение данных работ 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Основными перспективами развития рынка являются: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снижение административных барьеров и коррупционных факторов;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обеспечение качества и доступности ритуальных услуг для всех категорий населения;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обеспечение прозрачности информации о стоимости ритуальных услуг;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- обеспечение открытости и прозрачности процедур предоставления мест захоронения.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197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strike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Организация работы по включению в федеральную государственную систему «Единая система справочной информации» сведений о кладбищах и местах захоронений на них</w:t>
            </w:r>
            <w:r>
              <w:rPr>
                <w:strike/>
                <w:color w:val="ff0000"/>
                <w:sz w:val="22"/>
                <w:szCs w:val="22"/>
              </w:rPr>
              <w:t xml:space="preserve"> 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Закрытость и непрозрачность процедур предоставления мест захоронения, отсутствие реестра и мест захоронений на них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инвентаризации кладбищ и мест захоронения на них, создание реестра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Инвентаризация кладбищ и мест захоронения на них завершена, создан единый реестр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trike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31.12.2025</w:t>
            </w:r>
            <w:r>
              <w:rPr>
                <w:strike/>
                <w:color w:val="ff0000"/>
                <w:sz w:val="22"/>
                <w:szCs w:val="22"/>
                <w:vertAlign w:val="superscript"/>
              </w:rPr>
              <w:t xml:space="preserve"> 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Отдел строительства и ЖКХ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</w:tr>
      <w:tr>
        <w:tblPrEx/>
        <w:trPr>
          <w:trHeight w:val="197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strike/>
                <w:color w:val="ff0000"/>
                <w:sz w:val="22"/>
                <w:szCs w:val="22"/>
                <w:highlight w:val="yellow"/>
              </w:rPr>
            </w:pPr>
            <w:r>
              <w:rPr>
                <w:color w:val="auto"/>
                <w:sz w:val="22"/>
                <w:szCs w:val="22"/>
              </w:rPr>
              <w:t xml:space="preserve">Организация работы по включению в федеральную государственную систему «Единая система справочной информации» сведений о хозяйствующих субъектах, оказывающих услуги по организации похорон, зарегистрированных на территории Печенгского муниципального округа</w:t>
            </w:r>
            <w:r>
              <w:rPr>
                <w:strike/>
                <w:color w:val="ff0000"/>
                <w:sz w:val="22"/>
                <w:szCs w:val="22"/>
                <w:highlight w:val="yellow"/>
              </w:rPr>
            </w:r>
            <w:r>
              <w:rPr>
                <w:strike/>
                <w:color w:val="ff0000"/>
                <w:sz w:val="22"/>
                <w:szCs w:val="22"/>
                <w:highlight w:val="yellow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Административные барьеры и коррупционные факторы 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 xml:space="preserve">Создан реестр</w:t>
            </w:r>
            <w:r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>
              <w:rPr>
                <w:color w:val="auto"/>
                <w:sz w:val="22"/>
                <w:szCs w:val="22"/>
                <w:lang w:val="en-US"/>
              </w:rPr>
            </w:r>
            <w:r>
              <w:rPr>
                <w:color w:val="auto"/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rPr>
                <w:rStyle w:val="985"/>
                <w:sz w:val="22"/>
                <w:szCs w:val="22"/>
                <w:lang w:val="en-US"/>
              </w:rPr>
            </w:pPr>
            <w:r/>
            <w:hyperlink r:id="rId13" w:tooltip="https://esnsi.gosuslugi.ru/classifiers/19659/data?pg=1&amp;p=1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https://esnsi.gosuslugi.ru/classifiers/19659/data?pg=1&amp;p=1</w:t>
              </w:r>
            </w:hyperlink>
            <w:r>
              <w:rPr>
                <w:rStyle w:val="985"/>
                <w:sz w:val="22"/>
                <w:szCs w:val="22"/>
                <w:lang w:val="en-US"/>
              </w:rPr>
            </w:r>
            <w:r>
              <w:rPr>
                <w:rStyle w:val="985"/>
                <w:sz w:val="22"/>
                <w:szCs w:val="22"/>
                <w:lang w:val="en-US"/>
              </w:rPr>
            </w:r>
          </w:p>
          <w:p>
            <w:pPr>
              <w:rPr>
                <w:rStyle w:val="985"/>
                <w:sz w:val="22"/>
                <w:szCs w:val="22"/>
                <w:lang w:val="en-US"/>
              </w:rPr>
            </w:pPr>
            <w:r>
              <w:rPr>
                <w:rStyle w:val="985"/>
                <w:sz w:val="22"/>
                <w:szCs w:val="22"/>
                <w:lang w:val="en-US"/>
              </w:rPr>
              <w:t xml:space="preserve"> </w:t>
            </w:r>
            <w:r>
              <w:rPr>
                <w:rStyle w:val="985"/>
                <w:sz w:val="22"/>
                <w:szCs w:val="22"/>
                <w:lang w:val="en-US"/>
              </w:rPr>
            </w:r>
            <w:r>
              <w:rPr>
                <w:rStyle w:val="985"/>
                <w:sz w:val="22"/>
                <w:szCs w:val="22"/>
                <w:lang w:val="en-US"/>
              </w:rPr>
            </w:r>
          </w:p>
          <w:p>
            <w:pPr>
              <w:rPr>
                <w:rStyle w:val="985"/>
                <w:lang w:val="en-US"/>
              </w:rPr>
            </w:pPr>
            <w:r/>
            <w:hyperlink r:id="rId14" w:tooltip="https://esnsi.gosuslugi.ru/classifiers/19477/data?pg=1&amp;p=1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https://esnsi.gosuslugi.ru/classifiers/19477/data?pg=1&amp;p=1</w:t>
              </w:r>
            </w:hyperlink>
            <w:r>
              <w:rPr>
                <w:rStyle w:val="985"/>
                <w:lang w:val="en-US"/>
              </w:rPr>
            </w:r>
            <w:r>
              <w:rPr>
                <w:rStyle w:val="985"/>
                <w:lang w:val="en-US"/>
              </w:rPr>
            </w:r>
          </w:p>
          <w:p>
            <w:pPr>
              <w:rPr>
                <w:color w:val="auto"/>
                <w:sz w:val="22"/>
                <w:szCs w:val="22"/>
                <w:highlight w:val="yellow"/>
                <w:lang w:val="en-US"/>
              </w:rPr>
            </w:pPr>
            <w:r>
              <w:rPr>
                <w:color w:val="auto"/>
                <w:sz w:val="22"/>
                <w:szCs w:val="22"/>
                <w:highlight w:val="yellow"/>
                <w:lang w:val="en-US"/>
              </w:rPr>
            </w:r>
            <w:r>
              <w:rPr>
                <w:color w:val="auto"/>
                <w:sz w:val="22"/>
                <w:szCs w:val="22"/>
                <w:highlight w:val="yellow"/>
                <w:lang w:val="en-US"/>
              </w:rPr>
            </w:r>
            <w:r>
              <w:rPr>
                <w:color w:val="auto"/>
                <w:sz w:val="22"/>
                <w:szCs w:val="22"/>
                <w:highlight w:val="yellow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>
              <w:rPr>
                <w:color w:val="auto"/>
                <w:sz w:val="22"/>
                <w:szCs w:val="22"/>
              </w:rPr>
              <w:t xml:space="preserve">31.12.2025</w:t>
            </w:r>
            <w:r>
              <w:rPr>
                <w:color w:val="ff0000"/>
                <w:sz w:val="22"/>
                <w:szCs w:val="22"/>
                <w:highlight w:val="yellow"/>
              </w:rPr>
            </w:r>
            <w:r>
              <w:rPr>
                <w:color w:val="ff0000"/>
                <w:sz w:val="22"/>
                <w:szCs w:val="22"/>
                <w:highlight w:val="yellow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trike/>
                <w:color w:val="ff0000"/>
                <w:sz w:val="22"/>
                <w:szCs w:val="22"/>
                <w:highlight w:val="yellow"/>
              </w:rPr>
            </w:pPr>
            <w:r>
              <w:rPr>
                <w:color w:val="auto"/>
                <w:sz w:val="22"/>
                <w:szCs w:val="22"/>
              </w:rPr>
              <w:t xml:space="preserve">Отдел строительства и ЖКХ</w:t>
            </w:r>
            <w:r>
              <w:rPr>
                <w:strike/>
                <w:color w:val="ff0000"/>
                <w:sz w:val="22"/>
                <w:szCs w:val="22"/>
                <w:highlight w:val="yellow"/>
              </w:rPr>
            </w:r>
            <w:r>
              <w:rPr>
                <w:strike/>
                <w:color w:val="ff0000"/>
                <w:sz w:val="22"/>
                <w:szCs w:val="22"/>
                <w:highlight w:val="yellow"/>
              </w:rPr>
            </w:r>
          </w:p>
        </w:tc>
      </w:tr>
      <w:tr>
        <w:tblPrEx/>
        <w:trPr>
          <w:trHeight w:val="20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1.5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6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tcW w:w="782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торговли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Тяжелые природно-климатические условия, сезонный отток населения, переориентирование потребителей в сетевые магазины в формате «магазин у дома», рас</w:t>
            </w:r>
            <w:r>
              <w:rPr>
                <w:sz w:val="22"/>
                <w:szCs w:val="22"/>
              </w:rPr>
              <w:t xml:space="preserve">положенные в шаговой доступности в связи с особенностями планировочной структуры застройки населенных пунктов Печенгского муниципального округа, отличающейся плотностью и компактностью, не способствуют развитию торговли в нестационарных торговых объектах.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Условия Крайнего Севера оказывают влияние на формирование и развитие сельского хозяйства в Заполярье, жестко ограничивая потенциальные возможности его развития.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1004"/>
              <w:ind w:right="137" w:firstLine="5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настоящее время в субъектах Российской Федерации установлены нормативы минимальной обеспеченности населения площадью нестационарных торговых объектов, рассчитанные в соответствии с постановлением Правительства РФ от 0</w:t>
            </w: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  <w:t xml:space="preserve">.0</w:t>
            </w: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  <w:t xml:space="preserve">.20</w:t>
            </w:r>
            <w:r>
              <w:rPr>
                <w:rFonts w:ascii="Times New Roman" w:hAnsi="Times New Roman" w:cs="Times New Roman"/>
              </w:rPr>
              <w:t xml:space="preserve">23</w:t>
            </w:r>
            <w:r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 xml:space="preserve">704</w:t>
            </w:r>
            <w:r>
              <w:rPr>
                <w:rFonts w:ascii="Times New Roman" w:hAnsi="Times New Roman" w:cs="Times New Roman"/>
              </w:rPr>
              <w:t xml:space="preserve">. Тем же постановлением закреплено, что регионы, относящиеся к районам Крайнего Севера, самостоят</w:t>
            </w:r>
            <w:r>
              <w:rPr>
                <w:rFonts w:ascii="Times New Roman" w:hAnsi="Times New Roman" w:cs="Times New Roman"/>
              </w:rPr>
              <w:t xml:space="preserve">ельно принимают решение об установлении нормативов минимальной обеспеченности населения нестационарными торговыми объектами. Нормативы минимальной обеспеченности населения нестационарными торговыми объектами на территории Мурманской области не установлены.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благоприятных условий для развития малого и среднего предпринимательства является одной из важных задач органов местного самоуправления Печенгского муниципального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Печенгском муниципальном округе нестационарные торговые объекты осуществляют свою деятельность в соответствии со схемой размещения нестационарных торговых объектов (далее – НТО) на территории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состоянию на 01.01.2021 года на территории округа на круглогодичный период размещено 6 НТО, име</w:t>
            </w:r>
            <w:r>
              <w:rPr>
                <w:sz w:val="22"/>
                <w:szCs w:val="22"/>
              </w:rPr>
              <w:t xml:space="preserve">лось</w:t>
            </w:r>
            <w:r>
              <w:rPr>
                <w:sz w:val="22"/>
                <w:szCs w:val="22"/>
              </w:rPr>
              <w:t xml:space="preserve"> 3 свободных места под расположение НТО на круглогодичный период.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Печенгском муниципальном округе наблюдается рост числа НТО, размещенных на круглогодичный период. По состоянию на 01.06.2022 </w:t>
            </w:r>
            <w:r>
              <w:rPr>
                <w:sz w:val="22"/>
                <w:szCs w:val="22"/>
              </w:rPr>
              <w:t xml:space="preserve">года </w:t>
            </w:r>
            <w:r>
              <w:rPr>
                <w:sz w:val="22"/>
                <w:szCs w:val="22"/>
              </w:rPr>
              <w:t xml:space="preserve">их количество составило 9 единиц</w:t>
            </w:r>
            <w:r>
              <w:rPr>
                <w:sz w:val="22"/>
                <w:szCs w:val="22"/>
              </w:rPr>
              <w:t xml:space="preserve">. В 2023 </w:t>
            </w:r>
            <w:r>
              <w:rPr>
                <w:sz w:val="22"/>
                <w:szCs w:val="22"/>
              </w:rPr>
              <w:t xml:space="preserve">и 2024 </w:t>
            </w:r>
            <w:r>
              <w:rPr>
                <w:sz w:val="22"/>
                <w:szCs w:val="22"/>
              </w:rPr>
              <w:t xml:space="preserve">год</w:t>
            </w:r>
            <w:r>
              <w:rPr>
                <w:sz w:val="22"/>
                <w:szCs w:val="22"/>
              </w:rPr>
              <w:t xml:space="preserve">ах</w:t>
            </w:r>
            <w:r>
              <w:rPr>
                <w:sz w:val="22"/>
                <w:szCs w:val="22"/>
              </w:rPr>
              <w:t xml:space="preserve"> количество НТО </w:t>
            </w: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без изменений.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41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tcW w:w="782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14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885" w:type="dxa"/>
            <w:textDirection w:val="lrTb"/>
            <w:noWrap w:val="false"/>
          </w:tcPr>
          <w:p>
            <w:pPr>
              <w:pStyle w:val="1004"/>
              <w:ind w:right="132" w:firstLine="57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НТО на территории Печенгского муни</w:t>
            </w:r>
            <w:r>
              <w:rPr>
                <w:rFonts w:ascii="Times New Roman" w:hAnsi="Times New Roman" w:cs="Times New Roman"/>
              </w:rPr>
              <w:t xml:space="preserve">ц</w:t>
            </w:r>
            <w:r>
              <w:rPr>
                <w:rFonts w:ascii="Times New Roman" w:hAnsi="Times New Roman" w:cs="Times New Roman"/>
              </w:rPr>
              <w:t xml:space="preserve">ипального округа осуществляется на основании Порядка организации размещения НТО на территории Печенгского муниципального округа, утвержденного постановлением администрации Печенгского муниципального округа от 09.04.2021 </w:t>
              <w:br/>
              <w:t xml:space="preserve">№ 284 (в редакции постановления от </w:t>
            </w:r>
            <w:r>
              <w:rPr>
                <w:rFonts w:ascii="Times New Roman" w:hAnsi="Times New Roman" w:cs="Times New Roman"/>
              </w:rPr>
              <w:t xml:space="preserve">13</w:t>
            </w:r>
            <w:r>
              <w:rPr>
                <w:rFonts w:ascii="Times New Roman" w:hAnsi="Times New Roman" w:cs="Times New Roman"/>
              </w:rPr>
              <w:t xml:space="preserve">.0</w:t>
            </w:r>
            <w:r>
              <w:rPr>
                <w:rFonts w:ascii="Times New Roman" w:hAnsi="Times New Roman" w:cs="Times New Roman"/>
              </w:rPr>
              <w:t xml:space="preserve">9</w:t>
            </w:r>
            <w:r>
              <w:rPr>
                <w:rFonts w:ascii="Times New Roman" w:hAnsi="Times New Roman" w:cs="Times New Roman"/>
              </w:rPr>
              <w:t xml:space="preserve">.202</w:t>
            </w: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 xml:space="preserve">1389</w:t>
            </w:r>
            <w:r>
              <w:rPr>
                <w:rFonts w:ascii="Times New Roman" w:hAnsi="Times New Roman" w:cs="Times New Roman"/>
              </w:rPr>
              <w:t xml:space="preserve">), и в соответствии со Схемой размещения НТО, утвержденной постановлением администрации Печенгского муниципального округа от 31.03.2021 № 251 (в редакции постановления </w:t>
            </w:r>
            <w:r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 xml:space="preserve">01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  <w:t xml:space="preserve">.2024 № </w:t>
            </w:r>
            <w:r>
              <w:rPr>
                <w:rFonts w:ascii="Times New Roman" w:hAnsi="Times New Roman" w:cs="Times New Roman"/>
              </w:rPr>
              <w:t xml:space="preserve">1517</w:t>
            </w:r>
            <w:r>
              <w:rPr>
                <w:rFonts w:ascii="Times New Roman" w:hAnsi="Times New Roman" w:cs="Times New Roman"/>
              </w:rPr>
              <w:t xml:space="preserve">). Действие порядка организации размещения </w:t>
            </w:r>
            <w:r>
              <w:rPr>
                <w:rFonts w:ascii="Times New Roman" w:hAnsi="Times New Roman" w:cs="Times New Roman"/>
              </w:rPr>
              <w:t xml:space="preserve">НТО на территории Печенгского муниципального округа распространяется на следующие типы объектов: автолавка, автоприцеп, автокафе, автофургон, автоцистерна, фудтрак, торговый павильон, киоск, торговая палатка, сезонное кафе, бахчевой развал, елочный базар.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1004"/>
              <w:ind w:right="132" w:firstLine="57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НТО способствует повышению доступности товаров и услуг для населения Печенгского муниципального округа.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1004"/>
              <w:ind w:right="132" w:firstLine="57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Места для размещения НТО на территории Печенгского муниципального округа предоставляются предпринимателям на бе</w:t>
            </w:r>
            <w:r>
              <w:rPr>
                <w:rFonts w:ascii="Times New Roman" w:hAnsi="Times New Roman" w:cs="Times New Roman"/>
              </w:rPr>
              <w:t xml:space="preserve">сплатной основе в соответствии с требованиями Порядка организации размещения НТО на территории Печенгского муниципального округа, утвержденного постановлением администрации Печенгского муниципального округа от 09.04.2021 № 284 (в редакции постановления от </w:t>
            </w:r>
            <w:r>
              <w:rPr>
                <w:rFonts w:ascii="Times New Roman" w:hAnsi="Times New Roman" w:cs="Times New Roman"/>
              </w:rPr>
              <w:t xml:space="preserve">13</w:t>
            </w:r>
            <w:r>
              <w:rPr>
                <w:rFonts w:ascii="Times New Roman" w:hAnsi="Times New Roman" w:cs="Times New Roman"/>
              </w:rPr>
              <w:t xml:space="preserve">.0</w:t>
            </w:r>
            <w:r>
              <w:rPr>
                <w:rFonts w:ascii="Times New Roman" w:hAnsi="Times New Roman" w:cs="Times New Roman"/>
              </w:rPr>
              <w:t xml:space="preserve">9</w:t>
            </w:r>
            <w:r>
              <w:rPr>
                <w:rFonts w:ascii="Times New Roman" w:hAnsi="Times New Roman" w:cs="Times New Roman"/>
              </w:rPr>
              <w:t xml:space="preserve">.202</w:t>
            </w: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  <w:t xml:space="preserve"> № </w:t>
            </w:r>
            <w:r>
              <w:rPr>
                <w:rFonts w:ascii="Times New Roman" w:hAnsi="Times New Roman" w:cs="Times New Roman"/>
              </w:rPr>
              <w:t xml:space="preserve">1389</w:t>
            </w:r>
            <w:r>
              <w:rPr>
                <w:rFonts w:ascii="Times New Roman" w:hAnsi="Times New Roman" w:cs="Times New Roman"/>
              </w:rPr>
              <w:t xml:space="preserve">).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1004"/>
              <w:ind w:right="132" w:firstLine="578"/>
              <w:jc w:val="both"/>
            </w:pPr>
            <w:r>
              <w:rPr>
                <w:rFonts w:ascii="Times New Roman" w:hAnsi="Times New Roman" w:cs="Times New Roman"/>
              </w:rPr>
              <w:t xml:space="preserve">Организация ярмарок на территории Печенгского муни</w:t>
            </w:r>
            <w:r>
              <w:rPr>
                <w:rFonts w:ascii="Times New Roman" w:hAnsi="Times New Roman" w:cs="Times New Roman"/>
              </w:rPr>
              <w:t xml:space="preserve">ципального округа осуществляется в соответствии с Порядком организации ярмарок и продажи товаров (выполнения работ, оказания услуг) на них на территории Мурманской области, утвержденным постановлением Правительства Мурманской области от 18.07.2016 № 349-ПП</w:t>
            </w:r>
            <w:r>
              <w:rPr>
                <w:rFonts w:ascii="Times New Roman" w:hAnsi="Times New Roman" w:cs="Times New Roman"/>
              </w:rPr>
              <w:t xml:space="preserve"> (в редакции постановления от 06.03.2024 №145-ПП)</w:t>
            </w:r>
            <w:r>
              <w:rPr>
                <w:rFonts w:ascii="Times New Roman" w:hAnsi="Times New Roman" w:cs="Times New Roman"/>
              </w:rPr>
              <w:t xml:space="preserve">.</w:t>
            </w:r>
            <w:r>
              <w:rPr>
                <w:rFonts w:ascii="Times New Roman" w:hAnsi="Times New Roman" w:cs="Times New Roman"/>
              </w:rPr>
              <w:t xml:space="preserve"> Перечень мест для организации ярмарок и продажи товаров (выполнения работ, оказания услуг) на них на территории Печенгского муниципального округа находится на рассмотрении. На основании постановления Правительства Мурманской области от 18.07.2016 № 349-ПП</w:t>
            </w:r>
            <w:r>
              <w:rPr>
                <w:rFonts w:ascii="Times New Roman" w:hAnsi="Times New Roman" w:cs="Times New Roman"/>
              </w:rPr>
              <w:t xml:space="preserve"> (в редакции постановления от 06.03.2024 № 145-ПП)</w:t>
            </w:r>
            <w:r>
              <w:rPr>
                <w:rFonts w:ascii="Times New Roman" w:hAnsi="Times New Roman" w:cs="Times New Roman"/>
              </w:rPr>
              <w:t xml:space="preserve"> получение разрешения на проведение ярмарки не требуется, ярмарка носит уведомительный характер.</w:t>
            </w:r>
            <w:r/>
          </w:p>
        </w:tc>
      </w:tr>
      <w:tr>
        <w:tblPrEx/>
        <w:trPr>
          <w:trHeight w:val="110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4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Актуализация схемы размещения нестационарных торговых объектов на официальном сайте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vMerge w:val="restart"/>
            <w:textDirection w:val="lrTb"/>
            <w:noWrap w:val="false"/>
          </w:tcPr>
          <w:p>
            <w:pPr>
              <w:ind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Недостаток информации у предпринимателей о свободных имеющихся местах для размещения НТО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vAlign w:val="center"/>
            <w:vMerge w:val="restart"/>
            <w:textDirection w:val="lrTb"/>
            <w:noWrap w:val="false"/>
          </w:tcPr>
          <w:p>
            <w:pPr>
              <w:ind w:right="1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на официальном сайте </w:t>
            </w:r>
            <w:r>
              <w:rPr>
                <w:sz w:val="22"/>
                <w:szCs w:val="22"/>
              </w:rPr>
              <w:t xml:space="preserve">Печенгского муниципального округа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актуальных схем размещения нестационарных торговых объектов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tcW w:w="2475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Повышение уровня информированности предпринимателей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на постоянной основе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3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.2.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4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сообщений в новостной ленте </w:t>
            </w:r>
            <w:r>
              <w:rPr>
                <w:sz w:val="22"/>
                <w:szCs w:val="22"/>
              </w:rPr>
              <w:t xml:space="preserve">официального сайта </w:t>
            </w:r>
            <w:r>
              <w:rPr>
                <w:sz w:val="22"/>
                <w:szCs w:val="22"/>
              </w:rPr>
              <w:t xml:space="preserve">Печенгского муниципального округа </w:t>
            </w:r>
            <w:r>
              <w:rPr>
                <w:sz w:val="22"/>
                <w:szCs w:val="22"/>
              </w:rPr>
              <w:t xml:space="preserve">об </w:t>
            </w:r>
            <w:r>
              <w:rPr>
                <w:sz w:val="22"/>
                <w:szCs w:val="22"/>
              </w:rPr>
              <w:t xml:space="preserve">актуализации схемы размещения нестационарных торговых объектов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4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течение 5 рабочих дней с даты утверждения схемы размещения нестационарных торговых объектов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12.3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1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Актуализация общедоступной справочной информации о ярмарочных площадках на территории Печенгского муниципального округа, ежегодное формирование плана ярмарочных мероприятий и размещение их на сайте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ind w:right="1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Недостаток информации у предпринимателей о проведении ярмарочных мероприятий и о наличии ярмарочных площадок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на официальном сайте Печенгского муниципального округа актуальной общедоступной справочной информации о ярмарочных площадках на территории Печенгского муниципального округа и ежегодного плана ярмарочных мероприятий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Повышение уровня информированности предпринимателей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4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постоянной основе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color w:val="auto"/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ind w:right="13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 организаций частной формы собственности в сфере торговли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4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4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нефтепродуктов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Деятельность на товарном рынке розничной реализации нефтепродуктов в Печенгском муниципальном округе осуществляют </w:t>
            </w:r>
            <w:r>
              <w:rPr>
                <w:color w:val="auto"/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 хозяйствующих субъекта, являющиеся организациями частной формы собственности. На территории округа расположены 4 автозаправочных станции – 2 в г.Заполярном, 1- в пгт.Никель, 1- на </w:t>
            </w:r>
            <w:r>
              <w:rPr>
                <w:sz w:val="22"/>
                <w:szCs w:val="22"/>
              </w:rPr>
              <w:t xml:space="preserve">1519</w:t>
            </w:r>
            <w:r>
              <w:rPr>
                <w:sz w:val="22"/>
                <w:szCs w:val="22"/>
              </w:rPr>
              <w:t xml:space="preserve"> км </w:t>
            </w:r>
            <w:r>
              <w:rPr>
                <w:sz w:val="22"/>
                <w:szCs w:val="22"/>
              </w:rPr>
              <w:t xml:space="preserve">федеральной </w:t>
            </w:r>
            <w:r>
              <w:rPr>
                <w:sz w:val="22"/>
                <w:szCs w:val="22"/>
              </w:rPr>
              <w:t xml:space="preserve">автодоро</w:t>
            </w:r>
            <w:r>
              <w:rPr>
                <w:sz w:val="22"/>
                <w:szCs w:val="22"/>
              </w:rPr>
              <w:t xml:space="preserve">ги Р-21</w:t>
            </w:r>
            <w:r>
              <w:rPr>
                <w:sz w:val="22"/>
                <w:szCs w:val="22"/>
              </w:rPr>
              <w:t xml:space="preserve"> «Кола».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ноябре 2022 года состоялось открытие придорожного сервисного комплекса «</w:t>
            </w:r>
            <w:r>
              <w:rPr>
                <w:sz w:val="22"/>
                <w:szCs w:val="22"/>
                <w:lang w:val="en-US"/>
              </w:rPr>
              <w:t xml:space="preserve">ATLAS</w:t>
            </w:r>
            <w:r>
              <w:rPr>
                <w:sz w:val="22"/>
                <w:szCs w:val="22"/>
              </w:rPr>
              <w:t xml:space="preserve">» на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федеральной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автодорог</w:t>
            </w:r>
            <w:r>
              <w:rPr>
                <w:sz w:val="22"/>
                <w:szCs w:val="22"/>
              </w:rPr>
              <w:t xml:space="preserve">е</w:t>
            </w:r>
            <w:r>
              <w:rPr>
                <w:sz w:val="22"/>
                <w:szCs w:val="22"/>
              </w:rPr>
              <w:t xml:space="preserve"> Р-21 «Кола» - бизнес-проекта, ставшего победителем конкурса беспроцентных займов ПАО «Норильский никель» в 2020 году. Это первое на севере России кафе быстрого приготовления с автозаправочной станцией, магазином и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t xml:space="preserve"> скоростной зарядной станцией для электромобилей</w:t>
            </w:r>
            <w:r>
              <w:rPr>
                <w:sz w:val="22"/>
                <w:szCs w:val="22"/>
              </w:rPr>
              <w:t xml:space="preserve">, парковочными местами</w:t>
            </w:r>
            <w:r>
              <w:rPr>
                <w:sz w:val="22"/>
                <w:szCs w:val="22"/>
              </w:rPr>
              <w:t xml:space="preserve">. В перспективе многофункционального центра – открытие автомойки, бесплатной подкачки колес, полноценного шиномонтажа и большой стоянки, в т.ч. и для караванеров.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2" w:firstLine="534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Исходя из вышеизложенного, рынок нефтепродуктов можно считать развитым.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23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green"/>
                <w:lang w:val="en-US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 инвестиционной деятельности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highlight w:val="green"/>
                <w:lang w:val="en-US"/>
              </w:rPr>
            </w:r>
            <w:r>
              <w:rPr>
                <w:sz w:val="22"/>
                <w:szCs w:val="22"/>
                <w:highlight w:val="green"/>
                <w:lang w:val="en-US"/>
              </w:rPr>
            </w:r>
          </w:p>
        </w:tc>
      </w:tr>
      <w:tr>
        <w:tblPrEx/>
        <w:trPr>
          <w:trHeight w:val="207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оказания услуг по ремонту автотранспортных средств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данным реестра субъектов малого и среднего предпринимательства Федеральной налоговой службы (по состоянию на </w:t>
            </w:r>
            <w:r>
              <w:rPr>
                <w:sz w:val="22"/>
                <w:szCs w:val="22"/>
              </w:rPr>
              <w:t xml:space="preserve">10.01.2025 года </w:t>
            </w:r>
            <w:r>
              <w:rPr>
                <w:sz w:val="22"/>
                <w:szCs w:val="22"/>
              </w:rPr>
              <w:t xml:space="preserve">с основным видом деятельности «Техническое обслуживание и ремонт автотранспортных средств» (код ОКВЭД 45.2)), на территории Печенгского муниципального округа зарегистрировано </w:t>
            </w:r>
            <w:r>
              <w:rPr>
                <w:sz w:val="22"/>
                <w:szCs w:val="22"/>
              </w:rPr>
              <w:t xml:space="preserve">18 </w:t>
            </w:r>
            <w:r>
              <w:rPr>
                <w:sz w:val="22"/>
                <w:szCs w:val="22"/>
              </w:rPr>
              <w:t xml:space="preserve">индивидуальных предпринимател</w:t>
            </w:r>
            <w:r>
              <w:rPr>
                <w:sz w:val="22"/>
                <w:szCs w:val="22"/>
              </w:rPr>
              <w:t xml:space="preserve">ей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</w:t>
            </w:r>
            <w:r>
              <w:rPr>
                <w:sz w:val="22"/>
                <w:szCs w:val="22"/>
              </w:rPr>
              <w:t xml:space="preserve">ким образом, доля хозяйствующих субъектов частной (негосударственной) формы собственности на рынке ремонта автотранспортных средств составляет 100 %. Учитывая ситуацию на данном рынке предыдущего периода, предполагаемое значение ключевого показателя на 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 – 2025 годы составит 100%.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Учитывая вышеизложенное, а также пункт 2.4 методики по расчету ключевого показателя развития конкуренции на рынке ремонта автотранспортных средств ФАС России, рынок «Ремонт автотранспортных средств» можно считать развитым.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trike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2022-2025 годы</w:t>
            </w:r>
            <w:r>
              <w:rPr>
                <w:strike/>
                <w:color w:val="ff0000"/>
                <w:sz w:val="22"/>
                <w:szCs w:val="22"/>
              </w:rPr>
              <w:t xml:space="preserve"> 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tabs>
                <w:tab w:val="center" w:pos="616" w:leader="none"/>
                <w:tab w:val="center" w:pos="192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 инвестиционной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9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15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социальных услуг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01.04.2025 года 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Печенгском муниципальном округе социальные услуги без обеспечения проживания престарелым и инвалидам предоставляют Государственное областное казенное учреждение «Центр социальной поддержки населения </w:t>
            </w:r>
            <w:r>
              <w:rPr>
                <w:color w:val="auto"/>
                <w:sz w:val="22"/>
                <w:szCs w:val="22"/>
              </w:rPr>
              <w:t xml:space="preserve">Мурманской области</w:t>
            </w:r>
            <w:r>
              <w:rPr>
                <w:sz w:val="22"/>
                <w:szCs w:val="22"/>
              </w:rPr>
              <w:t xml:space="preserve">» и Государственное областное автономное учреждение социального обслуживания населения «Печенгский комплексный центр социального обслуживания населения». Также с 2022 года социальные услуги оказывает ООО «Заботливые сердца».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Основными особенностями рынка социальных услуг являются: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низкая платежеспособность потребителей социальных услуг;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зависимость негосударственных поставщиков социальных услуг от субсидий, предоставляемых региональным министерством труда и социального развития.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Для дальнейшего развития рынка социального обслуживания необходимы как рост числа негосударственных поставщиков в реестре, так и увеличение объемов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оказываемых ими социальных услуг, обеспечиваемые путем: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частичного перераспределения численности обслуживаемых в сторону негосударственного сектора;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повышения уровня информированности негосударственных организаций, индивидуальных предпринимателей, являющихся потенциальными поставщиками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социальных услуг, о возможности возмещения затрат, связанных с предоставлением социальных услуг за счет средств областного бюджета;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right="134" w:firstLine="534"/>
              <w:jc w:val="both"/>
              <w:rPr>
                <w:strike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повышения уровня информированности населения о возможности получения услуг в негосударственном секторе.</w:t>
            </w:r>
            <w:r>
              <w:rPr>
                <w:strike/>
                <w:sz w:val="22"/>
                <w:szCs w:val="22"/>
              </w:rPr>
              <w:t xml:space="preserve"> 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15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ind w:right="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ind w:right="12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 организаций частной формы собственности в сфере социальных услуг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 инвестиционной деятельности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91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кадастровых и землеустроительных работ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Федеральным законом от 24.07.2007 № 221-ФЗ «О кадастровой деятельности» определено, что специальным правом на осуществление кадастровой деятельности обладает кадастровый инженер, являющийся членом саморегулируемой организации</w:t>
            </w:r>
            <w:r>
              <w:rPr>
                <w:sz w:val="22"/>
                <w:szCs w:val="22"/>
              </w:rPr>
              <w:t xml:space="preserve"> кадастровых инженеров (далее – СРО). При этом кадастровый инженер осуществляет кадастровую деятельность по одной из выбранных им форм: в качестве индивидуального предпринимателя либо в качестве работника юридического лица на основании трудового договора.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Землеустроительные работы являются отдельными видами работ, формирующими свой сегмент рынка, и регулируются Федеральным законом от 18.06.2001 № 78-ФЗ «О землеустройстве».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данным Единого реестра субъектов малого и среднего предпринимательства в Печенгском муниципальном округе зарегистрирован 1 индивидуальный предприниматель по ОКВЭД «Кадастровая деятельность» (71.12.7).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территории Печенгского муниципальног</w:t>
            </w:r>
            <w:r>
              <w:rPr>
                <w:sz w:val="22"/>
                <w:szCs w:val="22"/>
              </w:rPr>
              <w:t xml:space="preserve">о округа кадастровые и землеустроительные работы осуществляют индивидуальные предприниматели на основании трудового договора. Покупателями на рынке являются физические и юридические лица, которым требуется выполнение кадастровых и землеустроительных работ.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мониторинге рынка необходимо учитывать, что долю указанног</w:t>
            </w:r>
            <w:r>
              <w:rPr>
                <w:sz w:val="22"/>
                <w:szCs w:val="22"/>
              </w:rPr>
              <w:t xml:space="preserve">о товарного рынка занимают организации, оказывающие услуги на территории нескольких муниципальных образований Мурманской области. В свободном доступе информация об объемах услуг, оказанных организациями в конкретном муниципальном образовании, отсутствует.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Отсутствие полномочий на получение информации от хозяйствующих субъектов частной формы собственности в отношении объемов выручки организации, а также</w:t>
            </w:r>
            <w:r>
              <w:rPr>
                <w:sz w:val="22"/>
                <w:szCs w:val="22"/>
              </w:rPr>
              <w:t xml:space="preserve"> отсутствие официальных/открытых источников такой информации не позволяют органам местного самоуправления проводить детальный анализ рынка, что может негативно сказаться на реализации мероприятий по развитию конкуренции в рассматриваемой сфере экономики.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 w:firstLine="57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проведения объективного сравн</w:t>
            </w:r>
            <w:r>
              <w:rPr>
                <w:sz w:val="22"/>
                <w:szCs w:val="22"/>
              </w:rPr>
              <w:t xml:space="preserve">ительного анализа ситуации в рассматриваемых сферах в разрезе муниципальных образований целесообразно предусмотреть единые общедоступные источники информации или источники информации, предусмотренные законодательством (обязательная к раскрытию информации).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20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открытого реестра хозяйствующих субъектов на рынке кадастровых и землеустроительных работ.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опубликования и актуализации на официальных сайтах Печенгского муниципального округа в информационно-телекоммуникационной сети Интернет открытого реестра хозяйствующих субъектов на рынке кадастровых и землеустроительных работ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Низкая информированность заинтересованных лиц об имеющихся на территории Печенгского муниципального округа организациях, осуществляющих услуги в сфере землеустроительных и кадастровых работ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Реестр хозяйствующих субъектов, размещенный на сайте Печенгского муниципального округа и иных </w:t>
            </w:r>
            <w:r>
              <w:rPr>
                <w:sz w:val="22"/>
                <w:szCs w:val="22"/>
              </w:rPr>
              <w:t xml:space="preserve">информационных ресурсах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Повышение информированности заинтересованных лиц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</w:t>
            </w:r>
            <w:r>
              <w:rPr>
                <w:sz w:val="24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23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  <w:lang w:val="en-US"/>
              </w:rPr>
              <w:t xml:space="preserve">.2.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информационной поддержки хозяйствующим субъектам в целях их привлечения к выполнению кадастровых и землеустроительных работ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Недостаточная информированность заинтересованных лиц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Отчет по итогам года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Повышение информированности заинтересованных лиц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По мере необходимо-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сти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23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  <w:lang w:val="en-US"/>
              </w:rPr>
              <w:t xml:space="preserve">.3.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4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9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8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 организаций частной формы собственности в сфере кадастровых и землеустроительных работ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доме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доме в Печенгском муниципальном округе представлен обществами с ограниченной ответстве</w:t>
            </w:r>
            <w:r>
              <w:rPr>
                <w:sz w:val="22"/>
                <w:szCs w:val="22"/>
              </w:rPr>
              <w:t xml:space="preserve">нностью с частной формой собственности, муниципальными унитарными предприятиями, товариществами собственников жилья. На территории округа осуществляют деятельность по содержанию и текущему ремонту общего имущества собственников помещений в многоквартирном </w:t>
            </w:r>
            <w:r>
              <w:rPr>
                <w:sz w:val="22"/>
                <w:szCs w:val="22"/>
              </w:rPr>
              <w:t xml:space="preserve">доме 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 организаци</w:t>
            </w:r>
            <w:r>
              <w:rPr>
                <w:sz w:val="22"/>
                <w:szCs w:val="22"/>
              </w:rPr>
              <w:t xml:space="preserve">й</w:t>
            </w:r>
            <w:r>
              <w:rPr>
                <w:sz w:val="22"/>
                <w:szCs w:val="22"/>
              </w:rPr>
              <w:t xml:space="preserve">: МУП «Жилищный сервис»,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ООО «Никельская УК»,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ООО «Благо</w:t>
            </w:r>
            <w:r>
              <w:rPr>
                <w:sz w:val="22"/>
                <w:szCs w:val="22"/>
              </w:rPr>
              <w:t xml:space="preserve">никель</w:t>
            </w:r>
            <w:r>
              <w:rPr>
                <w:sz w:val="22"/>
                <w:szCs w:val="22"/>
              </w:rPr>
              <w:t xml:space="preserve">», ООО «Краски»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ООО «МОДУС»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1 товарищество собственников жилья</w:t>
            </w:r>
            <w:r>
              <w:rPr>
                <w:sz w:val="22"/>
                <w:szCs w:val="22"/>
              </w:rPr>
              <w:t xml:space="preserve"> «Раякоски».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5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настоящее время раскрытие информации в установленной сфере осуществляется в системе ГИС ЖКХ. В данной системе внесена информация обо всех управляющих организациях Печенгского муниципального округа.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rFonts w:eastAsia="Calibri"/>
                <w:color w:val="auto"/>
                <w:lang w:eastAsia="en-US"/>
              </w:rPr>
            </w:pPr>
            <w:r>
              <w:rPr>
                <w:sz w:val="22"/>
                <w:szCs w:val="22"/>
              </w:rPr>
              <w:t xml:space="preserve">В соответствии с постановлениями администрации Печенгского муниципального округа от 04.04.2022 № 439, 440, 441 ,442, 443, 444 администрацией Печенгского округа (организатор конкурса) проведены открытые конкурсы по отбору управляющей организации дл</w:t>
            </w:r>
            <w:r>
              <w:rPr>
                <w:sz w:val="22"/>
                <w:szCs w:val="22"/>
              </w:rPr>
              <w:t xml:space="preserve">я управления многоквартирными домами, расположенными на территории Печенгского округа в нп. Корзуново, Луостари, Лиинахамари, Спутник, пгт. Печенга, ж/д ст. Печенга. По результатам проведенных конкурсов с 01.07.2022 года управление многоквартирными домами </w:t>
            </w:r>
            <w:r>
              <w:rPr>
                <w:sz w:val="22"/>
                <w:szCs w:val="22"/>
              </w:rPr>
              <w:t xml:space="preserve">в перечисленных населенных пунктах</w:t>
            </w:r>
            <w:r>
              <w:rPr>
                <w:sz w:val="22"/>
                <w:szCs w:val="22"/>
              </w:rPr>
              <w:t xml:space="preserve"> возложено на МУП «Жилищный сервис».</w:t>
            </w:r>
            <w:r>
              <w:rPr>
                <w:rFonts w:eastAsia="Calibri"/>
                <w:color w:val="auto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lang w:eastAsia="en-US"/>
              </w:rPr>
            </w:r>
            <w:r>
              <w:rPr>
                <w:rFonts w:eastAsia="Calibri"/>
                <w:color w:val="auto"/>
                <w:lang w:eastAsia="en-US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В </w:t>
            </w:r>
            <w:r>
              <w:rPr>
                <w:sz w:val="22"/>
                <w:szCs w:val="22"/>
              </w:rPr>
              <w:t xml:space="preserve">соответствии с постановлением администрации Печенгского муниципального округа от 25.12.2024 № 2128</w:t>
            </w:r>
            <w:r>
              <w:rPr>
                <w:rFonts w:eastAsia="Calibri"/>
                <w:color w:val="auto"/>
                <w:lang w:eastAsia="en-US"/>
              </w:rPr>
              <w:t xml:space="preserve"> </w:t>
            </w:r>
            <w:r>
              <w:rPr>
                <w:sz w:val="22"/>
                <w:szCs w:val="22"/>
              </w:rPr>
              <w:t xml:space="preserve">администрацией Печенгского округа определена временная управляющая организация МУП «Жилищный сервис» для управления многоквартирными домами, расположенными на территории Печенгского округа в г. Заполярный.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декабре 2024 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январе 2025 года, в связи с окончанием срока управления многоквартирными домами ООО «Краски», в соответствии с постан</w:t>
            </w:r>
            <w:r>
              <w:rPr>
                <w:sz w:val="22"/>
                <w:szCs w:val="22"/>
              </w:rPr>
              <w:t xml:space="preserve">овлениями администрации Печенгского муниципального округа от 25.11.2024 № 1881, от 18.12.2024 №№ 2062, 2063, 2064, 2065, 2066, от 17.04.2025 № 629 администрацией Печенгского округа (организатор конкурса) проведены открытые конкурсы по отбору управляющей ор</w:t>
            </w:r>
            <w:r>
              <w:rPr>
                <w:sz w:val="22"/>
                <w:szCs w:val="22"/>
              </w:rPr>
              <w:t xml:space="preserve">ганизации для управления многоквартирными домами, расположенными в пгт. Никель Печенгского округа (64 дома). По результатам проведенных конкурсов, на основании единственной поданной заявки, управление многоквартирными от ООО «Краски» перешло в ООО «Модус».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603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Основными проблемами на рынке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выполнения работ по содержанию и текущему ремонту общего имущества собственников помещений в многоквартирном доме</w:t>
            </w:r>
            <w:r>
              <w:rPr>
                <w:rFonts w:eastAsia="Calibri"/>
                <w:b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в регионе являются: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ind w:firstLine="603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- низкое качество услуг в сфере ЖКХ;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ind w:firstLine="603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- несоблюдение единых стандартов управления многоквартирным домом с учетом мнения собственников;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ind w:firstLine="603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- запущенное состояние мест общего пользования в многоквартирном доме по причинам невыполнения часто сменяющимися управляющими организациями обязательств по текущему ремонту;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ind w:firstLine="603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- отсутствие единого канала связи по вопросам ЖКХ с последующим контролем за качеством работ;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ind w:firstLine="603"/>
              <w:rPr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- слабая материально-техническая база и недостаточный уровень квалификации персонала управляющих компаний.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8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highlight w:val="yellow"/>
                <w:lang w:val="en-US"/>
              </w:rPr>
            </w:r>
            <w:r>
              <w:rPr>
                <w:sz w:val="22"/>
                <w:szCs w:val="22"/>
                <w:highlight w:val="yellow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Привлечение организаций частных форм собственности к участию в конкурсных процедурах по содержанию и текущему ремонту общего имущества собственников помещений в многоквартирных домах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многоквартирных домах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Рассмотрение обращений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многоквартирных домах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13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жителей в оценке деятельности организаций, оказывающих услуги по управлению многоквартирными домами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Обязательное реагирование на поступающие обращения граждан в части работы управляющих компаний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Рассмотрение обращений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обработанных обращений среди поступающих обращений граждан в части работы управляющих компаний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 организаций частной формы собственности в сфере выполнения работ по содержанию и текущему общего имущества собственников помещений в многоквартирном доме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ЖКХ, </w:t>
            </w: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09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18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вылова водных биоресурсов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84"/>
              <w:ind w:left="0" w:firstLine="603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На территории Печенгского муниципального округа действует</w:t>
            </w:r>
            <w:r>
              <w:rPr>
                <w:bCs/>
                <w:sz w:val="22"/>
                <w:szCs w:val="22"/>
              </w:rPr>
              <w:t xml:space="preserve"> 4</w:t>
            </w:r>
            <w:r>
              <w:rPr>
                <w:bCs/>
                <w:sz w:val="22"/>
                <w:szCs w:val="22"/>
              </w:rPr>
              <w:t xml:space="preserve"> обществ</w:t>
            </w:r>
            <w:r>
              <w:rPr>
                <w:bCs/>
                <w:sz w:val="22"/>
                <w:szCs w:val="22"/>
              </w:rPr>
              <w:t xml:space="preserve">а</w:t>
            </w:r>
            <w:r>
              <w:rPr>
                <w:bCs/>
                <w:sz w:val="22"/>
                <w:szCs w:val="22"/>
              </w:rPr>
              <w:t xml:space="preserve"> с ограниченной ответственность</w:t>
            </w:r>
            <w:r>
              <w:rPr>
                <w:bCs/>
                <w:sz w:val="22"/>
                <w:szCs w:val="22"/>
              </w:rPr>
              <w:t xml:space="preserve">, (в т.ч. два – с 2024 года): ООО</w:t>
            </w:r>
            <w:r>
              <w:rPr>
                <w:bCs/>
                <w:sz w:val="22"/>
                <w:szCs w:val="22"/>
              </w:rPr>
              <w:t xml:space="preserve"> «Баренц ПРО», </w:t>
            </w:r>
            <w:r>
              <w:rPr>
                <w:bCs/>
                <w:sz w:val="22"/>
                <w:szCs w:val="22"/>
              </w:rPr>
              <w:t xml:space="preserve">ООО «Русский лосось», ООО «Улов», ООО «Сети», </w:t>
            </w:r>
            <w:r>
              <w:rPr>
                <w:bCs/>
                <w:sz w:val="22"/>
                <w:szCs w:val="22"/>
              </w:rPr>
              <w:t xml:space="preserve">осуществляющ</w:t>
            </w:r>
            <w:r>
              <w:rPr>
                <w:bCs/>
                <w:sz w:val="22"/>
                <w:szCs w:val="22"/>
              </w:rPr>
              <w:t xml:space="preserve">и</w:t>
            </w:r>
            <w:r>
              <w:rPr>
                <w:bCs/>
                <w:sz w:val="22"/>
                <w:szCs w:val="22"/>
              </w:rPr>
              <w:t xml:space="preserve">е морское </w:t>
            </w:r>
            <w:r>
              <w:rPr>
                <w:bCs/>
                <w:sz w:val="22"/>
                <w:szCs w:val="22"/>
              </w:rPr>
              <w:t xml:space="preserve">и пресноводное</w:t>
            </w:r>
            <w:r>
              <w:rPr>
                <w:bCs/>
                <w:sz w:val="22"/>
                <w:szCs w:val="22"/>
              </w:rPr>
              <w:t xml:space="preserve"> рыболовство</w:t>
            </w:r>
            <w:r>
              <w:rPr>
                <w:bCs/>
                <w:sz w:val="22"/>
                <w:szCs w:val="22"/>
              </w:rPr>
              <w:t xml:space="preserve">. Данные организации</w:t>
            </w:r>
            <w:r>
              <w:rPr>
                <w:sz w:val="22"/>
                <w:szCs w:val="22"/>
              </w:rPr>
              <w:t xml:space="preserve"> относ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тся к частной форме собственности.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pStyle w:val="984"/>
              <w:ind w:left="0" w:firstLine="603"/>
              <w:rPr>
                <w:bCs/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На рынке вылова водных биоресурсов доля государственных и муниципальных предприятий отсутствует.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ind w:firstLine="5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Согласно статье 42 Федерального закона от 24.04.1995 № 52-ФЗ «О животном мире» отношения в области рыболовства и сохранения водных биоресурсов регулируются Федеральным </w:t>
            </w:r>
            <w:hyperlink r:id="rId15" w:tooltip="consultantplus://offline/ref=9D4D0FBB0FAE2AC3863D578B706D3355D900D57B22357FABBBB28AFFEFF115AF23BD0B7465D1701C32A77CD5ACX8TFN" w:history="1">
              <w:r>
                <w:rPr>
                  <w:sz w:val="22"/>
                  <w:szCs w:val="22"/>
                </w:rPr>
                <w:t xml:space="preserve">законом</w:t>
              </w:r>
            </w:hyperlink>
            <w:r/>
            <w:hyperlink r:id="rId16" w:tooltip="consultantplus://offline/ref=9D4D0FBB0FAE2AC3863D578B706D3355D900D57B22357FABBBB28AFFEFF115AF23BD0B7465D1701C32A77CD5ACX8TFN" w:history="1">
              <w:r>
                <w:rPr>
                  <w:sz w:val="22"/>
                  <w:szCs w:val="22"/>
                </w:rPr>
                <w:t xml:space="preserve"> </w:t>
              </w:r>
            </w:hyperlink>
            <w:r>
              <w:rPr>
                <w:sz w:val="22"/>
                <w:szCs w:val="22"/>
              </w:rPr>
              <w:t xml:space="preserve">от 20.12.2004 № 166-ФЗ «О рыболовстве и сохранении водных биологических ресурсов» (далее – Закон о рыболовстве). В соответствии со статьей 10 Закона о рыболовстве водные биоресурсы находятся в федеральной собственности, </w:t>
            </w:r>
            <w:r>
              <w:rPr>
                <w:sz w:val="22"/>
                <w:szCs w:val="22"/>
              </w:rPr>
              <w:t xml:space="preserve">в связи с чем, право на добычу (вылов) водных биоресурсов возникает по основаниям, предусмотренным Законом о рыболовстве. Статьями 32, 38 и 38.1 Закона о рыболовстве предусмотрены процедуры получения права на добычу (вылов) квотируемых водных биоресурсов: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numPr>
                <w:ilvl w:val="0"/>
                <w:numId w:val="43"/>
              </w:numPr>
              <w:ind w:firstLine="5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переходе права на добычу (вылов) водных биоресурсов от одного лица к другому лицу осуществляется в порядке универсального правопреемства в соответствии с гражданским законодательством;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numPr>
                <w:ilvl w:val="0"/>
                <w:numId w:val="43"/>
              </w:numPr>
              <w:ind w:firstLine="5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основании аукционов по продаже права на заключение договора о закреплении долей квот добычи (вылова) водных биоресурсов в соответствии с постановлением Правительства Росси</w:t>
            </w:r>
            <w:r>
              <w:rPr>
                <w:sz w:val="22"/>
                <w:szCs w:val="22"/>
              </w:rPr>
              <w:t xml:space="preserve">йской Федерации от 12.08.2008 № 602 «Об утверждении правил проведения аукционов по продаже права на заключение договора о закреплении долей квот добычи (вылова) водных биологических ресурсов и (или) договора пользования водными биологическими ресурсами»;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numPr>
                <w:ilvl w:val="0"/>
                <w:numId w:val="43"/>
              </w:numPr>
              <w:ind w:firstLine="5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закреплении и предоставлении доли квоты добычи (вылова) водных биоресурсов на инвестиционные цели в порядке, установленном постановлением Правительства Российской Федерации от </w:t>
            </w:r>
            <w:r>
              <w:rPr>
                <w:sz w:val="22"/>
                <w:szCs w:val="22"/>
              </w:rPr>
              <w:t xml:space="preserve">07</w:t>
            </w:r>
            <w:r>
              <w:rPr>
                <w:sz w:val="22"/>
                <w:szCs w:val="22"/>
              </w:rPr>
              <w:t xml:space="preserve">.0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.20</w:t>
            </w:r>
            <w:r>
              <w:rPr>
                <w:sz w:val="22"/>
                <w:szCs w:val="22"/>
              </w:rPr>
              <w:t xml:space="preserve">23</w:t>
            </w:r>
            <w:r>
              <w:rPr>
                <w:sz w:val="22"/>
                <w:szCs w:val="22"/>
              </w:rPr>
              <w:t xml:space="preserve"> № </w:t>
            </w:r>
            <w:r>
              <w:rPr>
                <w:sz w:val="22"/>
                <w:szCs w:val="22"/>
              </w:rPr>
              <w:t xml:space="preserve">1286</w:t>
            </w:r>
            <w:r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84"/>
              <w:ind w:left="0" w:firstLine="461"/>
              <w:rPr>
                <w:rFonts w:eastAsia="Calibri"/>
                <w:color w:val="auto"/>
                <w:lang w:eastAsia="en-US"/>
              </w:rPr>
            </w:pPr>
            <w:r>
              <w:rPr>
                <w:sz w:val="22"/>
                <w:szCs w:val="22"/>
              </w:rPr>
              <w:t xml:space="preserve">- на основании аукционов по продаже права на заключение договора о закреплении и предоставлении доли квоты добычи (вылова) крабов в инвестиционных целях. Для осуществления промышленного и прибрежного рыболовства объемы добычи (</w:t>
            </w:r>
            <w:r>
              <w:rPr>
                <w:sz w:val="22"/>
                <w:szCs w:val="22"/>
              </w:rPr>
              <w:t xml:space="preserve">вылова) неквотируемых водных биоресурсов предоставляются в пользование в упрощенном порядке - по заявительному принципу, что дает возможность всем желающим заниматься прибрежным или промышленным рыболовством, осуществлять промысел таких водных биоресурсов.</w:t>
            </w:r>
            <w:r>
              <w:rPr>
                <w:rFonts w:eastAsia="Calibri"/>
                <w:color w:val="auto"/>
                <w:lang w:eastAsia="en-US"/>
              </w:rPr>
            </w:r>
            <w:r>
              <w:rPr>
                <w:rFonts w:eastAsia="Calibri"/>
                <w:color w:val="auto"/>
                <w:lang w:eastAsia="en-US"/>
              </w:rPr>
            </w:r>
          </w:p>
          <w:p>
            <w:pPr>
              <w:pStyle w:val="984"/>
              <w:ind w:left="0" w:right="137" w:firstLine="461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Сфера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вылова водных биоресурсов требует высоких первоначальных вложений при длительных сроках окупаемости. Наряду с этим зачастую кредитные ставки по банковским кредитам слишком высоки для хозяйствующих субъектов, что затрудняет доступ на рынок новым участникам.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2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18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3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19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товарной аквакультуры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84"/>
              <w:ind w:left="0" w:firstLine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Печенгский муниципальный округ обладает значительным потенциалом для развития аквакультуры благодаря наличию большого количества водных объектов.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Деятельность в области аквакультуры в настоящее время осуществляют 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организации, относящиеся к частной форме собственности. </w:t>
            </w:r>
            <w:r>
              <w:rPr>
                <w:sz w:val="22"/>
                <w:szCs w:val="22"/>
              </w:rPr>
              <w:t xml:space="preserve">(</w:t>
            </w:r>
            <w:r>
              <w:rPr>
                <w:sz w:val="22"/>
                <w:szCs w:val="22"/>
              </w:rPr>
              <w:t xml:space="preserve">ООО «Добрыня»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ООО «Русский </w:t>
            </w:r>
            <w:r>
              <w:rPr>
                <w:sz w:val="22"/>
                <w:szCs w:val="22"/>
              </w:rPr>
              <w:t xml:space="preserve">Л</w:t>
            </w:r>
            <w:r>
              <w:rPr>
                <w:sz w:val="22"/>
                <w:szCs w:val="22"/>
              </w:rPr>
              <w:t xml:space="preserve">осось»</w:t>
            </w:r>
            <w:r>
              <w:rPr>
                <w:sz w:val="22"/>
                <w:szCs w:val="22"/>
              </w:rPr>
              <w:t xml:space="preserve">, ООО «Улов», ООО «Сети»)</w:t>
            </w:r>
            <w:r>
              <w:rPr>
                <w:sz w:val="22"/>
                <w:szCs w:val="22"/>
              </w:rPr>
              <w:t xml:space="preserve"> занимаются морским рыбоводством</w:t>
            </w:r>
            <w:r>
              <w:rPr>
                <w:sz w:val="22"/>
                <w:szCs w:val="22"/>
              </w:rPr>
              <w:t xml:space="preserve">. В октябре 2023 года состоялось открытие в рамках инвестиционного проекта фабрики по убою и переработке атлантического лосося в нп. Лиинахамари (ООО «Русский Лосось»).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trike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trike/>
                <w:sz w:val="22"/>
                <w:szCs w:val="22"/>
                <w:lang w:val="en-US"/>
              </w:rPr>
            </w:r>
            <w:r>
              <w:rPr>
                <w:strike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231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19.1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3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количества организаций частной формы собственности в сфере товарной аквакультуры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 инвестиционной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внутреннего и въездного туризма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1029"/>
              <w:ind w:firstLine="534"/>
              <w:jc w:val="both"/>
              <w:spacing w:before="0" w:beforeAutospacing="0" w:after="0" w:afterAutospacing="0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По данным Единого реестра субъектов малого и среднего предпринимательства в настоящее время по коду ОКВЭД 79.11, 79.12. 79.9 на территории Печенгского муниципального округа зарегистрированы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7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туристических агентств, осуществляющих деятельность по реализации туристского продукта,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- туроператора и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– организации по предоставлению экскурсионных услуг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.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Кроме того, инфраструктуру туризма представляют 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9 гостиниц, отелей, баз отдыха, включенных в Федеральный перечень гостиниц и иных средств размещения.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r>
          </w:p>
          <w:p>
            <w:pPr>
              <w:pStyle w:val="1029"/>
              <w:ind w:firstLine="534"/>
              <w:jc w:val="both"/>
              <w:spacing w:before="0" w:beforeAutospacing="0" w:after="0" w:afterAutospacing="0"/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Государственные унитарные предприятия, муниципальные унитарные предприятия, хозяйственные общества, в уставном капитале которых более 50 % акций (долей) находится в государственной (муниципальной) собственности, на указанном рынке отсутствуют.</w:t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r>
            <w:r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</w:r>
          </w:p>
          <w:p>
            <w:pPr>
              <w:ind w:firstLine="534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Сегменты рынка, на которых в силу нормативных требований или объективных причин могут осуществлять деятельность только государственные и (или) муниципальные организации, отсутствуют.</w:t>
            </w:r>
            <w:r>
              <w:rPr>
                <w:sz w:val="22"/>
                <w:szCs w:val="22"/>
                <w:shd w:val="clear" w:color="auto" w:fill="ffffff"/>
              </w:rPr>
            </w:r>
            <w:r>
              <w:rPr>
                <w:sz w:val="22"/>
                <w:szCs w:val="22"/>
                <w:shd w:val="clear" w:color="auto" w:fill="ffffff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рамках муниципальной программы Печенгского муниципального округа «Экон</w:t>
            </w:r>
            <w:r>
              <w:rPr>
                <w:sz w:val="22"/>
                <w:szCs w:val="22"/>
              </w:rPr>
              <w:t xml:space="preserve">омический потенциал» на 2023-2025 годы осуществляется имущественная, консультационная, информационная поддержка начинающим и действующим субъектам малого и среднего предпринимательства, осуществляющим деятельность в области внутреннего и въездного туризма.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Туристический бизнес Печенгского муниципального округа в большей степени ориентирован на «внешнего потребителя», что соответствует понятию въездного туризма в регион. Жители округа не выступают активными потре</w:t>
            </w:r>
            <w:r>
              <w:rPr>
                <w:sz w:val="22"/>
                <w:szCs w:val="22"/>
              </w:rPr>
              <w:t xml:space="preserve">бителями рынка услуг внутреннего туризма, однако указанный рынок представляет особый интерес с позиции территориального маркетинга, ориентированного на внутреннюю целевую аудиторию. Потребление внутреннего туристического потока может рассматриваться как не</w:t>
            </w:r>
            <w:r>
              <w:rPr>
                <w:sz w:val="22"/>
                <w:szCs w:val="22"/>
              </w:rPr>
              <w:t xml:space="preserve">обходимое условие формирования северной идентичности и даже возможного решения вопроса отрицательной миграции населения в регионе. В связи с чем, разработка туристских предложений, ориентированных на жителей округа и региона, представляется целесообразной.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color w:val="auto"/>
                <w:szCs w:val="24"/>
                <w:lang w:eastAsia="en-US"/>
              </w:rPr>
            </w:pPr>
            <w:r>
              <w:rPr>
                <w:sz w:val="22"/>
                <w:szCs w:val="22"/>
              </w:rPr>
              <w:t xml:space="preserve">            </w:t>
            </w:r>
            <w:r>
              <w:rPr>
                <w:sz w:val="22"/>
                <w:szCs w:val="22"/>
              </w:rPr>
              <w:t xml:space="preserve">В мае 2023 года состоялось открытие в пгт. Никель фронт-офиса туристского информационного центра Мурманской области в Печенгском округе - ТИЦ «Северный».</w:t>
            </w:r>
            <w:r>
              <w:rPr>
                <w:color w:val="auto"/>
                <w:szCs w:val="24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Основными целями работы которого является информирование туристов, содействие в развитии субъектам туриндустрии, а также реализация комп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лекса мероприятий, направленных на продвижение Мурманской области как региона, благоприятного для развития туризма. Это в свою очередь позволит увеличить туристский поток в регион и создать благоприятные условия для развития субъектов туриндустрии региона.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Также проводится просветительная работа о природе и уникальных местах Кольского полуострова и профориентационная работа в сфере туризма, ориентированная на юных жителей.</w:t>
            </w:r>
            <w:r>
              <w:rPr>
                <w:color w:val="auto"/>
                <w:szCs w:val="24"/>
                <w:lang w:eastAsia="en-US"/>
              </w:rPr>
            </w:r>
            <w:r>
              <w:rPr>
                <w:color w:val="auto"/>
                <w:szCs w:val="24"/>
                <w:lang w:eastAsia="en-US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На территории Печенгского муниципального округа </w:t>
            </w:r>
            <w:r>
              <w:rPr>
                <w:sz w:val="22"/>
                <w:szCs w:val="22"/>
                <w:shd w:val="clear" w:color="auto" w:fill="ffffff"/>
              </w:rPr>
              <w:t xml:space="preserve">строится</w:t>
            </w:r>
            <w:r>
              <w:rPr>
                <w:sz w:val="22"/>
                <w:szCs w:val="22"/>
                <w:shd w:val="clear" w:color="auto" w:fill="ffffff"/>
              </w:rPr>
              <w:t xml:space="preserve"> гостиничный комплекс. Новый туристический объект разместится в пгт. Никель. Помимо номерного фонда, комплекса озд</w:t>
            </w:r>
            <w:r>
              <w:rPr>
                <w:sz w:val="22"/>
                <w:szCs w:val="22"/>
                <w:shd w:val="clear" w:color="auto" w:fill="ffffff"/>
              </w:rPr>
              <w:t xml:space="preserve">оровительных процедур и развлечений инвестор планирует оказывать транспортные и информационные услуги для трансграничных путешественников. Проект реализует ООО "Золото Арктики", имеющий статус резидента Арктической Зоны Российской Федерации с 04.08.2021г. </w:t>
            </w:r>
            <w:r>
              <w:rPr>
                <w:sz w:val="22"/>
                <w:szCs w:val="22"/>
                <w:shd w:val="clear" w:color="auto" w:fill="ffffff"/>
              </w:rPr>
            </w:r>
            <w:r>
              <w:rPr>
                <w:sz w:val="22"/>
                <w:szCs w:val="22"/>
                <w:shd w:val="clear" w:color="auto" w:fill="ffffff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Разработана концепция «Создание Парка активного отдыха и экстремальных видов спорта в пгт. Никель». Ведутся работы по реализации инвестиционного проекта «Туристический кластер «Валла-Тунтури» (инвестор – ООО «Валла- Тунтури»).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АНО «Центр социальных проектов «Вторая школа» проводятся событийные мероприятия: фестиваль «</w:t>
            </w:r>
            <w:r>
              <w:rPr>
                <w:sz w:val="22"/>
                <w:szCs w:val="22"/>
                <w:lang w:val="en-US"/>
              </w:rPr>
              <w:t xml:space="preserve">GastroIndustry</w:t>
            </w:r>
            <w:r>
              <w:rPr>
                <w:sz w:val="22"/>
                <w:szCs w:val="22"/>
              </w:rPr>
              <w:t xml:space="preserve">», волонтерский лагерь «</w:t>
            </w:r>
            <w:r>
              <w:rPr>
                <w:sz w:val="22"/>
                <w:szCs w:val="22"/>
                <w:lang w:val="en-US"/>
              </w:rPr>
              <w:t xml:space="preserve">Worlds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Tree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Camp</w:t>
            </w:r>
            <w:r>
              <w:rPr>
                <w:sz w:val="22"/>
                <w:szCs w:val="22"/>
              </w:rPr>
              <w:t xml:space="preserve">», арт-резиденции «Никель-Полярный день»,</w:t>
            </w:r>
            <w:r>
              <w:rPr>
                <w:sz w:val="22"/>
                <w:szCs w:val="22"/>
              </w:rPr>
              <w:t xml:space="preserve"> «Полярная ночь»,</w:t>
            </w:r>
            <w:r>
              <w:rPr>
                <w:sz w:val="22"/>
                <w:szCs w:val="22"/>
              </w:rPr>
              <w:t xml:space="preserve"> мероприятия в рамках проекта «Волонтеры Северного Гостеприимства»</w:t>
            </w:r>
            <w:r>
              <w:rPr>
                <w:sz w:val="22"/>
                <w:szCs w:val="22"/>
              </w:rPr>
              <w:t xml:space="preserve">, спортивный фестиваль «Северный ветер»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Построен и введен в эксплуатацию загородный отель «Титовка Арктик Ривер Парк» ООО «Студеный берег».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Ведутся работы по строительству гостиничного комплекса «Полярия». Строительство осуществляет ООО «Полярия»,</w:t>
            </w:r>
            <w:r>
              <w:rPr>
                <w:sz w:val="22"/>
                <w:szCs w:val="22"/>
                <w:shd w:val="clear" w:color="auto" w:fill="ffffff"/>
              </w:rPr>
              <w:t xml:space="preserve"> являющееся резидентом Арктической Зоны РФ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2024 году в нп. Лиинахамари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ООО «Северная усадьба рыбака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завершена первая очередь строительства гостиничного комплекса</w:t>
            </w:r>
            <w:r>
              <w:rPr>
                <w:sz w:val="22"/>
                <w:szCs w:val="22"/>
              </w:rPr>
              <w:t xml:space="preserve"> по реализации проекта «Строительство туристического комплекса в Печенгском округе»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В 2025 году путешественникам станут доступны четыре гостевых дома и ресторан. Резидент готовится к реализации второй очереди проекта – строительству еще трех гостевых домов и банного комплекса.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7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территории округа обустроены 4 туристких маршрута, которые включены Комитетом по туризму Мурманской области в реестр рекомендованных маршрутов, открытие двух маршрутов состоялось в 2024 году: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7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эколого-индустриальный маршрут «Шпиль555»;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712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- маршрут в северной части заповедника Пасвик «Экотропа «Глухая плотина»;</w:t>
            </w:r>
            <w:r>
              <w:rPr>
                <w:sz w:val="22"/>
                <w:szCs w:val="22"/>
                <w:shd w:val="clear" w:color="auto" w:fill="ffffff"/>
              </w:rPr>
            </w:r>
            <w:r>
              <w:rPr>
                <w:sz w:val="22"/>
                <w:szCs w:val="22"/>
                <w:shd w:val="clear" w:color="auto" w:fill="ffffff"/>
              </w:rPr>
            </w:r>
          </w:p>
          <w:p>
            <w:pPr>
              <w:ind w:firstLine="712"/>
              <w:rPr>
                <w:strike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- маршрут «Раякоски – жизнь у трех границ»;</w:t>
            </w:r>
            <w:r>
              <w:rPr>
                <w:strike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trike/>
                <w:sz w:val="22"/>
                <w:szCs w:val="22"/>
                <w:shd w:val="clear" w:color="auto" w:fill="ffffff"/>
              </w:rPr>
            </w:r>
            <w:r>
              <w:rPr>
                <w:strike/>
                <w:sz w:val="22"/>
                <w:szCs w:val="22"/>
                <w:shd w:val="clear" w:color="auto" w:fill="ffffff"/>
              </w:rPr>
            </w:r>
          </w:p>
          <w:p>
            <w:pPr>
              <w:ind w:firstLine="712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- маршрут «Остров Варлама – жемчужина «Пасвика»</w:t>
            </w:r>
            <w:r>
              <w:rPr>
                <w:sz w:val="22"/>
                <w:szCs w:val="22"/>
                <w:shd w:val="clear" w:color="auto" w:fill="ffffff"/>
              </w:rPr>
              <w:t xml:space="preserve">.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Разработана концепция по торгово-пешеходной зоне в пгт. Никель, осуществляется разработка проектно-сметной документации по данной зоне.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Совместно с Комитетом по туризм</w:t>
            </w:r>
            <w:r>
              <w:rPr>
                <w:sz w:val="22"/>
                <w:szCs w:val="22"/>
              </w:rPr>
              <w:t xml:space="preserve">у Мурманской области разработан план туризма в Печенгском муниципальном округе. Данный план представлен в декабре 2023 года на заседании Совета по улучшению инвестиционного климата и развитию предпринимательства при Главе Печенгского муниципального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firstLine="709"/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 xml:space="preserve">В декабре 2023 года проведены две пилотные экскурсии туроператоров и</w:t>
            </w:r>
            <w:r>
              <w:rPr>
                <w:sz w:val="22"/>
                <w:szCs w:val="22"/>
              </w:rPr>
              <w:t xml:space="preserve"> гидов со всей Мурманской области на шахту «Каула – Котсельваара» сотрудниками рудника «Северный» при поддержке Туристкого информационного центра Мурманской области. Подписано дополнительное соглашение к Соглашению о сотрудничестве между Правительством Мур</w:t>
            </w:r>
            <w:r>
              <w:rPr>
                <w:sz w:val="22"/>
                <w:szCs w:val="22"/>
              </w:rPr>
              <w:t xml:space="preserve">манской области и ПАО «ГМК «Норильский никель», включающем мероприятие по разработке проектной документации и реализации проекта туристический кластер Печенгского муниципального округа «Кольская сверхглубокая», «Плавильный цех», «Шахта Каула-Котсельваара».</w:t>
            </w:r>
            <w:r>
              <w:rPr>
                <w:sz w:val="22"/>
                <w:szCs w:val="22"/>
                <w:shd w:val="clear" w:color="auto" w:fill="ffffff"/>
              </w:rPr>
            </w:r>
            <w:r>
              <w:rPr>
                <w:sz w:val="22"/>
                <w:szCs w:val="22"/>
                <w:shd w:val="clear" w:color="auto" w:fill="ffffff"/>
              </w:rPr>
            </w:r>
          </w:p>
          <w:p>
            <w:pPr>
              <w:pStyle w:val="998"/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анализе особенностей рынка внутреннего арктического туризма в округе следует особенно отметить следующие факторы: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98"/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сильная зависимость от климатических факторов и сезонности ряда туристических маршрутов;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98"/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труднодоступность привлекательных с точки зрения развития туризма мест и объектов показа;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98"/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слабо развитая туристская инфраструктура;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98"/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высокая стоимость туристских продуктов;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        - малое количество гостиничных средств размещения с современным уровнем комфорта;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        - недостаточно высокое качество регионального туристского продукта, уровня гостеприимства, безопасности и доступности услуг;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         - дефицит квалифицированных кадров, что определяет невысокое качество обслуживания во всех секторах туристской индустрии;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         - высокая стоимость проживания, питания, транспортного и иного туристского обслуживания;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         - недостаточно развита транспортная инфраструктура (низкое качество дорог и уровня придорожного обслуживания) и другие.  </w:t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  <w:r>
              <w:rPr>
                <w:rFonts w:eastAsia="Calibri"/>
                <w:color w:val="auto"/>
                <w:sz w:val="22"/>
                <w:szCs w:val="22"/>
                <w:lang w:eastAsia="en-US"/>
              </w:rPr>
            </w:r>
          </w:p>
          <w:p>
            <w:pPr>
              <w:ind w:firstLine="5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Вместе с тем, основой туристской привлекательности Арктической зоны как раз и являю</w:t>
            </w:r>
            <w:r>
              <w:rPr>
                <w:sz w:val="22"/>
                <w:szCs w:val="22"/>
              </w:rPr>
              <w:t xml:space="preserve">тся особенности географического положения, труднодоступность, природно-климатическая специфика, уникальные явления природы (полярный день и полярная ночь, северное сияние) и северная экзотика (низкие температуры, незамерзающий Кольский залив, снег в июле).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20.1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ind w:right="12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ind w:right="1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3" w:type="dxa"/>
            <w:textDirection w:val="lrTb"/>
            <w:noWrap w:val="false"/>
          </w:tcPr>
          <w:p>
            <w:pPr>
              <w:ind w:right="13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Консультант по приграничному сотрудничеству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8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21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1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Рынок услуг связи, в том числе широкополосного доступа к информационно-телекоммуникационной сети Интернет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1004"/>
              <w:ind w:firstLine="5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Печенгском муниципальном округе в настоящее время рынок является развитым с высоким уровнем конкуренции, на рынке фактически предоставляют услуги все крупнейшие федеральные операторы связи, а также ряд региональных операторов связи.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1004"/>
              <w:ind w:firstLine="5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Основными административными и экономическими барьерами для входа на рынок являются: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1004"/>
              <w:ind w:firstLine="5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деятельность является лицензируемой в соответствии с действующим законодательством;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1004"/>
              <w:ind w:firstLine="5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высокий уровень капитальных затрат для начала предоставления услуг;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1004"/>
              <w:ind w:firstLine="5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высокий уровень насыщенности рынка.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1004"/>
              <w:ind w:firstLine="53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Потребители в целом оценивают конкурентную среду удовлетворительно.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pStyle w:val="1004"/>
              <w:ind w:firstLine="534"/>
              <w:jc w:val="both"/>
            </w:pPr>
            <w:r>
              <w:rPr>
                <w:rFonts w:ascii="Times New Roman" w:hAnsi="Times New Roman" w:cs="Times New Roman"/>
              </w:rPr>
              <w:t xml:space="preserve">Предположительно рынок будет развиваться в основном с точки зрения повышения качества предоставляемых услуг, возможно также незначительное расширение территории оказания услуг в отдельных населённых пунктах.</w:t>
            </w:r>
            <w:r/>
          </w:p>
        </w:tc>
      </w:tr>
      <w:tr>
        <w:tblPrEx/>
        <w:trPr>
          <w:trHeight w:val="231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21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состояния и развития конкурентной среды на рынке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1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Риски ухудшения условий ведения деятельности на рынке или снижения качества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Сохранение доли присутствия на рынке организаций частной формы собственности в общем количестве хозяйствующих субъектов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Корректировка мероприятий «дорожной карты» при выявлении неблагоприятных условий ведения деятельности на рынке, неудовлетворенности качеством услуг для потребителей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годы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 инвестиционной деятельности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spacing w:after="269"/>
      </w:pPr>
      <w:r>
        <w:t xml:space="preserve"> </w:t>
      </w:r>
      <w:r/>
    </w:p>
    <w:p>
      <w:pPr>
        <w:spacing w:after="269"/>
      </w:pPr>
      <w:r/>
      <w:r/>
    </w:p>
    <w:p>
      <w:pPr>
        <w:spacing w:after="269"/>
      </w:pPr>
      <w:r/>
      <w:r/>
    </w:p>
    <w:p>
      <w:pPr>
        <w:spacing w:after="269"/>
      </w:pPr>
      <w:r/>
      <w:r/>
    </w:p>
    <w:p>
      <w:pPr>
        <w:spacing w:after="269"/>
      </w:pPr>
      <w:r/>
      <w:r/>
    </w:p>
    <w:p>
      <w:pPr>
        <w:spacing w:after="269"/>
      </w:pPr>
      <w:r/>
      <w:r/>
    </w:p>
    <w:p>
      <w:pPr>
        <w:numPr>
          <w:ilvl w:val="0"/>
          <w:numId w:val="29"/>
        </w:numPr>
        <w:ind w:firstLine="374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Ключевые показатели эффективности реализации системных мероприятий, направленных на развитие конкуренции  в      Печенгском муниципальном округе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0"/>
        <w:jc w:val="center"/>
      </w:pPr>
      <w:r>
        <w:rPr>
          <w:b/>
          <w:sz w:val="24"/>
        </w:rPr>
        <w:t xml:space="preserve"> </w:t>
      </w:r>
      <w:r/>
    </w:p>
    <w:tbl>
      <w:tblPr>
        <w:tblW w:w="15849" w:type="dxa"/>
        <w:tblInd w:w="-113" w:type="dxa"/>
        <w:tblCellMar>
          <w:top w:w="7" w:type="dxa"/>
          <w:right w:w="58" w:type="dxa"/>
        </w:tblCellMar>
        <w:tblLook w:val="04A0" w:firstRow="1" w:lastRow="0" w:firstColumn="1" w:lastColumn="0" w:noHBand="0" w:noVBand="1"/>
      </w:tblPr>
      <w:tblGrid>
        <w:gridCol w:w="1075"/>
        <w:gridCol w:w="3490"/>
        <w:gridCol w:w="3091"/>
        <w:gridCol w:w="1308"/>
        <w:gridCol w:w="1308"/>
        <w:gridCol w:w="1308"/>
        <w:gridCol w:w="1308"/>
        <w:gridCol w:w="2961"/>
      </w:tblGrid>
      <w:tr>
        <w:tblPrEx/>
        <w:trPr>
          <w:trHeight w:val="701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ind w:hanging="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Пункт стандар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ind w:hanging="2"/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та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Сокращенное наименование  системного мероприятия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Ключевые показатели эффективности реализации системного мероприятия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31.12.2022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31.12.2023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31.12.2024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31.12.2025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ind w:hanging="31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Ответственный исполнитель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16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«а» п. 30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Развитие конкурентоспособности товаров, работ, услуг субъектов малого и среднего предпринимательства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субъектов малого и среднего предпринимательства (включая индивидуальных предпринимателей) в расчете на 1 тыс. человек населения, ед.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23,7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28,4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27,2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27,5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  <w:t xml:space="preserve">, Сектор по инвестиционной деятельности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</w:tr>
      <w:tr>
        <w:tblPrEx/>
        <w:trPr>
          <w:trHeight w:val="166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пп. «б» п. 30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Среднее количество участников закупок «малого объема», осуществленных на региональной торговой площадке, ед. 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2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2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2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2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сопровождению деятельности муниципальных заказчиков МКУ «Управление по обеспечению деятельности администрации Печенгского  округа»;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7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закупок, участниками которых являются только субъекты малого предпринимательства и социально ориентированные некоммерческие организации, в сфере муниципальных закупок, 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30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30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30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30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размещению муниципальных закупок администрации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1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«в» п. 30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объема закупок отдельных видов юридических лиц, участниками которых являются только субъекты малого и среднего предпринимательства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закупок отдельных видов юридических лиц, участниками которых являются только субъекты малого и среднего предпринимательства, %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25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25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2</w:t>
            </w:r>
            <w:r>
              <w:rPr>
                <w:sz w:val="22"/>
                <w:szCs w:val="22"/>
              </w:rPr>
              <w:t xml:space="preserve">5,0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25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размещению муниципальных закупок администрации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85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«г» п. 30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избыточного государственного и муниципального регулирования, а также снижение административных барьеров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нарушений антимонопольного законодательства со стороны органов местного самоуправления, 3 – положительная динамика, 2 – динамика отсутствует, 1 – отрицательная динамика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3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размещению муниципальных закупок администрации Печенгского муниципального округа,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юридический отдел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6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«д» п. 30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Совершенствование процессов управления </w:t>
            </w:r>
            <w:r>
              <w:rPr>
                <w:sz w:val="22"/>
                <w:szCs w:val="22"/>
              </w:rPr>
              <w:t xml:space="preserve">в рамках полномочий органов местного самоуправления, закрепленных за ними законодательством Российской Федерации, объектами муниципальной собственности, а также на ограничение влияния государственных и муниципальных предприятий и учреждений на конкуренцию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исполненных прогнозных планов (программ) приватизации муниципального имущества к общему количеству утвержденных прогнозных планов (программ) приватизации муниципального имущества,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618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объектов недвижимого имущества, закрепленного за муниципальными учреждениями и унитарными предприятиями, реализация которых осуществлена конкурентными способами, %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</w:t>
            </w: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162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«е» п. 30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недискриминационного доступа хозяйствующих субъектов на товарные рынки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субъектов предпринимательской деятельности, оценивающих равные возможности конкурировать, равный доступ к ресурсам и отсутствие преференции со стороны органов власти, %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30</w:t>
            </w:r>
            <w:r>
              <w:rPr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30,0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  <w:lang w:val="en-US"/>
              </w:rPr>
              <w:t xml:space="preserve">не менее </w:t>
            </w:r>
            <w:r>
              <w:rPr>
                <w:color w:val="auto"/>
                <w:sz w:val="22"/>
                <w:szCs w:val="22"/>
              </w:rPr>
              <w:t xml:space="preserve">3</w:t>
            </w:r>
            <w:r>
              <w:rPr>
                <w:color w:val="auto"/>
                <w:sz w:val="22"/>
                <w:szCs w:val="22"/>
                <w:lang w:val="en-US"/>
              </w:rPr>
              <w:t xml:space="preserve">5</w:t>
            </w:r>
            <w:r>
              <w:rPr>
                <w:color w:val="auto"/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не менее 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 xml:space="preserve">35,0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Сектор инвестиционной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8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«ж» п. 30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и сохранение целевого использования муниципальных объектов недвижимого имущества в социальной сфере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объектов недвижимого имущества в социальной сфере, не используемого при уставной деятельности и не вовлеченного в хозяйственный оборот, да -1/ нет -0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tabs>
                <w:tab w:val="center" w:pos="616" w:leader="none"/>
                <w:tab w:val="center" w:pos="218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b/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9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«з» п. 30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Содействие развитию практики применения механизмов муниципально-частного партнерства, практики заключения концессионных соглашений, </w:t>
            </w:r>
            <w:r>
              <w:rPr>
                <w:sz w:val="22"/>
                <w:szCs w:val="22"/>
              </w:rPr>
              <w:t xml:space="preserve">в том числе в социальной сфере (детский отдых и оздоровление, спорт, здравоохранение, социальное обслуживание, дошкольное образование, культура, развитие сетей подвижной радиотелефонной связи в сельской местности, малонаселенных и труднодоступных районах)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соглашений о муниципально-частном партнерстве, в том числе концессионных соглашений, в социальной сфере, ед.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Сектор инвестиционной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69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«и» п. 30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Содействие развитию негосударственных (немуниципальных) социально ориентированных некоммерческих организаций и «социального предпринимательства»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СО НКО, за исключением государственных (муниципальных) учреждений, на территории Печенгского муниципального округа на 1 тыс. населения, ед.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«л» п. 30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Развитие механизмов поддержки технического и научно-технического творчества детей и молодежи, обучения их правовой, технологической грамотности и основам цифровой экономики,</w:t>
            </w:r>
            <w:r>
              <w:rPr>
                <w:sz w:val="22"/>
                <w:szCs w:val="22"/>
              </w:rPr>
              <w:t xml:space="preserve"> в том числе в рамках стационарных загородных лагерей с соответствующим специализированным уклоном, а также повышение их информированности о потенциальных возможностях саморазвития, обеспечение поддержки научной, творческой и предпринимательской активности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ind w:right="137"/>
              <w:jc w:val="both"/>
              <w:rPr>
                <w:strike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Доля</w:t>
            </w:r>
            <w:r>
              <w:rPr>
                <w:sz w:val="22"/>
                <w:szCs w:val="22"/>
              </w:rPr>
              <w:t xml:space="preserve"> детей Печенгского муниципального округа в возрасте от 5 до 17 лет, охваченных дополнительными общеобразовательными программами технической и естественнонаучной направленностей,%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  <w:p>
            <w:pPr>
              <w:jc w:val="both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 </w:t>
            </w:r>
            <w:r>
              <w:rPr>
                <w:sz w:val="22"/>
                <w:szCs w:val="22"/>
              </w:rPr>
              <w:t xml:space="preserve">(МБУ ДО ДДТ № 2)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7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«н» п. 30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Выявление одаренн</w:t>
            </w:r>
            <w:r>
              <w:rPr>
                <w:sz w:val="22"/>
                <w:szCs w:val="22"/>
              </w:rPr>
              <w:t xml:space="preserve">ых детей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также социальная поддержка молодых специалистов в различных сферах экономической деятельности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участников конкурсных мероприятий различных направленностей муниципального уровня (в т.ч. муниципальные этапы мероприятий всероссийского и международного уровней), от общей численности школьников, % 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17,4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18,0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 (МБУ ДО ДДТ № 2),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пп. «о» п. 30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ind w:right="13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равных условий доступа к информации о муниципальном им</w:t>
            </w:r>
            <w:r>
              <w:rPr>
                <w:sz w:val="22"/>
                <w:szCs w:val="22"/>
              </w:rPr>
              <w:t xml:space="preserve">уществе Печенгского муниципального округа,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или предоставлении его во владение и (или) пользов</w:t>
            </w:r>
            <w:r>
              <w:rPr>
                <w:sz w:val="22"/>
                <w:szCs w:val="22"/>
              </w:rPr>
              <w:t xml:space="preserve">ание, а также о ресурсах всех видов, находящихся в собственности Печенгского муниципального округа, путем размещения указанной информации на официальном сайте Печенгского муниципального округа в сети Интернет для размещения информации о проведении торгов (</w:t>
            </w:r>
            <w:r>
              <w:rPr>
                <w:sz w:val="22"/>
                <w:szCs w:val="22"/>
                <w:lang w:val="en-US"/>
              </w:rPr>
              <w:t xml:space="preserve">www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  <w:lang w:val="en-US"/>
              </w:rPr>
              <w:t xml:space="preserve">torgi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  <w:lang w:val="en-US"/>
              </w:rPr>
              <w:t xml:space="preserve">gov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  <w:lang w:val="en-US"/>
              </w:rPr>
              <w:t xml:space="preserve">ru</w:t>
            </w:r>
            <w:r>
              <w:rPr>
                <w:sz w:val="22"/>
                <w:szCs w:val="22"/>
              </w:rPr>
              <w:t xml:space="preserve">) и на официальном сайте уполномоченного органа в сети Интернет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Актуальная информация об объектах недвижимого имущества, находящихся в муниципальной собственности размещена,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да- 1, нет - 0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52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п. «ф» п. 30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Повышение уровня финансовой грамотности населения (потребителей) и субъектов малого и среднего предпринимательства, в том числе путе</w:t>
            </w:r>
            <w:r>
              <w:rPr>
                <w:rFonts w:eastAsia="Calibri"/>
                <w:color w:val="auto"/>
                <w:lang w:eastAsia="en-US"/>
              </w:rPr>
              <w:t xml:space="preserve">м увеличения доли населения Печенгского муниципального округа, прошедшего обучение по повышению финансовой грамотности в рамках Стратегии повышения финансовой грамотности в Российской Федерации, утвержденной распоряжением Правительства Российской Федерации</w:t>
            </w:r>
            <w:r>
              <w:rPr>
                <w:rFonts w:eastAsia="Calibri"/>
                <w:color w:val="auto"/>
                <w:lang w:eastAsia="en-US"/>
              </w:rPr>
            </w:r>
            <w:r>
              <w:rPr>
                <w:rFonts w:eastAsia="Calibri"/>
                <w:color w:val="auto"/>
                <w:lang w:eastAsia="en-US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мероприятий, направленных на повышение финансовой грамотности и формирование финансовой культуры населения Печенгского муниципального округа, да/нет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да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да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да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да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Финансовое управление </w:t>
            </w:r>
            <w:r>
              <w:rPr>
                <w:sz w:val="22"/>
                <w:szCs w:val="22"/>
              </w:rPr>
              <w:t xml:space="preserve">администрации Печенгского муниципального округа (далее – ФИНУ)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5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075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пп. «ш» п. 30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490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Обучение муниципальных служащих основам государственной политики в области развития конкуренции и антимонопольного законодательства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Российской Федерации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Численность муниципальных служащих Печенгского муниципального округа, прошедших обучение по программе дополнительного профессионального образования «Основы государственной политики по развитию конкуренции и антимонопольного законодательства, чел. в год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0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tabs>
                <w:tab w:val="center" w:pos="430" w:leader="none"/>
                <w:tab w:val="center" w:pos="231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Сектор муниципальной службы и кадров администрации Печенгского муниципального округа (далее – сектор муниципальной службы и кадров)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430" w:leader="none"/>
                <w:tab w:val="center" w:pos="231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801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мероприятиях, проводимых Комите</w:t>
            </w:r>
            <w:r>
              <w:rPr>
                <w:sz w:val="22"/>
                <w:szCs w:val="22"/>
              </w:rPr>
              <w:t xml:space="preserve">том по конкурентной политике Мурманской области, Мурманским УФАС России для государственных и муниципальных служащих региона, а также работников подведомственных предприятий и учреждений по вопросам разъяснения антимонопольного законодательства, ед. в год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 xml:space="preserve">2</w:t>
            </w:r>
            <w:r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>
              <w:rPr>
                <w:color w:val="auto"/>
                <w:sz w:val="22"/>
                <w:szCs w:val="22"/>
                <w:lang w:val="en-US"/>
              </w:rPr>
            </w:r>
            <w:r>
              <w:rPr>
                <w:color w:val="auto"/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2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tabs>
                <w:tab w:val="center" w:pos="430" w:leader="none"/>
                <w:tab w:val="center" w:pos="2310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801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пп. «э» п. 30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</w:t>
            </w:r>
            <w:r>
              <w:rPr>
                <w:sz w:val="22"/>
                <w:szCs w:val="22"/>
              </w:rPr>
              <w:t xml:space="preserve">слуги по выдаче разрешений на ввод объекта в эксплуатацию при осуществлении строительства, реконструкции, капитального ремонта объектов капитального строительства, внедрение которых целесообразно осуществить на территории Печенгского муниципального округа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Муниципальные административные регламенты приведены в соответствие с типовыми административными регламентами предоставления муниципальных услуг,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 – 1, нет - 0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809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9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Информационное обеспечение развития конкуренции на территории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9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Доклад о состоянии и развитии конкурентной среды на рынках товаров, работ, услуг Печенгского муниципального округа размещен на официальном сайте Печенгского муниципального округа, да – 1, нет - 0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6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</w:pPr>
      <w:r>
        <w:rPr>
          <w:sz w:val="28"/>
        </w:rPr>
        <w:t xml:space="preserve"> </w:t>
      </w:r>
      <w:r/>
    </w:p>
    <w:p>
      <w:pPr>
        <w:numPr>
          <w:ilvl w:val="0"/>
          <w:numId w:val="29"/>
        </w:numPr>
        <w:ind w:left="0" w:firstLine="372"/>
        <w:jc w:val="center"/>
        <w:spacing w:after="13" w:line="270" w:lineRule="auto"/>
        <w:rPr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План мероприятий («дорожная карта») по реализации системных мероприятий, направленных на развитие конкуренции в Печенгском муниципальном округе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/>
        <w:suppressLineNumbers w:val="0"/>
      </w:pPr>
      <w:r>
        <w:rPr>
          <w:b/>
          <w:sz w:val="28"/>
        </w:rPr>
        <w:t xml:space="preserve"> </w:t>
      </w:r>
      <w:r/>
    </w:p>
    <w:tbl>
      <w:tblPr>
        <w:tblW w:w="15583" w:type="dxa"/>
        <w:tblInd w:w="-112" w:type="dxa"/>
        <w:tblLayout w:type="fixed"/>
        <w:tblCellMar>
          <w:left w:w="104" w:type="dxa"/>
          <w:top w:w="7" w:type="dxa"/>
          <w:right w:w="5" w:type="dxa"/>
        </w:tblCellMar>
        <w:tblLook w:val="04A0" w:firstRow="1" w:lastRow="0" w:firstColumn="1" w:lastColumn="0" w:noHBand="0" w:noVBand="1"/>
      </w:tblPr>
      <w:tblGrid>
        <w:gridCol w:w="705"/>
        <w:gridCol w:w="2673"/>
        <w:gridCol w:w="2596"/>
        <w:gridCol w:w="2406"/>
        <w:gridCol w:w="2911"/>
        <w:gridCol w:w="1621"/>
        <w:gridCol w:w="80"/>
        <w:gridCol w:w="2591"/>
      </w:tblGrid>
      <w:tr>
        <w:tblPrEx/>
        <w:trPr>
          <w:trHeight w:val="931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п/п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Наименование мероприятия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Проблема, на решение которой направлено меро-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приятие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Вид правового акта или показатель, характери-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зующий реализацию мероприятия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Результат реализации мероприятия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Сроки разработки и реализации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Ответственные исполнители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25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Развитие конкурентоспособности товаров, работ, услуг субъектов малого и среднего предпринимательства (пп. </w:t>
            </w:r>
            <w:r>
              <w:rPr>
                <w:b/>
                <w:sz w:val="22"/>
                <w:szCs w:val="22"/>
                <w:lang w:val="en-US"/>
              </w:rPr>
              <w:t xml:space="preserve">«а»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  <w:lang w:val="en-US"/>
              </w:rPr>
              <w:t xml:space="preserve">)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116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1.1. </w:t>
            </w:r>
            <w:r>
              <w:rPr>
                <w:sz w:val="22"/>
                <w:szCs w:val="22"/>
                <w:highlight w:val="yellow"/>
                <w:lang w:val="en-US"/>
              </w:rPr>
            </w:r>
            <w:r>
              <w:rPr>
                <w:sz w:val="22"/>
                <w:szCs w:val="22"/>
                <w:highlight w:val="yellow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</w:t>
            </w:r>
            <w:r>
              <w:rPr>
                <w:sz w:val="22"/>
                <w:szCs w:val="22"/>
              </w:rPr>
              <w:t xml:space="preserve">имущественной и информационной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поддержки субъектам малого и среднего предпринимательства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Недостаток инвестиций для развития бизнеса</w:t>
            </w:r>
            <w:r>
              <w:rPr>
                <w:sz w:val="22"/>
                <w:szCs w:val="22"/>
              </w:rPr>
              <w:t xml:space="preserve">, недостаток информации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jc w:val="both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Постановление администрации Печенгского муниципального округа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т 19.07.2021 №750 (в ред. от 03.12.2024 №1914) «Об утверждении перечня имущества, находящегося в собственности Печенгского муниципального</w:t>
            </w:r>
            <w:r>
              <w:rPr>
                <w:sz w:val="22"/>
                <w:szCs w:val="22"/>
              </w:rPr>
              <w:t xml:space="preserve">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предусмотренного частью 4 статьи 18 Федерального закона «О раз</w:t>
            </w: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  <w:t xml:space="preserve">итии малого и среднего предпринимательства в Российской Федерации»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решение Совета депутатов Печенгского муниципального округа от 16.02.2024 № 455 «О мерах поддержки субъектов малого и среднего предпринимательства, использующих муниципальное имущество под размещение объектов связи и центров обработки данных.»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Поддержка, развитие </w:t>
            </w:r>
            <w:r>
              <w:rPr>
                <w:sz w:val="22"/>
                <w:szCs w:val="22"/>
              </w:rPr>
              <w:t xml:space="preserve">субъектов МСП</w:t>
            </w:r>
            <w:r>
              <w:rPr>
                <w:sz w:val="22"/>
                <w:szCs w:val="22"/>
              </w:rPr>
              <w:t xml:space="preserve">, расширение доступа субъектов МСП к имущественным ресурсам, 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мущественная поддержка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до 31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декабря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  <w:t xml:space="preserve">, КУИ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 (пп. </w:t>
            </w:r>
            <w:r>
              <w:rPr>
                <w:b/>
                <w:sz w:val="22"/>
                <w:szCs w:val="22"/>
                <w:lang w:val="en-US"/>
              </w:rPr>
              <w:t xml:space="preserve">«б»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  <w:lang w:val="en-US"/>
              </w:rPr>
              <w:t xml:space="preserve">)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300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консультационной работы по реализации Соглашения между муниципальным образованием и Комитетом по конкурентной политике Мурманской области в целях недопущения</w:t>
            </w:r>
            <w:r>
              <w:rPr>
                <w:sz w:val="22"/>
                <w:szCs w:val="22"/>
              </w:rPr>
              <w:t xml:space="preserve"> в дальнейшем случаев закупок, объект которых не соответствует основаниям для заключения договора без публикации извещения на торговой площадке «Закупки Мурманской области» автоматизированной информационной системы управления закупками Мурманской области «</w:t>
            </w:r>
            <w:r>
              <w:rPr>
                <w:sz w:val="22"/>
                <w:szCs w:val="22"/>
                <w:lang w:val="en-US"/>
              </w:rPr>
              <w:t xml:space="preserve">WEB</w:t>
            </w:r>
            <w:r>
              <w:rPr>
                <w:sz w:val="22"/>
                <w:szCs w:val="22"/>
              </w:rPr>
              <w:t xml:space="preserve"> – Торги КС» (далее – Торговая площадка)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случаев закупок, объект которых не соответствует основаниям для заключения договора без публикации извещения на Торговой площадке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случаев (снижение количества</w:t>
            </w:r>
            <w:r>
              <w:rPr>
                <w:sz w:val="22"/>
                <w:szCs w:val="22"/>
              </w:rPr>
              <w:t xml:space="preserve">)) осуществления закупки у единственного поставщика без учета применения Торговой площадки. Мониторинг заказчиков, находящихся в ведомственной подчиненности и осуществляющих закупочную деятельность в соответствии с Федеральным законом от 05.04.2013 № 44-ФЗ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Устранение случаев закупок, объект которых не соответствует основаниям для заключения договора без публикации извещения на Торговой площадке.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доли закупок «малого объема», размещенных на Торговой площадке по Федеральному закону от 05.04.2013 № 44-ФЗ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tabs>
                <w:tab w:val="right" w:pos="173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right" w:pos="173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01 января по</w:t>
            </w:r>
            <w:r>
              <w:rPr>
                <w:sz w:val="22"/>
                <w:szCs w:val="22"/>
              </w:rPr>
              <w:tab/>
              <w:t xml:space="preserve">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декабря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сопровождению деятельности муниципальных заказчиков МКУ «Управление по обеспечению деятельности администрации Печенгского округа»; ГРБС, курирующий заказчика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2.2.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</w:t>
            </w:r>
            <w:r>
              <w:rPr>
                <w:sz w:val="22"/>
                <w:szCs w:val="22"/>
              </w:rPr>
              <w:t xml:space="preserve">приятий и ознакомление с проводимыми обучающими мероприятиями Комитетов и Министерств Мурманской области, ФАС и Казначейства (семинары, вебинары, обучения, рабочие совещания, разработанными методическими рекомендациями) для участников закупочного процесса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Недостаточное информирование участников закупок по применению норм действующего законодательства в сфере закупок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  <w:lang w:val="en-US"/>
              </w:rPr>
              <w:t xml:space="preserve"> мероприятий</w:t>
            </w:r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уровня информированности участников закупочного процесса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размещению муниципальных закупок администрации Печенгского муниципального округа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2.3.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доли закупок, участниками которых являются только субъекты малого предпринимательства и социально ориентированные некоммерческие организации, включая закупки подведомственных учреждений и организаций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Недостаточное количество закупок, участниками которых являются субъекты малого предпринимательства и социально ориентированные некоммерческие организации, в сфере муниципальных закупок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</w:t>
            </w:r>
            <w:r>
              <w:rPr>
                <w:sz w:val="22"/>
                <w:szCs w:val="22"/>
              </w:rPr>
              <w:t xml:space="preserve">формация отдела по размещению муниципальных закупок Печенгского муниципального округа об объемах закупок, участниками которых являются только субъекты малого предпринимательства и социально ориентированные некоммерческие организации, в сфере муниципального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заказа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осуществления закупок у субъектов малого предпринимательства в объеме не менее чем 30% совокупного годового объема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закупок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по размещению муниципальных закупок администрации Печенгского муниципального округа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2.4.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Централизация проведения совместных типовых закупок учреждений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процедур,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которые не</w:t>
            </w:r>
            <w:r>
              <w:rPr>
                <w:sz w:val="22"/>
                <w:szCs w:val="22"/>
              </w:rPr>
              <w:t xml:space="preserve"> привели к заключению контракта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и применение единых технических заданий, условий контрактов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Устранение (снижение количества):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numPr>
                <w:ilvl w:val="0"/>
                <w:numId w:val="45"/>
              </w:numPr>
              <w:ind w:left="0"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случаев (снижение количества) осуществления закупки у единственного поставщика;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numPr>
                <w:ilvl w:val="0"/>
                <w:numId w:val="45"/>
              </w:numPr>
              <w:ind w:left="0"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процедур, которые не привели к заключению контракта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ind w:righ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Отдел по размещению муниципальных закупок администрации Печенгского муниципального округа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  <w:t xml:space="preserve"> Отдел по сопровождению деятельности муниципальных заказчиков МКУ «Управление по обеспечению деятельности администрации Печенгского 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Увеличение объема закупок отдельных видов юридических лиц, участниками которых являются только субъекты малого и среднего предпринимательства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(пп. «в»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  <w:lang w:val="en-US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3.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мониторинга соблюдения доли закупок, осуществленных отдельными видами юридических лиц у субъектов малого и среднего предпринимательства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Недостаточное количество закупок, участниками которых являются субъекты малого и среднего предпринимательства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Отчет по мониторингу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осуществления закупок у субъектов малого и среднего предпринимательства в объеме не менее чем 25 % от годового объема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ind w:right="75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75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до 20 февраля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ГРБС, которому подведомственно юридическое лицо, размещающее закупки (223-ФЗ «О закупках товаров, работ, услуг отдельными видами юридических лиц»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4.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Устранение избыточного государственного и муниципального регулирования, а также снижение административных барьеров (пп. </w:t>
            </w:r>
            <w:r>
              <w:rPr>
                <w:b/>
                <w:sz w:val="22"/>
                <w:szCs w:val="22"/>
                <w:lang w:val="en-US"/>
              </w:rPr>
              <w:t xml:space="preserve">«г»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  <w:lang w:val="en-US"/>
              </w:rPr>
              <w:t xml:space="preserve">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4.1.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Актуализация органами местного самоуправления карты комплаенс рисков и плана мероприятий по их минимизации и устранению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рисков нарушения антимонопольного законодательства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Правовые акты органов местного самоуправления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рисков нарушения антимонопольного законодательства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tabs>
                <w:tab w:val="center" w:pos="418" w:leader="none"/>
                <w:tab w:val="center" w:pos="1180" w:leader="none"/>
                <w:tab w:val="center" w:pos="1572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418" w:leader="none"/>
                <w:tab w:val="center" w:pos="1180" w:leader="none"/>
                <w:tab w:val="center" w:pos="1572" w:leader="none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до </w:t>
            </w:r>
            <w:r>
              <w:rPr>
                <w:sz w:val="22"/>
                <w:szCs w:val="22"/>
              </w:rPr>
              <w:t xml:space="preserve">01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апреля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Юридический отдел,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5. </w:t>
            </w:r>
            <w:r>
              <w:rPr>
                <w:b/>
                <w:sz w:val="22"/>
                <w:szCs w:val="22"/>
                <w:lang w:val="en-US"/>
              </w:rPr>
            </w: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Совершенствование процессов управления в рамках полномочий органов исполнительной власти субъектов Российской Федерации или органов местного самоуправления, закрепленн</w:t>
            </w:r>
            <w:r>
              <w:rPr>
                <w:b/>
                <w:sz w:val="22"/>
                <w:szCs w:val="22"/>
              </w:rPr>
              <w:t xml:space="preserve">ых за ними законодательством Российской Федерации, объектами государственной собственности субъекта Российской Федерации и муниципальной собственности, а также на ограничение влияния государственных и муниципальных предприятий  и учреждений на конкуренцию </w:t>
            </w:r>
            <w:r>
              <w:rPr>
                <w:b/>
                <w:sz w:val="22"/>
                <w:szCs w:val="22"/>
                <w:lang w:val="en-US"/>
              </w:rPr>
              <w:t xml:space="preserve">(пп. «д»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  <w:lang w:val="en-US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5.1.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реалистичных прогнозных планов (программ) приватизации муниципального имущества и своевременное внесение изменений в прогнозные планы (программы) приватизации муниципального имущества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Низкий процент выполнения прогнозных планов (программ) приватизации имущества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Правовые акты органов местного самоуправления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эффективности приватизации имущества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ind w:right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(на период трех лет)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tabs>
                <w:tab w:val="center" w:pos="297" w:leader="none"/>
                <w:tab w:val="center" w:pos="1907" w:leader="none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ab/>
              <w:t xml:space="preserve">КУИ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5.2.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и анализ информации о реализации программ (планов) приватизации муниципального имущества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Отчет о результатах мониторинга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Заключение о результатах приватизации имущества Печенгского муниципального округа за прошедший год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5.3.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Промежуточный контроль  выполнения прогнозных планов (программ) приватизации муниципального имущества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Затягивание периода начала проведения процедур приватизации муниципального имущества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отчеты о ходе приватизации муниципального имущества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эффективности процедур приватизации муниципального имущества, формирование реалистичных прогнозных планов (программ) приватизации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1 ноября текущего года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tabs>
                <w:tab w:val="center" w:pos="297" w:leader="none"/>
                <w:tab w:val="center" w:pos="1906" w:leader="none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ab/>
              <w:t xml:space="preserve">КУИ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5.4.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состава имущества, находящегося в собственности Печенгского муниципального округа, не используемого для реализации функций и полномочий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Неэффективность использования </w:t>
            </w:r>
            <w:r>
              <w:rPr>
                <w:sz w:val="22"/>
                <w:szCs w:val="22"/>
              </w:rPr>
              <w:t xml:space="preserve">муниципального </w:t>
            </w:r>
            <w:r>
              <w:rPr>
                <w:sz w:val="22"/>
                <w:szCs w:val="22"/>
                <w:lang w:val="en-US"/>
              </w:rPr>
              <w:t xml:space="preserve">имущества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План приватизации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Сформирован перечень имущества, находящегося в собственности Печенгского муниципального округа, не используемого для реализации функций и полномочий органов местного самоуправления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января </w:t>
            </w: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года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5.5.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инвентаризации муниципального имущества, определение имущества, находящегося в собственности Печенгского муниципального округа, не используемого для реализации функций и полномочий органов местного самоуправления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Неэффективность использования </w:t>
            </w:r>
            <w:r>
              <w:rPr>
                <w:sz w:val="22"/>
                <w:szCs w:val="22"/>
              </w:rPr>
              <w:t xml:space="preserve">муниципального </w:t>
            </w:r>
            <w:r>
              <w:rPr>
                <w:sz w:val="22"/>
                <w:szCs w:val="22"/>
                <w:lang w:val="en-US"/>
              </w:rPr>
              <w:t xml:space="preserve">имущества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НПА об утверждении перечней объектов недвижимог</w:t>
            </w:r>
            <w:r>
              <w:rPr>
                <w:sz w:val="22"/>
                <w:szCs w:val="22"/>
              </w:rPr>
              <w:t xml:space="preserve">о имущества муниципального имущества Печенгского муниципального округа, не используемых муниципальными учреждениями при осуществлении уставной деятельности, выявленных в рамках инвентаризации имущества и мероприятий по их вовлечению в хозяйственный оборот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инвентаризации муниципального имущества, определение имущества, находящегося в собственности Печенгского муниципального округа, не используемого для реализации функций и полномочий органов местного самоуправления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до 1 </w:t>
            </w:r>
            <w:r>
              <w:rPr>
                <w:sz w:val="22"/>
                <w:szCs w:val="22"/>
              </w:rPr>
              <w:t xml:space="preserve">декабря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5.6.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Приватизация имущества, находящегося в собственности Печенгского муниципального округа, не используемого для реализации функций и полномочий органов местного самоуправления: - организация и проведение публичных торгов по реализации указанного имущества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Неэффективность использования </w:t>
            </w:r>
            <w:r>
              <w:rPr>
                <w:sz w:val="22"/>
                <w:szCs w:val="22"/>
              </w:rPr>
              <w:t xml:space="preserve">муниципального </w:t>
            </w:r>
            <w:r>
              <w:rPr>
                <w:sz w:val="22"/>
                <w:szCs w:val="22"/>
                <w:lang w:val="en-US"/>
              </w:rPr>
              <w:t xml:space="preserve">имущества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об итогах исполнения программы приватизации в соответствии с Правилами разработки прогнозных планов (программ) приватизации государственного и муниципального имущества, утвержденными постановлением Прави-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79"/>
              <w:tabs>
                <w:tab w:val="center" w:pos="362" w:leader="none"/>
                <w:tab w:val="center" w:pos="1363" w:leader="none"/>
                <w:tab w:val="center" w:pos="209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тельства </w:t>
            </w:r>
            <w:r>
              <w:rPr>
                <w:sz w:val="22"/>
                <w:szCs w:val="22"/>
              </w:rPr>
              <w:tab/>
              <w:t xml:space="preserve">РФ </w:t>
            </w:r>
            <w:r>
              <w:rPr>
                <w:sz w:val="22"/>
                <w:szCs w:val="22"/>
              </w:rPr>
              <w:tab/>
              <w:t xml:space="preserve">от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26.12.2005 № 806, постановлением Правительства Мурманской области от 25.01.2011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17-ПП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Обеспечена приватизация имущества, находящегося в собственности Печенгского муниципального округа, не используемого для реализации функций и полномочий органов местного самоуправления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ind w:right="75"/>
              <w:tabs>
                <w:tab w:val="center" w:pos="100" w:leader="none"/>
                <w:tab w:val="center" w:pos="1291" w:leader="none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  <w:lang w:val="en-US"/>
              </w:rPr>
              <w:t xml:space="preserve">31 </w:t>
            </w:r>
            <w:r>
              <w:rPr>
                <w:sz w:val="22"/>
                <w:szCs w:val="22"/>
                <w:lang w:val="en-US"/>
              </w:rPr>
              <w:t xml:space="preserve">декабря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2025 года</w:t>
            </w:r>
            <w:r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5.7.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Определение состава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самоуправления, в указанных целях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Неэффективность использования муниципального имущества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План приватизации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Сформирован перечень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 января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2024 года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5.8.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организация и проведения публичных торгов по реализации указанного имущества, перепрофилирование (изменение целевого назначения имущества)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Неэффективность использования муниципального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имущества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 об итогах исполнения программы приватизации в соответствии с Правилами разработки прогнозных планов (программ) приватизации муниципального имущества, утвержденными постановлением Прави</w:t>
            </w:r>
            <w:r>
              <w:rPr>
                <w:sz w:val="22"/>
                <w:szCs w:val="22"/>
              </w:rPr>
              <w:t xml:space="preserve">тельства </w:t>
            </w:r>
            <w:r>
              <w:rPr>
                <w:sz w:val="22"/>
                <w:szCs w:val="22"/>
              </w:rPr>
              <w:t xml:space="preserve">РФ </w:t>
              <w:br/>
            </w:r>
            <w:r>
              <w:rPr>
                <w:sz w:val="22"/>
                <w:szCs w:val="22"/>
              </w:rPr>
              <w:t xml:space="preserve">от </w:t>
            </w:r>
            <w:r>
              <w:rPr>
                <w:sz w:val="22"/>
                <w:szCs w:val="22"/>
              </w:rPr>
              <w:t xml:space="preserve">26.12.2005 № 806, отчет о перепрофилировании (изменении целевого </w:t>
            </w:r>
            <w:r>
              <w:rPr>
                <w:sz w:val="22"/>
                <w:szCs w:val="22"/>
                <w:lang w:val="en-US"/>
              </w:rPr>
              <w:t xml:space="preserve">назначения имущества)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Обеспечена </w:t>
            </w:r>
            <w:r>
              <w:rPr>
                <w:sz w:val="22"/>
                <w:szCs w:val="22"/>
              </w:rPr>
              <w:t xml:space="preserve">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31 декабря 2025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года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6. </w:t>
            </w:r>
            <w:r>
              <w:rPr>
                <w:b/>
                <w:sz w:val="22"/>
                <w:szCs w:val="22"/>
                <w:lang w:val="en-US"/>
              </w:rPr>
            </w: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Создание условий для недискриминационного доступа хозяйствующих субъектов на товар ные рынки (п п. «е»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 xml:space="preserve">6.1.</w:t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налоговой нагрузки на бизнес путем актуализации муниципальных правовых актов в части местных налогов и сборов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Высокие налоги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Решение Совета депутатов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Снижение налоговой нагрузки на субъекты МСП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7. </w:t>
            </w:r>
            <w:r>
              <w:rPr>
                <w:b/>
                <w:sz w:val="22"/>
                <w:szCs w:val="22"/>
                <w:lang w:val="en-US"/>
              </w:rPr>
            </w: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ind w:right="53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и сохранение целевого использования государственных (муниципальных) объектов недвижимого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имущества в социальной сфере (пп. «ж»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7.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Оптимизация состава муниципального имущества Печенгского муниципального округа, находящегося в оперативном управлении учреждений социальной сферы и обеспечение вовлечения его в хозяйственный оборот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Неэффективное расходование бюджетных средств на содержание имущества, не используемого в уставной деятельности учреждений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Сокращение доли объектов недвижимого имущества в социальной сфере, не используемого при осуществлении уставной деятельности и не вовлеченного в хозяйственный оборот (аналитический отчет)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Передача неиспользуемого имущества бюджетам других уровней, передача имущества в безвозмездное пользование или аренду, снос зданий, находящихся в аварийном состоянии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tabs>
                <w:tab w:val="center" w:pos="418" w:leader="none"/>
                <w:tab w:val="center" w:pos="1180" w:leader="none"/>
                <w:tab w:val="center" w:pos="143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Ежегодно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418" w:leader="none"/>
                <w:tab w:val="center" w:pos="1180" w:leader="none"/>
                <w:tab w:val="center" w:pos="143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февраля года, </w:t>
            </w:r>
            <w:r>
              <w:rPr>
                <w:sz w:val="22"/>
                <w:szCs w:val="22"/>
              </w:rPr>
              <w:t xml:space="preserve">с</w:t>
            </w:r>
            <w:r>
              <w:rPr>
                <w:sz w:val="22"/>
                <w:szCs w:val="22"/>
              </w:rPr>
              <w:t xml:space="preserve">ледующего за отчетным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b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8</w:t>
            </w:r>
            <w:r>
              <w:rPr>
                <w:b/>
                <w:color w:val="auto"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color w:val="auto"/>
                <w:sz w:val="22"/>
                <w:szCs w:val="22"/>
                <w:lang w:val="en-US"/>
              </w:rPr>
            </w:r>
            <w:r>
              <w:rPr>
                <w:b/>
                <w:color w:val="auto"/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Содействие развитию практики применения механизмов государственно-частного и муниципально-частного партнерства, практики заключения концессионных соглашений,</w:t>
            </w:r>
            <w:r>
              <w:rPr>
                <w:b/>
                <w:sz w:val="22"/>
                <w:szCs w:val="22"/>
              </w:rPr>
              <w:t xml:space="preserve"> в том числе в социальной сфере (детский отдых и оздоровление, спорт, здравоохранение, социальное обслуживание, дошкольное образование, культура, развитие сетей подвижной радиотелефонной связи в сельской местности, малонаселенных и труднодоступных районах)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(пп. «з»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trike/>
                <w:sz w:val="22"/>
                <w:szCs w:val="22"/>
                <w:lang w:val="en-US"/>
              </w:rPr>
            </w:pPr>
            <w:r>
              <w:rPr>
                <w:color w:val="auto"/>
                <w:sz w:val="22"/>
                <w:szCs w:val="22"/>
              </w:rPr>
              <w:t xml:space="preserve">8.1.</w:t>
            </w:r>
            <w:r>
              <w:rPr>
                <w:strike/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strike/>
                <w:sz w:val="22"/>
                <w:szCs w:val="22"/>
                <w:lang w:val="en-US"/>
              </w:rPr>
            </w:r>
            <w:r>
              <w:rPr>
                <w:strike/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степени информированности потенциальных инвесторов о МЧП-проектах, планируемых к реализации на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</w:t>
            </w:r>
            <w:r>
              <w:rPr>
                <w:sz w:val="22"/>
                <w:szCs w:val="22"/>
                <w:lang w:val="en-US"/>
              </w:rPr>
              <w:t xml:space="preserve">ерритории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Незначительное количество инвесторов, реализующих МЧП-проекты на территории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Количество презентационных мероприятий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заинтересованности со стороны инвесторов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tabs>
                <w:tab w:val="center" w:pos="1437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center" w:pos="1437" w:leader="none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до 31 декабря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b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9</w:t>
            </w:r>
            <w:r>
              <w:rPr>
                <w:b/>
                <w:color w:val="auto"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color w:val="auto"/>
                <w:sz w:val="22"/>
                <w:szCs w:val="22"/>
                <w:lang w:val="en-US"/>
              </w:rPr>
            </w:r>
            <w:r>
              <w:rPr>
                <w:b/>
                <w:color w:val="auto"/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Содействие развитию негосударственных (немуниципальных) социально ориентированных некоммерческих организаций и «социального предпринимательства»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(пп. «и»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  <w:lang w:val="en-US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tabs>
                <w:tab w:val="center" w:pos="691" w:leader="none"/>
                <w:tab w:val="center" w:pos="1789" w:leader="none"/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Предоставление </w:t>
            </w:r>
            <w:r>
              <w:rPr>
                <w:sz w:val="22"/>
                <w:szCs w:val="22"/>
              </w:rPr>
              <w:tab/>
              <w:t xml:space="preserve">СО </w:t>
            </w:r>
            <w:r>
              <w:rPr>
                <w:sz w:val="22"/>
                <w:szCs w:val="22"/>
              </w:rPr>
              <w:tab/>
              <w:t xml:space="preserve">НКО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38"/>
              <w:jc w:val="both"/>
              <w:tabs>
                <w:tab w:val="center" w:pos="240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Печенгского муниципального округа финансовой, консультационной, информационной, имущественной поддержки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tabs>
                <w:tab w:val="center" w:pos="668" w:leader="none"/>
                <w:tab w:val="center" w:pos="2095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Необходимость </w:t>
            </w:r>
            <w:r>
              <w:rPr>
                <w:sz w:val="22"/>
                <w:szCs w:val="22"/>
              </w:rPr>
              <w:tab/>
              <w:t xml:space="preserve">развития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социально ориентированных НКО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СО НКО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получивших поддержку (финансовую, консультационную, информационную, имущественную)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равных усло-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вий деятельности для организаций разных форм собственности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до 31 декабря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10</w:t>
            </w:r>
            <w:r>
              <w:rPr>
                <w:b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sz w:val="22"/>
                <w:szCs w:val="22"/>
                <w:lang w:val="en-US"/>
              </w:rPr>
            </w: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Выявление одаренных де</w:t>
            </w:r>
            <w:r>
              <w:rPr>
                <w:b/>
                <w:sz w:val="22"/>
                <w:szCs w:val="22"/>
              </w:rPr>
              <w:t xml:space="preserve">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также социальная поддержка молодых специалистов в различных сферах экономической деятельности (пп. </w:t>
            </w:r>
            <w:r>
              <w:rPr>
                <w:b/>
                <w:sz w:val="22"/>
                <w:szCs w:val="22"/>
                <w:lang w:val="en-US"/>
              </w:rPr>
              <w:t xml:space="preserve">«н»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  <w:lang w:val="en-US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конкурсных мероприятий муниципального уровня (в т.ч. муниципальные этапы мероприятий регионального, всероссийского и международного уровня) в сфере науки, культуры и спорта с целью выявления одаренных детей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демонстрации достижений обучающихся на муниципальном уровне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100 мероприя-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тий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Выявление наиболее одаренных и перспективных школьников и студентов 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55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различных сферах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до 31 декабря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pStyle w:val="1042"/>
              <w:ind w:right="53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1042"/>
              <w:ind w:right="53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участия победителей муниципальных этапов региональных</w:t>
            </w:r>
            <w:r>
              <w:rPr>
                <w:sz w:val="22"/>
                <w:szCs w:val="22"/>
              </w:rPr>
              <w:t xml:space="preserve">, федеральных конкурсов, олимпиад, соревнований и иных мероприятий в региональных, зональных, федеральных и международных этапах, а также муниципальных делегаций в общественно значимых форумах регионального, зонального, федерального и международного уровня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Поддержка наиболее одаренных обучающихся детей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Не менее 30 мероприя-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тий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демонстрации достижений обучающихся Печенгского муниципального округа на региональном, межрегиональном, всероссийском и международном уровне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до 31 декабря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pStyle w:val="1042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Обеспечение равных условий доступа к информации о государственном имуществе субъекта Российской Федерации и имуществе, находящемся в собственности муниципальных</w:t>
            </w:r>
            <w:r>
              <w:rPr>
                <w:b/>
                <w:sz w:val="22"/>
                <w:szCs w:val="22"/>
              </w:rPr>
              <w:t xml:space="preserve">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или предоставлении его во владение и (или) пользование, а также о ресурсах всех</w:t>
            </w:r>
            <w:r>
              <w:rPr>
                <w:b/>
                <w:sz w:val="22"/>
                <w:szCs w:val="22"/>
              </w:rPr>
              <w:t xml:space="preserve"> видов, находящихся в государственной собственности субъекта Российской Федерации и муниципальной собственности, путем размещения указанной информации на официальном сайте Российской Федерации в сети Интернет для размещения информации о проведении торгов (</w:t>
            </w:r>
            <w:r>
              <w:rPr>
                <w:b/>
                <w:sz w:val="22"/>
                <w:szCs w:val="22"/>
                <w:lang w:val="en-US"/>
              </w:rPr>
              <w:t xml:space="preserve">www</w:t>
            </w:r>
            <w:r>
              <w:rPr>
                <w:b/>
                <w:sz w:val="22"/>
                <w:szCs w:val="22"/>
              </w:rPr>
              <w:t xml:space="preserve">.</w:t>
            </w:r>
            <w:r>
              <w:rPr>
                <w:b/>
                <w:sz w:val="22"/>
                <w:szCs w:val="22"/>
                <w:lang w:val="en-US"/>
              </w:rPr>
              <w:t xml:space="preserve">torgi</w:t>
            </w:r>
            <w:r>
              <w:rPr>
                <w:b/>
                <w:sz w:val="22"/>
                <w:szCs w:val="22"/>
              </w:rPr>
              <w:t xml:space="preserve">.</w:t>
            </w:r>
            <w:r>
              <w:rPr>
                <w:b/>
                <w:sz w:val="22"/>
                <w:szCs w:val="22"/>
                <w:lang w:val="en-US"/>
              </w:rPr>
              <w:t xml:space="preserve">gov</w:t>
            </w:r>
            <w:r>
              <w:rPr>
                <w:b/>
                <w:sz w:val="22"/>
                <w:szCs w:val="22"/>
              </w:rPr>
              <w:t xml:space="preserve">.</w:t>
            </w:r>
            <w:r>
              <w:rPr>
                <w:b/>
                <w:sz w:val="22"/>
                <w:szCs w:val="22"/>
                <w:lang w:val="en-US"/>
              </w:rPr>
              <w:t xml:space="preserve">ru</w:t>
            </w:r>
            <w:r>
              <w:rPr>
                <w:b/>
                <w:sz w:val="22"/>
                <w:szCs w:val="22"/>
              </w:rPr>
              <w:t xml:space="preserve">) и на официальном сайте уполномоченного органа в сети Интернет (пп. «о»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информации об объектах недвижимого муниципального имущества Печенгского муниципального округа в сети Интернет в срок, установленный НПА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соблюдаются сроки размещения сведений об объектах недвижимого муниципального имущества в сети Интернет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Нормативные правовые акты органов местного самоуправления</w:t>
            </w: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Сведения об объектах недвижимого муниципального имущества размещены в сети Интернет в установленный НПА срок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постоянно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Повышение уровня финансовой грамотности населения (потребителей) и субъектов малого и среднего предпринимательства, в том числе путем увеличения доли населения субъекта Российской Федерации, прошедшего обучение по повышению финансовой грамотности в рамках </w:t>
            </w:r>
            <w:hyperlink r:id="rId17" w:tooltip="consultantplus://offline/ref=9EEB6EF905FC6D5B4EDA807CDA7D3250FADB125829B4B0FE8642D245473D816FEB1FD53F112AE0C743E5A2349E12814FED1C5B361544F043r8LAQ" w:history="1">
              <w:r>
                <w:rPr>
                  <w:b/>
                  <w:sz w:val="22"/>
                  <w:szCs w:val="22"/>
                </w:rPr>
                <w:t xml:space="preserve">Стратегии</w:t>
              </w:r>
            </w:hyperlink>
            <w:r/>
            <w:hyperlink r:id="rId18" w:tooltip="consultantplus://offline/ref=9EEB6EF905FC6D5B4EDA807CDA7D3250FADB125829B4B0FE8642D245473D816FEB1FD53F112AE0C743E5A2349E12814FED1C5B361544F043r8LAQ" w:history="1">
              <w:r>
                <w:rPr>
                  <w:sz w:val="22"/>
                  <w:szCs w:val="22"/>
                </w:rPr>
                <w:t xml:space="preserve"> </w:t>
              </w:r>
            </w:hyperlink>
            <w:r>
              <w:rPr>
                <w:b/>
                <w:sz w:val="22"/>
                <w:szCs w:val="22"/>
              </w:rPr>
              <w:t xml:space="preserve">повышения финансовой грамотности в Российской Федерации на 2017 - 2023 годы, утвержденной распоряжением Правительства Российской Федерации от 25 сентября 2017 г.  </w:t>
            </w:r>
            <w:r>
              <w:rPr>
                <w:b/>
                <w:sz w:val="22"/>
                <w:szCs w:val="22"/>
                <w:lang w:val="en-US"/>
              </w:rPr>
              <w:t xml:space="preserve">№ 2039-р (пп. «ф»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  <w:lang w:val="en-US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мероприятий, направленных на защиту прав потребителей финансовых услуг и повышение финансовой грамотности населения Печенгского муниципального округа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Недостаточно высокий уровень финансовой грамотности (отсутствие у большинства населения навыков личного финансового планирования и формирования финансовых накоплений и резервов на случай непр</w:t>
            </w:r>
            <w:r>
              <w:rPr>
                <w:sz w:val="22"/>
                <w:szCs w:val="22"/>
              </w:rPr>
              <w:t xml:space="preserve">едвиденных обстоятельств, умений рационального выбора финансовых продуктов и услуг), негативно влияющий на личное благосостояние и финансовый потенциал граждан, препятствующий развитию финансового рынка, затормаживающий инвестиционные процессы в экономике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trike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мероприятий, напра</w:t>
            </w:r>
            <w:r>
              <w:rPr>
                <w:sz w:val="22"/>
                <w:szCs w:val="22"/>
              </w:rPr>
              <w:t xml:space="preserve">вленных на повышение уровня грамотности населения путем размещения проектов решения о бюджете, исполнение бюджета, опросов на бюджетную тематику, размещения в открытом доступе «Бюджета для граждан», проведение общественных советов, Общественных обсуждений.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rPr>
                <w:strike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Повышение уровня финансовой грамотности населения Печенгского муниципального округа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ind w:right="7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По мере необходимости 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ind w:right="75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Финансовое управление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Обучение государственных гражданск</w:t>
            </w:r>
            <w:r>
              <w:rPr>
                <w:b/>
                <w:sz w:val="22"/>
                <w:szCs w:val="22"/>
              </w:rPr>
              <w:t xml:space="preserve">их служащих органов исполнительной власти субъекта Российской Федерации и работников их подведомственных предприятий и учреждений основам государственной политики в области развития конкуренции и антимонопольного законодательства Российской Федерации (пп. </w:t>
            </w:r>
            <w:r>
              <w:rPr>
                <w:b/>
                <w:sz w:val="22"/>
                <w:szCs w:val="22"/>
              </w:rPr>
              <w:t xml:space="preserve">«ш»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Изучение потребности в обучении муниципальных служащих Печенгского муниципального округа, исполнение должностных обязанностей которых связано с деятельностью в сфере развития конкуренции и антимонопольного законодательства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8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Российской Федерации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Приобретение новых знаний и умений, поддержание и повышение уровня квалификации, необходимого для надлежащего исполнения должностных обязанностей в области развития конкуренции и антимонопольного законодательства Российской Федерации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406" w:type="dxa"/>
            <w:vAlign w:val="center"/>
            <w:vMerge w:val="restart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Список муниципальных служащих Печенгского муниципального округа, исполнение должностных обязанностей которых связано с деятельностью в сфере развития конкуренции и антимонопольного законодательства Российской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Федерации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ind w:right="7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потребности в повышении квалификации по программе «Основы государственной политики по развитию конкуренции и антимонопольного законодательства»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ind w:right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1 июля года,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редшествующего году обучения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Сектор муниципальной службы и кадров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.2.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и размещение муниципального заказа на дополнит</w:t>
            </w:r>
            <w:r>
              <w:rPr>
                <w:sz w:val="22"/>
                <w:szCs w:val="22"/>
              </w:rPr>
              <w:t xml:space="preserve">ельное профессиональное образование муниципальных служащих Печенгского муниципального округа с включением программы дополнительного профессионального образования «Основы государственной политики по развитию конкуренции и антимонопольного законодательства»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Приобретение новых знаний и умений, поддержание и повышение уровня квалификации, необходимого для надлежащего исполнения должностных обязанностей в области развития конкуренции и антимонопольного законодательства Российской Федерации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406" w:type="dxa"/>
            <w:vMerge w:val="continue"/>
            <w:textDirection w:val="lrTb"/>
            <w:noWrap w:val="false"/>
          </w:tcPr>
          <w:p>
            <w:pPr>
              <w:ind w:righ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Заключение муниципального контракта на дополнительное профессиональное образование муниципальных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служащих Печенгского муниципального округа в текущем году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ind w:right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1 августа года обучения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муниципальной службы и кадров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.3.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обучения муниципальных служащих Печенгского муниципального округа в рамках муниципального заказа, в том числе по про-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грамме дополнительного профессионального образования «Основы государственной политики по развитию конкуренции и антимонопольного законодательства»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Приобретение новых знаний и умений, поддержание и повышение уровня квалификации, необходимого для надлежащего исполнения должностных обязанностей в области развития конкуренции и антимонопольного законодательства Российской Федерации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одного муниципального служащего, прошедшего программу повышения квалификации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31 декабря года обучения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муниципальной службы и кадров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Разра</w:t>
            </w:r>
            <w:r>
              <w:rPr>
                <w:b/>
                <w:sz w:val="22"/>
                <w:szCs w:val="22"/>
              </w:rPr>
              <w:t xml:space="preserve">ботка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разрешений на ввод объекта в эксплуата</w:t>
            </w:r>
            <w:r>
              <w:rPr>
                <w:b/>
                <w:sz w:val="22"/>
                <w:szCs w:val="22"/>
              </w:rPr>
              <w:t xml:space="preserve">цию при осуществлении строитель</w:t>
            </w:r>
            <w:r>
              <w:rPr>
                <w:b/>
                <w:sz w:val="22"/>
                <w:szCs w:val="22"/>
              </w:rPr>
              <w:t xml:space="preserve">ства, реконструкции, капитального ремонта объектов капитального строительства, внедрен</w:t>
            </w:r>
            <w:r>
              <w:rPr>
                <w:b/>
                <w:sz w:val="22"/>
                <w:szCs w:val="22"/>
              </w:rPr>
              <w:t xml:space="preserve">ие которых целесообразно осуществить на всей территории субъекта Российской Федерации, в рамках соответствующего соглашения или меморандума между органами исполнительной власти субъекта Российской Федерации и органами местного самоуправления (пп. «э» п. 30</w:t>
            </w:r>
            <w:r>
              <w:rPr>
                <w:b/>
                <w:sz w:val="22"/>
                <w:szCs w:val="22"/>
              </w:rPr>
              <w:t xml:space="preserve"> Стандарта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Приведение муниципальных административных регламентов в соответствие с типовыми административными регламентами предоставления муниципальных услуг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Упрощение организации предоставления муниципальных услуг по подготовке и выдаче разрешения на строительство и разрешения на ввод объекта в эксплуатацию через МФЦ и в электронном виде на сайте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«Госуслуги»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Правовые акты ОМСУ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15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Унификация порядка предоставления муниципальных услуг, снижение административных барьеров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ind w:right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случае внесения изменений в типовой административный регламент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b/>
                <w:sz w:val="22"/>
                <w:szCs w:val="22"/>
                <w:highlight w:val="green"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  <w:t xml:space="preserve">5</w:t>
            </w:r>
            <w:r>
              <w:rPr>
                <w:b/>
                <w:sz w:val="22"/>
                <w:szCs w:val="22"/>
                <w:lang w:val="en-US"/>
              </w:rPr>
              <w:t xml:space="preserve">. </w:t>
            </w:r>
            <w:r>
              <w:rPr>
                <w:b/>
                <w:sz w:val="22"/>
                <w:szCs w:val="22"/>
                <w:highlight w:val="green"/>
                <w:lang w:val="en-US"/>
              </w:rPr>
            </w:r>
            <w:r>
              <w:rPr>
                <w:b/>
                <w:sz w:val="22"/>
                <w:szCs w:val="22"/>
                <w:highlight w:val="green"/>
                <w:lang w:val="en-US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87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Информационное обеспечение развития конкуренции на территории Печенгского муниципального округа (Д 1)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.1.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3" w:type="dxa"/>
            <w:textDirection w:val="lrTb"/>
            <w:noWrap w:val="false"/>
          </w:tcPr>
          <w:p>
            <w:pPr>
              <w:ind w:right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официальном сайте Печенгского муниципального округа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в сети Интернет информации о результатах реализации муниципальной политики по развитию конкуренции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96" w:type="dxa"/>
            <w:textDirection w:val="lrTb"/>
            <w:noWrap w:val="false"/>
          </w:tcPr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Несвоевременность, неполнота размещения о результатах реализации муниципальной политики по развитию конкуренции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right="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6" w:type="dxa"/>
            <w:textDirection w:val="lrTb"/>
            <w:noWrap w:val="false"/>
          </w:tcPr>
          <w:p>
            <w:pPr>
              <w:ind w:right="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Доклад о состоянии и развитии конкурентной среды на рынках товаров, работ, услуг Печенгского муниципального округа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11" w:type="dxa"/>
            <w:textDirection w:val="lrTb"/>
            <w:noWrap w:val="false"/>
          </w:tcPr>
          <w:p>
            <w:pPr>
              <w:ind w:right="79"/>
              <w:jc w:val="both"/>
              <w:rPr>
                <w:strike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Информация  </w:t>
            </w:r>
            <w:r>
              <w:rPr>
                <w:sz w:val="22"/>
                <w:szCs w:val="22"/>
              </w:rPr>
              <w:t xml:space="preserve">о состоянии и развитии конкурентной среды на рынках товаров, работ, услуг Печенгского муниципального округа размещена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2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Ежегодно,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1 февраля года, следующего за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отчетным 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7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-720" w:right="16191"/>
      </w:pPr>
      <w:r/>
      <w:r/>
    </w:p>
    <w:p>
      <w:pPr>
        <w:numPr>
          <w:ilvl w:val="0"/>
          <w:numId w:val="29"/>
        </w:numPr>
        <w:ind w:firstLine="374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стратегических и программных документов Печенгского муниципального округа, включающих мероприятия, реализация которых оказывает влияние на состояние конкурентной среды на рынках товаров, работ, услуг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708"/>
      </w:pPr>
      <w:r>
        <w:t xml:space="preserve"> </w:t>
      </w:r>
      <w:r/>
    </w:p>
    <w:tbl>
      <w:tblPr>
        <w:tblW w:w="15844" w:type="dxa"/>
        <w:tblInd w:w="-108" w:type="dxa"/>
        <w:tblCellMar>
          <w:left w:w="161" w:type="dxa"/>
          <w:top w:w="49" w:type="dxa"/>
          <w:right w:w="115" w:type="dxa"/>
        </w:tblCellMar>
        <w:tblLook w:val="04A0" w:firstRow="1" w:lastRow="0" w:firstColumn="1" w:lastColumn="0" w:noHBand="0" w:noVBand="1"/>
      </w:tblPr>
      <w:tblGrid>
        <w:gridCol w:w="551"/>
        <w:gridCol w:w="2738"/>
        <w:gridCol w:w="2048"/>
        <w:gridCol w:w="2769"/>
        <w:gridCol w:w="1605"/>
        <w:gridCol w:w="1903"/>
        <w:gridCol w:w="4230"/>
      </w:tblGrid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Наименование рынка /  системного мероприятия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государственной программы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(далее – МП) и реквизиты правового акта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Перечень мероприятий </w:t>
            </w:r>
            <w:r>
              <w:rPr>
                <w:b/>
                <w:sz w:val="22"/>
                <w:szCs w:val="22"/>
              </w:rPr>
              <w:t xml:space="preserve">М</w:t>
            </w:r>
            <w:r>
              <w:rPr>
                <w:b/>
                <w:sz w:val="22"/>
                <w:szCs w:val="22"/>
                <w:lang w:val="en-US"/>
              </w:rPr>
              <w:t xml:space="preserve">П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Срок реализации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мероприятия </w:t>
            </w:r>
            <w:r>
              <w:rPr>
                <w:b/>
                <w:sz w:val="22"/>
                <w:szCs w:val="22"/>
              </w:rPr>
              <w:t xml:space="preserve">М</w:t>
            </w:r>
            <w:r>
              <w:rPr>
                <w:b/>
                <w:sz w:val="22"/>
                <w:szCs w:val="22"/>
                <w:lang w:val="en-US"/>
              </w:rPr>
              <w:t xml:space="preserve">П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Ответственные исполнители 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Ссылка в сети Интернет, где размещена МП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16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51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73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Рынок услуг дополнительного образования детей 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04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«Образование» на 2022-2024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1228);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«Образование» на 2023-2025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1493);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«Образование» на 2024-2026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1624)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«Образование»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707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«Культура» на 2022-2024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1214); Муниципальная программа «Культура» на 2023-2025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1494)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«Культура» на 2024-2026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1625)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«Культура»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708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благоприятных условий для выявления, развития и поддержки одаренных детей в различных областях интеллектуальной и творческой деятельности.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детских выездных оздоровительных и санаторных лагерей,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профильных выездных смен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Подготовка, организация и проведение муниципальных детских оздоровительных лагерей, экспедиций, детских игровых площадок на территории Печенгского муниципального округа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605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903" w:type="dxa"/>
            <w:vMerge w:val="restart"/>
            <w:textDirection w:val="lrTb"/>
            <w:noWrap w:val="false"/>
          </w:tcPr>
          <w:p>
            <w:pPr>
              <w:pStyle w:val="1042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1042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230" w:type="dxa"/>
            <w:vMerge w:val="restart"/>
            <w:textDirection w:val="lrTb"/>
            <w:noWrap w:val="false"/>
          </w:tcPr>
          <w:p>
            <w:pPr>
              <w:rPr>
                <w:rStyle w:val="985"/>
                <w:sz w:val="22"/>
                <w:szCs w:val="22"/>
              </w:rPr>
            </w:pPr>
            <w:r/>
            <w:hyperlink r:id="rId19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hyperlink r:id="rId20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t xml:space="preserve"> 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21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73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предоставления услуг (работ) учреждениями дополнительного образования в сфере культуры и искусства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развития учреждений дополнительного образования в сфере культуры и искусства.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благоприятных условий для выявления, развития и поддержки одаренных детей в различных областях творческой деятельности.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Merge w:val="continue"/>
            <w:textDirection w:val="lrTb"/>
            <w:noWrap w:val="false"/>
          </w:tcPr>
          <w:p>
            <w:pPr>
              <w:pStyle w:val="1042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921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551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73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605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903" w:type="dxa"/>
            <w:vMerge w:val="continue"/>
            <w:textDirection w:val="lrTb"/>
            <w:noWrap w:val="false"/>
          </w:tcPr>
          <w:p>
            <w:pPr>
              <w:pStyle w:val="1042"/>
              <w:spacing w:line="240" w:lineRule="auto"/>
              <w:shd w:val="clear" w:color="auto" w:fil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423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Рынок социальных услуг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Муниципальная программа «Обеспечение социальной стабильности» на 2022-2024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1217);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«Обеспечение социальной стабильности» на 2023-2025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1497)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«Обеспечение социальной стабильности» на 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629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«Обеспечение социальной стабильности»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711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социальных выплат для приобретения (строительства) жилья на территории Печенгского муниципального округа молодым семьям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инвалидов средствами передвижения Повышение уровня и качества жизни иных категорий граждан, нуждающихся в поддержке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«Управление по обеспечению деятельности администрации Печенгского округа» (отдел работы с населением)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/>
            <w:hyperlink r:id="rId22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/>
            <w:hyperlink r:id="rId23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t xml:space="preserve"> 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24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теплоснабжения (производство тепловой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энергии)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2022-2024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1224);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2023 -  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1503) </w:t>
            </w: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2024 -  2026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1633)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 -  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717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магистральных сетей теплоснабжения, водоснабжения и водоотведения.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(актуализация) схемы теплоснабжения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программы комплексного развития систем коммунальной инфраструктуры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/>
            <w:hyperlink r:id="rId25" w:tooltip="https://pechengamr.gov-murman.ru/documen%20ts/mun_programs/20%2022-2024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https://pechengamr.gov-murman.ru/documen ts/mun_programs/20 22-2024.php</w:t>
              </w:r>
            </w:hyperlink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lang w:val="en-US"/>
              </w:rPr>
            </w:pPr>
            <w:r/>
            <w:hyperlink r:id="rId26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https://pechengamr.gov-murman.ru/documents/mun_programs/23-25/munitsipalnye-programmy-2023-2025.php</w:t>
              </w:r>
            </w:hyperlink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rPr>
                <w:rStyle w:val="985"/>
                <w:sz w:val="22"/>
                <w:szCs w:val="22"/>
                <w:lang w:val="en-US"/>
              </w:rPr>
            </w:pPr>
            <w:r>
              <w:rPr>
                <w:rStyle w:val="985"/>
                <w:sz w:val="22"/>
                <w:szCs w:val="22"/>
                <w:lang w:val="en-US"/>
              </w:rPr>
              <w:t xml:space="preserve">https://pechengamr.gov-murman.ru/documents/mun_programs/24-26/munitsipalnye-programmy-2024-2026.php</w:t>
            </w:r>
            <w:r>
              <w:rPr>
                <w:rStyle w:val="985"/>
                <w:sz w:val="22"/>
                <w:szCs w:val="22"/>
                <w:lang w:val="en-US"/>
              </w:rPr>
            </w:r>
            <w:r>
              <w:rPr>
                <w:rStyle w:val="985"/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/>
            <w:hyperlink r:id="rId27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743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выполнения работ по благоустройству городской среды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Муниципальная программа «Формирование комфортной городской среды» на 2022-2024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1225) Муниципальная программа «Формирование современной городской среды» на 2023-2025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1505) </w:t>
            </w: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2022-2024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1224); 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2023-2025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1503)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2024 -  2026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1633)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 -  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717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trike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Благоустройств</w:t>
            </w:r>
            <w:r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</w:rPr>
              <w:t xml:space="preserve">дворовых территорий многоквартирных домов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Благоустройств</w:t>
            </w:r>
            <w:r>
              <w:rPr>
                <w:sz w:val="22"/>
                <w:szCs w:val="22"/>
              </w:rPr>
              <w:t xml:space="preserve">о</w:t>
            </w:r>
            <w:r>
              <w:rPr>
                <w:sz w:val="22"/>
                <w:szCs w:val="22"/>
              </w:rPr>
              <w:t xml:space="preserve"> общественных территорий.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привлекательности объектов, озеленение территорий.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trike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комфортности условий проживания населения.</w:t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санитарно-эпидемиологического уровня содержания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Повышения уровня экологической безопасности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 xml:space="preserve">Повышение эффективности управления процессом обращения с твердыми коммунальными отходами.</w:t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</w:t>
            </w:r>
            <w:r>
              <w:rPr>
                <w:sz w:val="22"/>
                <w:szCs w:val="22"/>
              </w:rPr>
              <w:t xml:space="preserve">22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«УБиР», МБУ «НДС</w:t>
            </w:r>
            <w:r>
              <w:rPr>
                <w:sz w:val="22"/>
                <w:szCs w:val="22"/>
              </w:rPr>
              <w:t xml:space="preserve">», МБУ «ДЭСП», МБУ «РЭС»</w:t>
            </w:r>
            <w:r>
              <w:rPr>
                <w:sz w:val="22"/>
                <w:szCs w:val="22"/>
              </w:rPr>
              <w:t xml:space="preserve">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/>
            <w:hyperlink r:id="rId28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/>
            <w:hyperlink r:id="rId29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t xml:space="preserve"> 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30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5.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выполнения работ по содержанию и текущему ремонту общего имущества собственников помещений в многоквартирном доме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2022-2024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1224); 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2023-2025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1503)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2024 -  2026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1633)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 -  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717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Устойчивое и надлежащее функционирование </w:t>
            </w:r>
            <w:r>
              <w:rPr>
                <w:sz w:val="22"/>
                <w:szCs w:val="22"/>
              </w:rPr>
              <w:t xml:space="preserve">жилищно-коммунального хозяйства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«УБиР», </w:t>
            </w:r>
            <w:r>
              <w:rPr>
                <w:sz w:val="22"/>
                <w:szCs w:val="22"/>
              </w:rPr>
              <w:t xml:space="preserve">МБУ «</w:t>
            </w:r>
            <w:r>
              <w:rPr>
                <w:sz w:val="22"/>
                <w:szCs w:val="22"/>
              </w:rPr>
              <w:t xml:space="preserve">ДЭСП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rStyle w:val="985"/>
                <w:sz w:val="22"/>
                <w:szCs w:val="22"/>
              </w:rPr>
            </w:pPr>
            <w:r/>
            <w:hyperlink r:id="rId31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r>
              <w:rPr>
                <w:sz w:val="22"/>
                <w:szCs w:val="22"/>
              </w:rPr>
              <w:t xml:space="preserve"> </w:t>
            </w:r>
            <w:hyperlink r:id="rId32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t xml:space="preserve"> </w:t>
            </w:r>
            <w:r/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33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строительства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Муниципальная программа «Формирование комфортной городской среды» на 2022-2024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1225); Муниципальная программа «Формирование современной городской среды» на 2023-2025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1505)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«Образование»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707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</w:t>
            </w:r>
            <w:r>
              <w:rPr>
                <w:sz w:val="22"/>
                <w:szCs w:val="22"/>
              </w:rPr>
              <w:t xml:space="preserve">Муниципальное имущество и земельные ресурсы</w:t>
            </w:r>
            <w:r>
              <w:rPr>
                <w:sz w:val="22"/>
                <w:szCs w:val="22"/>
              </w:rPr>
              <w:t xml:space="preserve">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комфортности условий проживания населения и уровня благоустройства территории Печенгского муниципального округа.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Проектирование, строительство и ввод в эксплуатацию объекта капитального строительства «Детский сад на 350 мест в пгт.</w:t>
            </w:r>
            <w:r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 xml:space="preserve">Печенга».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проектной документации и строительство детского сада на 250 мест в нп. Корзуново Печенгского муниципального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Завершение строительства МКД в г.Заполярнвй по ул.Ленинградская, в районе дома 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строительства и ЖКХ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/>
            <w:hyperlink r:id="rId34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r/>
            <w:hyperlink r:id="rId35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t xml:space="preserve"> </w:t>
            </w:r>
            <w:r/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36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«Физическая культура и спорт» на 2022-2024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1215) Муниципальная программа «</w:t>
            </w:r>
            <w:r>
              <w:rPr>
                <w:color w:val="auto"/>
                <w:sz w:val="22"/>
                <w:szCs w:val="22"/>
              </w:rPr>
              <w:t xml:space="preserve">Физическая культура и спорт</w:t>
            </w:r>
            <w:r>
              <w:rPr>
                <w:sz w:val="22"/>
                <w:szCs w:val="22"/>
              </w:rPr>
              <w:t xml:space="preserve">» на 2023-2025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1495)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</w:t>
            </w:r>
            <w:r>
              <w:rPr>
                <w:color w:val="auto"/>
                <w:sz w:val="22"/>
                <w:szCs w:val="22"/>
              </w:rPr>
              <w:t xml:space="preserve">Физическая культура и спорт</w:t>
            </w:r>
            <w:r>
              <w:rPr>
                <w:sz w:val="22"/>
                <w:szCs w:val="22"/>
              </w:rPr>
              <w:t xml:space="preserve">» на 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626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</w:t>
            </w:r>
            <w:r>
              <w:rPr>
                <w:color w:val="auto"/>
                <w:sz w:val="22"/>
                <w:szCs w:val="22"/>
              </w:rPr>
              <w:t xml:space="preserve">Физическая культура и спорт</w:t>
            </w:r>
            <w:r>
              <w:rPr>
                <w:sz w:val="22"/>
                <w:szCs w:val="22"/>
              </w:rPr>
              <w:t xml:space="preserve">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709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Строительство физкультурно-оздоровительного комплекса в пгт. Печенга 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/>
            <w:hyperlink r:id="rId37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r/>
            <w:hyperlink r:id="rId38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t xml:space="preserve"> </w:t>
            </w:r>
            <w:r/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39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Рынок купли-продажи электрической энергии (мощности) на розничном рынке электрической энергии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(мо</w:t>
            </w:r>
            <w:r>
              <w:rPr>
                <w:sz w:val="22"/>
                <w:szCs w:val="22"/>
              </w:rPr>
              <w:t xml:space="preserve">щ</w:t>
            </w:r>
            <w:r>
              <w:rPr>
                <w:sz w:val="22"/>
                <w:szCs w:val="22"/>
                <w:lang w:val="en-US"/>
              </w:rPr>
              <w:t xml:space="preserve">ности)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2022-2024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1224); 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2023-2025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1503)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2024 -  2026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1633)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«Комфортная среда проживани</w:t>
            </w:r>
            <w:r>
              <w:rPr>
                <w:sz w:val="22"/>
                <w:szCs w:val="22"/>
              </w:rPr>
              <w:t xml:space="preserve">я</w:t>
            </w:r>
            <w:r>
              <w:rPr>
                <w:sz w:val="22"/>
                <w:szCs w:val="22"/>
              </w:rPr>
              <w:t xml:space="preserve">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 -  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717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green"/>
              </w:rPr>
            </w:pPr>
            <w:r>
              <w:rPr>
                <w:sz w:val="22"/>
                <w:szCs w:val="22"/>
              </w:rPr>
              <w:t xml:space="preserve">Техническое обслуживание наружного освещения, оплата электроэнергии наружного освещения.</w:t>
            </w:r>
            <w:r>
              <w:rPr>
                <w:sz w:val="22"/>
                <w:szCs w:val="22"/>
                <w:highlight w:val="green"/>
              </w:rPr>
            </w:r>
            <w:r>
              <w:rPr>
                <w:sz w:val="22"/>
                <w:szCs w:val="22"/>
                <w:highlight w:val="green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«ДЭСП»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/>
            <w:hyperlink r:id="rId40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r/>
            <w:hyperlink r:id="rId41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t xml:space="preserve"> </w:t>
            </w:r>
            <w:r/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42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ind w:firstLine="5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Рынок внутреннего и въездного туризма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Муниципальная программа «Экономический потенциал» на 2022-2024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1219);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2023-2025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1499)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2024-2026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1632)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713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tabs>
                <w:tab w:val="left" w:pos="-1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Стимулирование и активизация инвестиционной и предпринимательской деятельности на территории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Печенгского муниципального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-1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туристического имиджа Печенгского муниципального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-1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развития туризма в Печенгском муниципальном округе.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tabs>
                <w:tab w:val="center" w:pos="364" w:leader="none"/>
                <w:tab w:val="center" w:pos="1096" w:leader="none"/>
                <w:tab w:val="center" w:pos="1814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color w:val="auto"/>
                <w:sz w:val="22"/>
                <w:szCs w:val="22"/>
              </w:rPr>
              <w:t xml:space="preserve">,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tabs>
                <w:tab w:val="center" w:pos="364" w:leader="none"/>
                <w:tab w:val="center" w:pos="1096" w:leader="none"/>
                <w:tab w:val="center" w:pos="1814" w:leader="none"/>
              </w:tabs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Консультант по приграничному сотрудничеству</w:t>
            </w:r>
            <w:r>
              <w:rPr>
                <w:color w:val="auto"/>
                <w:sz w:val="22"/>
                <w:szCs w:val="22"/>
              </w:rPr>
            </w:r>
            <w:r>
              <w:rPr>
                <w:color w:val="auto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/>
            <w:hyperlink r:id="rId43" w:tooltip="https://pechengamr.gov-murman.ru/documents/mun_programs/2022-2024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/2022-2024.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/>
            <w:hyperlink r:id="rId44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t xml:space="preserve"> 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45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Развитие конкурентоспособности товаров, работ, услуг субъектов малого 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среднего предпринимательства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2022-2024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1219);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2023-2025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1499)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2024-2026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1632)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713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имущественной поддержки субъектам малого и среднего предпринимательства.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методологической помощи СМСП по актуальным вопросам осуществления деятельности.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/>
            <w:hyperlink r:id="rId46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r/>
            <w:hyperlink r:id="rId47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t xml:space="preserve"> </w:t>
            </w:r>
            <w:r/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48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лей) </w:t>
            </w:r>
            <w:r>
              <w:rPr>
                <w:sz w:val="22"/>
                <w:szCs w:val="22"/>
                <w:highlight w:val="yellow"/>
                <w:lang w:val="en-US"/>
              </w:rPr>
            </w:r>
            <w:r>
              <w:rPr>
                <w:sz w:val="22"/>
                <w:szCs w:val="22"/>
                <w:highlight w:val="yellow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Муниципальная программа «Муниципальное управление и гражданское общество» на 2022-2024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1219);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«Муниципальное управление и гражданское общество» на 2023-2025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1500)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«Муниципальное управление и гражданское общество» на 2024-2026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1630)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«Муниципальное управление и гражданское общество»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714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мероприятий, в том числе приобретения оборудования и программного обес</w:t>
            </w:r>
            <w:r>
              <w:rPr>
                <w:sz w:val="22"/>
                <w:szCs w:val="22"/>
              </w:rPr>
              <w:t xml:space="preserve">печения, в целях обеспечения технической защиты информации, защиты государственной тайны, конфиденциальной информации персональных данных в информационных системах (других объектах информации, предназначенных для обработки информации ограниченного доступа)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«Управление по обеспечению деятельности администрации Печенгского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/>
            <w:hyperlink r:id="rId49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r/>
            <w:hyperlink r:id="rId50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t xml:space="preserve"> </w:t>
            </w:r>
            <w:r/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51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0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11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Содействие развитию практики применения механизмов государственно-частного и муниципально-частного партнерства, практики заключения</w:t>
            </w:r>
            <w:r>
              <w:rPr>
                <w:sz w:val="22"/>
                <w:szCs w:val="22"/>
              </w:rPr>
              <w:t xml:space="preserve"> концессионных соглашений, в том числе в социальной сфере (детский отдых и оздоровление, спорт, здравоохранение, социальное обслуживание, дошкольное образование, культура, развитие сетей подвижной радиотелефонной связи в сельской местности, малонаселенных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и труднодоступных райо-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нах)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Муниципальная программа «Экономический потенциал» на 2022-2024 годы (постановление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1219) Муниципальная программа «Экономический потенциал» на 2023-2025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1499) </w:t>
            </w: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2024-2026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1632)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713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деятельности Совета по улучшению инвестиционного климата и развитию предпринимательства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</w:t>
            </w:r>
            <w:hyperlink r:id="rId52" w:tooltip="http://minec.gov-murman.ru/" w:history="1">
              <w:r>
                <w:rPr>
                  <w:sz w:val="22"/>
                  <w:szCs w:val="22"/>
                </w:rPr>
                <w:t xml:space="preserve"> 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rStyle w:val="985"/>
                <w:sz w:val="22"/>
                <w:szCs w:val="22"/>
              </w:rPr>
            </w:pPr>
            <w:r/>
            <w:hyperlink r:id="rId53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hyperlink r:id="rId54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t xml:space="preserve"> 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55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Содействие развитию негосударственных (немуниципальных) социально ориентированных некоммерческих организаций и «социального предпринимательства»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Муниципальная программа «Экономический потенциал» на 2022-2024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1219);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2023-2025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1499) </w:t>
            </w: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-2026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1632)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713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имущественной поддержки СО НКО.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Взаимодействие с СО НКО, осуществляющими свою деятельность на территории Печенгского муниципального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и ведение реестра СО НКО – получателя поддержки.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и оценка эффективности мер муниципальной поддержки СО НКО.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ОЭР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rStyle w:val="985"/>
                <w:sz w:val="22"/>
                <w:szCs w:val="22"/>
              </w:rPr>
            </w:pPr>
            <w:r/>
            <w:hyperlink r:id="rId56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r>
              <w:rPr>
                <w:sz w:val="22"/>
                <w:szCs w:val="22"/>
              </w:rPr>
              <w:t xml:space="preserve"> </w:t>
            </w:r>
            <w:hyperlink r:id="rId57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/>
            <w:r/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58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51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73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Стимулирование новых предпринимательских инициатив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048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</w:t>
            </w:r>
            <w:r>
              <w:rPr>
                <w:sz w:val="22"/>
                <w:szCs w:val="22"/>
              </w:rPr>
              <w:t xml:space="preserve">п</w:t>
            </w:r>
            <w:r>
              <w:rPr>
                <w:sz w:val="22"/>
                <w:szCs w:val="22"/>
              </w:rPr>
              <w:t xml:space="preserve">рограмма «Экономический потенциал» на 2022-2024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1219);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2023-2025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1499) </w:t>
            </w: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2024-2026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1632)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713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Информирование субъектов малого и среднего предпринимательства о формах и видах муниципальной, региональной поддержки, о порядках и условиях осуществления предпринимательской деятельности, предоставление налоговых льгот юридическим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лицам индивидуальным предпринимателям, получившим статус резидента Арктической зоны, а так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же юридическим лицам и индивидуальным предпринимателям, реализующим приоритетные инвестиционные проекты на территории Печенгского муниципального округа.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2022-2025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Сектор инвестиционной деятельности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230" w:type="dxa"/>
            <w:vMerge w:val="restart"/>
            <w:textDirection w:val="lrTb"/>
            <w:noWrap w:val="false"/>
          </w:tcPr>
          <w:p>
            <w:pPr>
              <w:rPr>
                <w:rStyle w:val="985"/>
                <w:sz w:val="22"/>
                <w:szCs w:val="22"/>
              </w:rPr>
            </w:pPr>
            <w:r/>
            <w:hyperlink r:id="rId59" w:tooltip="https://pechengamr.gov-murman.ru/documents/mun_programs/2022-2024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/2022-2024.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hyperlink r:id="rId60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t xml:space="preserve"> 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61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551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73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имущественной поддержки субъектам малого и среднего предпринимательства в виде сдачи в аренду СМСП объектов недвижимости нежилого фонда, находящегося в собственности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2022-2024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1219);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2023-2025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1499) </w:t>
            </w: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2024-2026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1632)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«Экономический потенциал»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713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общедоступной информации, необходимой для развития СМСП на официальном сайте Печенгского муниципального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методологической помощи СМСП по актуальным вопросам осуществления деятельности.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инвестиционной деятельности,</w:t>
            </w:r>
            <w:r>
              <w:rPr>
                <w:sz w:val="22"/>
                <w:szCs w:val="22"/>
              </w:rPr>
              <w:t xml:space="preserve"> КУИ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/>
            <w:hyperlink r:id="rId62" w:tooltip="https://pechengamr.gov-murman.ru/documents/mun_programs/2022-2024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/2022-2024.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/>
            <w:hyperlink r:id="rId63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t xml:space="preserve"> 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64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51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73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Выявление одаренн</w:t>
            </w:r>
            <w:r>
              <w:rPr>
                <w:sz w:val="22"/>
                <w:szCs w:val="22"/>
              </w:rPr>
              <w:t xml:space="preserve">ых детей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также социальная поддержка молодых специалистов в различных сферах экономической деятельности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04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Муниципальная программа «Образование» на 2022-2024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1228)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«Образование» на 2023-2025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1493);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«Образование» на 2024-2026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1624)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«Образование»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707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Организация и проведение муниципальных мероприятий, направленных на развитие научно-исследовательской деятельности, технического творчества и творческого потенциала обучающихся.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605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2022-202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903" w:type="dxa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230" w:type="dxa"/>
            <w:vMerge w:val="restart"/>
            <w:textDirection w:val="lrTb"/>
            <w:noWrap w:val="false"/>
          </w:tcPr>
          <w:p>
            <w:pPr>
              <w:rPr>
                <w:rStyle w:val="985"/>
                <w:sz w:val="22"/>
                <w:szCs w:val="22"/>
              </w:rPr>
            </w:pPr>
            <w:r/>
            <w:hyperlink r:id="rId65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hyperlink r:id="rId66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t xml:space="preserve"> 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https</w:t>
            </w:r>
            <w:r>
              <w:rPr>
                <w:rStyle w:val="985"/>
                <w:sz w:val="22"/>
                <w:szCs w:val="22"/>
              </w:rPr>
              <w:t xml:space="preserve">://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pechengamr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gov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murman</w:t>
            </w:r>
            <w:r>
              <w:rPr>
                <w:rStyle w:val="985"/>
                <w:sz w:val="22"/>
                <w:szCs w:val="22"/>
              </w:rPr>
              <w:t xml:space="preserve">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ru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documents</w:t>
            </w:r>
            <w:r>
              <w:rPr>
                <w:rStyle w:val="985"/>
                <w:sz w:val="22"/>
                <w:szCs w:val="22"/>
              </w:rPr>
              <w:t xml:space="preserve">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</w:t>
            </w:r>
            <w:r>
              <w:rPr>
                <w:rStyle w:val="985"/>
                <w:sz w:val="22"/>
                <w:szCs w:val="22"/>
              </w:rPr>
              <w:t xml:space="preserve">_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programs</w:t>
            </w:r>
            <w:r>
              <w:rPr>
                <w:rStyle w:val="985"/>
                <w:sz w:val="22"/>
                <w:szCs w:val="22"/>
              </w:rPr>
              <w:t xml:space="preserve">/24-26/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munitsipalnye</w:t>
            </w:r>
            <w:r>
              <w:rPr>
                <w:rStyle w:val="985"/>
                <w:sz w:val="22"/>
                <w:szCs w:val="22"/>
              </w:rPr>
              <w:t xml:space="preserve">-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programmy</w:t>
            </w:r>
            <w:r>
              <w:rPr>
                <w:rStyle w:val="985"/>
                <w:sz w:val="22"/>
                <w:szCs w:val="22"/>
              </w:rPr>
              <w:t xml:space="preserve">-2024-2026.</w:t>
            </w:r>
            <w:r>
              <w:rPr>
                <w:rStyle w:val="985"/>
                <w:sz w:val="22"/>
                <w:szCs w:val="22"/>
                <w:lang w:val="en-US"/>
              </w:rPr>
              <w:t xml:space="preserve">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67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551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73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Организация участия талантливых детей в мероприятиях </w:t>
            </w:r>
            <w:r>
              <w:rPr>
                <w:sz w:val="22"/>
                <w:szCs w:val="22"/>
              </w:rPr>
              <w:t xml:space="preserve">регионального и</w:t>
            </w:r>
            <w:r>
              <w:rPr>
                <w:sz w:val="22"/>
                <w:szCs w:val="22"/>
              </w:rPr>
              <w:t xml:space="preserve"> всероссийского уровня.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605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1903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423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Методическая поддержка педагогических работников</w:t>
            </w:r>
            <w:r>
              <w:rPr>
                <w:sz w:val="22"/>
                <w:szCs w:val="22"/>
              </w:rPr>
              <w:t xml:space="preserve"> и</w:t>
            </w:r>
            <w:r>
              <w:rPr>
                <w:sz w:val="22"/>
                <w:szCs w:val="22"/>
              </w:rPr>
              <w:t xml:space="preserve"> сопровождение одаренных и перспективных обучающихся.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Выявление талантливых детей среди дошкольников и обучающихся школ.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0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15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уровня финансовой грамотности населения (потребителей) и субъектов малого и среднего предпринимательства, в том числе путе</w:t>
            </w:r>
            <w:r>
              <w:rPr>
                <w:sz w:val="22"/>
                <w:szCs w:val="22"/>
              </w:rPr>
              <w:t xml:space="preserve">м увеличения доли населения Печенгского муниципального округа, прошедшего обучение по повышению финансовой грамотности в рамках Стратегии повышения финансовой грамотности в Российской Федерации, утвержденной распоряжением Правительства Российской Федерации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«Муниципальные финансы» н</w:t>
            </w:r>
            <w:r>
              <w:rPr>
                <w:sz w:val="22"/>
                <w:szCs w:val="22"/>
              </w:rPr>
              <w:t xml:space="preserve">а 20</w:t>
            </w:r>
            <w:r>
              <w:rPr>
                <w:sz w:val="22"/>
                <w:szCs w:val="22"/>
              </w:rPr>
              <w:t xml:space="preserve">22-2024 годы, (постановление администрации Печенгского муниципального округа </w:t>
              <w:br/>
              <w:t xml:space="preserve">от 12.11.2021 </w:t>
              <w:br/>
              <w:t xml:space="preserve">№ 1221); Муниципальная программа «Муниципальные финансы» на 2023-2025 годы, (постановление администрации Печенгского муниципального округа </w:t>
              <w:br/>
              <w:t xml:space="preserve">от 03.11.2022 </w:t>
              <w:br/>
              <w:t xml:space="preserve">№ 1501) </w:t>
            </w:r>
            <w:r>
              <w:rPr>
                <w:sz w:val="22"/>
                <w:szCs w:val="22"/>
              </w:rPr>
              <w:t xml:space="preserve">Муниципальная программа «Муниципальные финансы» на 2024-2026 годы, (постановление администрации Печенгского муниципального округа </w:t>
              <w:br/>
              <w:t xml:space="preserve">от 03.11.2023 </w:t>
              <w:br/>
              <w:t xml:space="preserve">№ 1631)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Печенгского </w:t>
            </w:r>
            <w:r>
              <w:rPr>
                <w:sz w:val="22"/>
                <w:szCs w:val="22"/>
              </w:rPr>
              <w:t xml:space="preserve">муниципального округа «Муниципальные финансы» на 2025-2027 годы (постановление администрации Печенгского муниципального округа </w:t>
              <w:br/>
              <w:t xml:space="preserve">от 01.11.2024 </w:t>
              <w:br/>
              <w:t xml:space="preserve">№ 1715)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и актуализации информации на портале «Электронный бюджет».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Повышение доступности информации о бюджете округа, рост интереса граждан к процессу формирования и исполнения бюджета округа.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мероприятий, направленных на повышение уровня грамотност</w:t>
            </w:r>
            <w:r>
              <w:rPr>
                <w:sz w:val="22"/>
                <w:szCs w:val="22"/>
              </w:rPr>
              <w:t xml:space="preserve">и населения, путем размещения проектов решений о бюджете Печенгского муниципального округа, информации об исполнении бюджета, опросов на бюджетную тематику в открытом доступе, «Бюджета для граждан», проведение общественных советов, общественных обсуждений.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мероприятий, направленных на увеличение доходного потенциала бюджета округа.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  <w:r>
              <w:rPr>
                <w:strike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 - 202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ФИНУ,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Структурные подразделения администрации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rStyle w:val="985"/>
                <w:sz w:val="22"/>
                <w:szCs w:val="22"/>
              </w:rPr>
            </w:pPr>
            <w:r/>
            <w:hyperlink r:id="rId68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hyperlink r:id="rId69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  <w:lang w:val="en-US"/>
                </w:rPr>
                <w:t xml:space="preserve">https</w:t>
              </w:r>
              <w:r>
                <w:rPr>
                  <w:rStyle w:val="985"/>
                  <w:sz w:val="22"/>
                  <w:szCs w:val="22"/>
                </w:rPr>
                <w:t xml:space="preserve">://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pechengamr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gov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murman</w:t>
              </w:r>
              <w:r>
                <w:rPr>
                  <w:rStyle w:val="985"/>
                  <w:sz w:val="22"/>
                  <w:szCs w:val="22"/>
                </w:rPr>
                <w:t xml:space="preserve">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ru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documents</w:t>
              </w:r>
              <w:r>
                <w:rPr>
                  <w:rStyle w:val="985"/>
                  <w:sz w:val="22"/>
                  <w:szCs w:val="22"/>
                </w:rPr>
                <w:t xml:space="preserve">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</w:t>
              </w:r>
              <w:r>
                <w:rPr>
                  <w:rStyle w:val="985"/>
                  <w:sz w:val="22"/>
                  <w:szCs w:val="22"/>
                </w:rPr>
                <w:t xml:space="preserve">_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programs</w:t>
              </w:r>
              <w:r>
                <w:rPr>
                  <w:rStyle w:val="985"/>
                  <w:sz w:val="22"/>
                  <w:szCs w:val="22"/>
                </w:rPr>
                <w:t xml:space="preserve">/23-25/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munitsipalnye</w:t>
              </w:r>
              <w:r>
                <w:rPr>
                  <w:rStyle w:val="985"/>
                  <w:sz w:val="22"/>
                  <w:szCs w:val="22"/>
                </w:rPr>
                <w:t xml:space="preserve">-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programmy</w:t>
              </w:r>
              <w:r>
                <w:rPr>
                  <w:rStyle w:val="985"/>
                  <w:sz w:val="22"/>
                  <w:szCs w:val="22"/>
                </w:rPr>
                <w:t xml:space="preserve">-2023-2025.</w:t>
              </w:r>
              <w:r>
                <w:rPr>
                  <w:rStyle w:val="985"/>
                  <w:sz w:val="22"/>
                  <w:szCs w:val="22"/>
                  <w:lang w:val="en-US"/>
                </w:rPr>
                <w:t xml:space="preserve">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</w:rPr>
            </w:pPr>
            <w:r>
              <w:rPr>
                <w:rStyle w:val="985"/>
                <w:sz w:val="22"/>
                <w:szCs w:val="22"/>
              </w:rPr>
              <w:t xml:space="preserve">https://pechengamr.gov-murman.ru/documents/mun_programs/24-26/munitsipalnye-programmy-2024-2026.php</w:t>
            </w:r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70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1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  <w:lang w:val="en-US"/>
              </w:rPr>
              <w:t xml:space="preserve">.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Обучение муниципальных служащих Печенгского муниципального округа и работников их подведомственных предприятий и учреждений основам государственной политики в области развития конкуренции и антимонопольного законодательства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Российской Федерации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4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Муниципальная программа «Муниципальное управление и гражданское общество» на 2022-2024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12.11.2021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1219);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«Муниципальное управление и гражданское общество» на 2023-2025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03.11.2022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1500) </w:t>
            </w:r>
            <w:r>
              <w:rPr>
                <w:sz w:val="22"/>
                <w:szCs w:val="22"/>
              </w:rPr>
              <w:t xml:space="preserve">Муниципальная программа «Муниципальное управление и гражданское общество» на 2024-2026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03.11.2023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1630)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«Муниципальное управление и гражданское общество» на 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 годы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(постановление администрации Печенгского муниципального округа от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.11.202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714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9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 на семинары, курсы повышения квалификации, профессиональную переподготовку и командирование муниципальных служащих и лиц, замещающих муниципальные должности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5" w:type="dxa"/>
            <w:textDirection w:val="lrTb"/>
            <w:noWrap w:val="false"/>
          </w:tcPr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Администрация, сектор муниципальной службы и кадров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30" w:type="dxa"/>
            <w:textDirection w:val="lrTb"/>
            <w:noWrap w:val="false"/>
          </w:tcPr>
          <w:p>
            <w:pPr>
              <w:rPr>
                <w:rStyle w:val="985"/>
                <w:sz w:val="22"/>
                <w:szCs w:val="22"/>
              </w:rPr>
            </w:pPr>
            <w:r/>
            <w:hyperlink r:id="rId71" w:tooltip="https://pechengamr.gov-murman.ru/documents/mun_programs/2022-2024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https://pechengamr.gov-murman.ru/documents/mun_programs/2022-2024.php</w:t>
              </w:r>
            </w:hyperlink>
            <w:r>
              <w:rPr>
                <w:rStyle w:val="985"/>
                <w:sz w:val="22"/>
                <w:szCs w:val="22"/>
              </w:rPr>
            </w:r>
            <w:r>
              <w:rPr>
                <w:rStyle w:val="985"/>
                <w:sz w:val="22"/>
                <w:szCs w:val="22"/>
              </w:rPr>
            </w:r>
          </w:p>
          <w:p>
            <w:pPr>
              <w:rPr>
                <w:rStyle w:val="985"/>
                <w:sz w:val="22"/>
                <w:szCs w:val="22"/>
                <w:u w:val="none"/>
              </w:rPr>
            </w:pPr>
            <w:r>
              <w:rPr>
                <w:rStyle w:val="985"/>
                <w:sz w:val="22"/>
                <w:szCs w:val="22"/>
                <w:u w:val="none"/>
              </w:rPr>
              <w:t xml:space="preserve"> </w:t>
            </w:r>
            <w:hyperlink r:id="rId72" w:tooltip="https://pechengamr.gov-murman.ru/documents/mun_programs/23-25/munitsipalnye-programmy-2023-2025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https://pechengamr.gov-murman.ru/documents/mun_programs/23-25/munitsipalnye-programmy-2023-2025.php</w:t>
              </w:r>
            </w:hyperlink>
            <w:r>
              <w:rPr>
                <w:rStyle w:val="985"/>
                <w:sz w:val="22"/>
                <w:szCs w:val="22"/>
                <w:u w:val="none"/>
              </w:rPr>
            </w:r>
            <w:r>
              <w:rPr>
                <w:rStyle w:val="985"/>
                <w:sz w:val="22"/>
                <w:szCs w:val="22"/>
                <w:u w:val="none"/>
              </w:rPr>
            </w:r>
          </w:p>
          <w:p>
            <w:pPr>
              <w:rPr>
                <w:rStyle w:val="985"/>
                <w:color w:val="auto"/>
                <w:sz w:val="22"/>
                <w:szCs w:val="22"/>
                <w:u w:val="none"/>
              </w:rPr>
            </w:pPr>
            <w:r>
              <w:t xml:space="preserve"> </w:t>
            </w:r>
            <w:hyperlink r:id="rId73" w:tooltip="https://pechengamr.gov-murman.ru/documents/mun_programs/24-26/munitsipalnye-programmy-2024-2026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https://pechengamr.gov-murman.ru/documents/mun_programs/24-26/munitsipalnye-programmy-2024-2026.php</w:t>
              </w:r>
            </w:hyperlink>
            <w:r>
              <w:rPr>
                <w:rStyle w:val="985"/>
                <w:sz w:val="22"/>
                <w:szCs w:val="22"/>
                <w:u w:val="none"/>
              </w:rPr>
              <w:t xml:space="preserve"> </w:t>
            </w:r>
            <w:r>
              <w:rPr>
                <w:rStyle w:val="985"/>
                <w:color w:val="auto"/>
                <w:sz w:val="22"/>
                <w:szCs w:val="22"/>
                <w:u w:val="none"/>
              </w:rPr>
            </w:r>
            <w:r>
              <w:rPr>
                <w:rStyle w:val="985"/>
                <w:color w:val="auto"/>
                <w:sz w:val="22"/>
                <w:szCs w:val="22"/>
                <w:u w:val="none"/>
              </w:rPr>
            </w:r>
          </w:p>
          <w:p>
            <w:pPr>
              <w:rPr>
                <w:sz w:val="22"/>
                <w:szCs w:val="22"/>
              </w:rPr>
            </w:pPr>
            <w:r/>
            <w:hyperlink r:id="rId74" w:tooltip="https://pechengamr.gov-murman.ru/documents/mun_programs/25-27/municipalnie-programmy-2025-2027.php" w:history="1">
              <w:r>
                <w:rPr>
                  <w:rStyle w:val="985"/>
                  <w:sz w:val="22"/>
                  <w:szCs w:val="22"/>
                </w:rPr>
                <w:t xml:space="preserve">https://pechengamr.gov-murman.ru/documents/mun_programs/25-27/municipalnie-programmy-2025-2027.php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-720" w:right="16191"/>
      </w:pPr>
      <w:r/>
      <w:r/>
    </w:p>
    <w:p>
      <w:pPr>
        <w:ind w:left="-720" w:right="16191"/>
      </w:pPr>
      <w:r/>
      <w:r/>
    </w:p>
    <w:p>
      <w:pPr>
        <w:ind w:right="20"/>
        <w:jc w:val="center"/>
        <w:spacing w:after="139"/>
      </w:pPr>
      <w:r/>
      <w:r/>
    </w:p>
    <w:p>
      <w:pPr>
        <w:ind w:left="-15"/>
        <w:spacing w:after="27" w:line="265" w:lineRule="auto"/>
        <w:tabs>
          <w:tab w:val="center" w:pos="6374" w:leader="none"/>
        </w:tabs>
      </w:pPr>
      <w:r/>
      <w:r/>
    </w:p>
    <w:p>
      <w:pPr>
        <w:ind w:left="11340"/>
        <w:tabs>
          <w:tab w:val="center" w:pos="6374" w:leader="none"/>
        </w:tabs>
      </w:pPr>
      <w:r/>
      <w:r/>
    </w:p>
    <w:sectPr>
      <w:footnotePr/>
      <w:endnotePr/>
      <w:type w:val="nextPage"/>
      <w:pgSz w:w="16838" w:h="11906" w:orient="landscape"/>
      <w:pgMar w:top="851" w:right="648" w:bottom="737" w:left="720" w:header="720" w:footer="720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nsolas">
    <w:panose1 w:val="020B06090202040302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95"/>
      </w:pPr>
      <w:r>
        <w:rPr>
          <w:rStyle w:val="997"/>
        </w:rPr>
        <w:footnoteRef/>
      </w:r>
      <w:r>
        <w:t xml:space="preserve"> </w:t>
      </w:r>
      <w:r>
        <w:rPr>
          <w:rFonts w:ascii="Times New Roman" w:hAnsi="Times New Roman" w:eastAsia="Times New Roman"/>
        </w:rPr>
        <w:t xml:space="preserve">Целевые значения ключевых показателей развития конкуренции в субъектах Российской Федерации, установленные </w:t>
      </w:r>
      <w:r>
        <w:rPr>
          <w:rFonts w:ascii="Times New Roman" w:hAnsi="Times New Roman" w:eastAsia="Times New Roman"/>
        </w:rPr>
        <w:t xml:space="preserve">распоряжениями </w:t>
      </w:r>
      <w:r>
        <w:rPr>
          <w:rFonts w:ascii="Times New Roman" w:hAnsi="Times New Roman" w:eastAsia="Times New Roman"/>
        </w:rPr>
        <w:t xml:space="preserve">Правительства Р</w:t>
      </w:r>
      <w:r>
        <w:rPr>
          <w:rFonts w:ascii="Times New Roman" w:hAnsi="Times New Roman" w:eastAsia="Times New Roman"/>
        </w:rPr>
        <w:t xml:space="preserve">оссийской </w:t>
      </w:r>
      <w:r>
        <w:rPr>
          <w:rFonts w:ascii="Times New Roman" w:hAnsi="Times New Roman" w:eastAsia="Times New Roman"/>
        </w:rPr>
        <w:t xml:space="preserve">Ф</w:t>
      </w:r>
      <w:r>
        <w:rPr>
          <w:rFonts w:ascii="Times New Roman" w:hAnsi="Times New Roman" w:eastAsia="Times New Roman"/>
        </w:rPr>
        <w:t xml:space="preserve">едерации от </w:t>
      </w:r>
      <w:r>
        <w:rPr>
          <w:rFonts w:ascii="Times New Roman" w:hAnsi="Times New Roman" w:eastAsia="Times New Roman"/>
        </w:rPr>
        <w:t xml:space="preserve">17.04.2019 № 768-р, от 02.09.2021 № 2424-р.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"/>
      <w:jc w:val="center"/>
    </w:pPr>
    <w:r>
      <w:rPr>
        <w:rFonts w:ascii="Calibri" w:hAnsi="Calibri" w:eastAsia="Calibri" w:cs="Calibri"/>
      </w:rPr>
      <w:fldChar w:fldCharType="begin"/>
    </w:r>
    <w:r>
      <w:instrText xml:space="preserve"> PAGE   \* MERGEFORMAT </w:instrText>
    </w:r>
    <w:r>
      <w:rPr>
        <w:rFonts w:ascii="Calibri" w:hAnsi="Calibri" w:eastAsia="Calibri" w:cs="Calibri"/>
      </w:rPr>
      <w:fldChar w:fldCharType="separate"/>
    </w:r>
    <w:r>
      <w:t xml:space="preserve">2</w:t>
    </w:r>
    <w:r>
      <w:fldChar w:fldCharType="end"/>
    </w:r>
    <w:r>
      <w:t xml:space="preserve"> </w:t>
    </w:r>
    <w:r/>
  </w:p>
  <w:p>
    <w:pPr>
      <w:ind w:right="13"/>
      <w:jc w:val="center"/>
    </w:pPr>
    <w:r>
      <w:rPr>
        <w:sz w:val="23"/>
      </w:rPr>
      <w:t xml:space="preserve"> 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"/>
      <w:jc w:val="center"/>
    </w:pPr>
    <w:r>
      <w:rPr>
        <w:rFonts w:ascii="Calibri" w:hAnsi="Calibri" w:eastAsia="Calibri" w:cs="Calibri"/>
      </w:rPr>
      <w:fldChar w:fldCharType="begin"/>
    </w:r>
    <w:r>
      <w:instrText xml:space="preserve"> PAGE   \* MERGEFORMAT </w:instrText>
    </w:r>
    <w:r>
      <w:rPr>
        <w:rFonts w:ascii="Calibri" w:hAnsi="Calibri" w:eastAsia="Calibri" w:cs="Calibri"/>
      </w:rPr>
      <w:fldChar w:fldCharType="separate"/>
    </w:r>
    <w:r>
      <w:t xml:space="preserve">2</w:t>
    </w:r>
    <w:r>
      <w:fldChar w:fldCharType="end"/>
    </w:r>
    <w:r>
      <w:t xml:space="preserve"> </w:t>
    </w:r>
    <w:r/>
  </w:p>
  <w:p>
    <w:pPr>
      <w:ind w:right="13"/>
      <w:jc w:val="center"/>
    </w:pPr>
    <w:r>
      <w:rPr>
        <w:sz w:val="23"/>
      </w:rP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i w:val="0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82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89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61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33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405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77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49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21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93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292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01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3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5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7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9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1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3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52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2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43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63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8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03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23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4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63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1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color w:val="ff000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1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1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1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14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86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8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30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2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4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6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8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909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43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strike w:val="0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1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1">
    <w:multiLevelType w:val="hybridMultilevel"/>
    <w:lvl w:ilvl="0">
      <w:start w:val="2021"/>
      <w:numFmt w:val="decimal"/>
      <w:isLgl w:val="false"/>
      <w:suff w:val="tab"/>
      <w:lvlText w:val="%1"/>
      <w:lvlJc w:val="left"/>
      <w:pPr>
        <w:ind w:left="780" w:hanging="4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3">
    <w:multiLevelType w:val="hybridMultilevel"/>
    <w:lvl w:ilvl="0">
      <w:start w:val="3"/>
      <w:numFmt w:val="upperRoman"/>
      <w:isLgl w:val="false"/>
      <w:suff w:val="space"/>
      <w:lvlText w:val="%1."/>
      <w:lvlJc w:val="left"/>
      <w:pPr>
        <w:ind w:left="816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9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1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3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5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7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9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1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31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7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1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19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26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3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0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4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5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4"/>
  </w:num>
  <w:num w:numId="3">
    <w:abstractNumId w:val="32"/>
  </w:num>
  <w:num w:numId="4">
    <w:abstractNumId w:val="46"/>
  </w:num>
  <w:num w:numId="5">
    <w:abstractNumId w:val="9"/>
  </w:num>
  <w:num w:numId="6">
    <w:abstractNumId w:val="7"/>
  </w:num>
  <w:num w:numId="7">
    <w:abstractNumId w:val="5"/>
  </w:num>
  <w:num w:numId="8">
    <w:abstractNumId w:val="23"/>
  </w:num>
  <w:num w:numId="9">
    <w:abstractNumId w:val="1"/>
  </w:num>
  <w:num w:numId="10">
    <w:abstractNumId w:val="31"/>
  </w:num>
  <w:num w:numId="11">
    <w:abstractNumId w:val="13"/>
  </w:num>
  <w:num w:numId="12">
    <w:abstractNumId w:val="26"/>
  </w:num>
  <w:num w:numId="13">
    <w:abstractNumId w:val="48"/>
  </w:num>
  <w:num w:numId="14">
    <w:abstractNumId w:val="0"/>
  </w:num>
  <w:num w:numId="15">
    <w:abstractNumId w:val="15"/>
  </w:num>
  <w:num w:numId="16">
    <w:abstractNumId w:val="4"/>
  </w:num>
  <w:num w:numId="17">
    <w:abstractNumId w:val="11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9"/>
  </w:num>
  <w:num w:numId="21">
    <w:abstractNumId w:val="39"/>
  </w:num>
  <w:num w:numId="22">
    <w:abstractNumId w:val="20"/>
  </w:num>
  <w:num w:numId="23">
    <w:abstractNumId w:val="44"/>
  </w:num>
  <w:num w:numId="24">
    <w:abstractNumId w:val="45"/>
  </w:num>
  <w:num w:numId="25">
    <w:abstractNumId w:val="35"/>
  </w:num>
  <w:num w:numId="26">
    <w:abstractNumId w:val="37"/>
  </w:num>
  <w:num w:numId="27">
    <w:abstractNumId w:val="36"/>
  </w:num>
  <w:num w:numId="28">
    <w:abstractNumId w:val="41"/>
  </w:num>
  <w:num w:numId="29">
    <w:abstractNumId w:val="43"/>
  </w:num>
  <w:num w:numId="30">
    <w:abstractNumId w:val="40"/>
  </w:num>
  <w:num w:numId="31">
    <w:abstractNumId w:val="27"/>
  </w:num>
  <w:num w:numId="32">
    <w:abstractNumId w:val="6"/>
  </w:num>
  <w:num w:numId="33">
    <w:abstractNumId w:val="12"/>
  </w:num>
  <w:num w:numId="34">
    <w:abstractNumId w:val="24"/>
  </w:num>
  <w:num w:numId="35">
    <w:abstractNumId w:val="42"/>
  </w:num>
  <w:num w:numId="36">
    <w:abstractNumId w:val="14"/>
  </w:num>
  <w:num w:numId="37">
    <w:abstractNumId w:val="25"/>
  </w:num>
  <w:num w:numId="38">
    <w:abstractNumId w:val="21"/>
  </w:num>
  <w:num w:numId="39">
    <w:abstractNumId w:val="18"/>
  </w:num>
  <w:num w:numId="40">
    <w:abstractNumId w:val="28"/>
  </w:num>
  <w:num w:numId="41">
    <w:abstractNumId w:val="8"/>
  </w:num>
  <w:num w:numId="42">
    <w:abstractNumId w:val="3"/>
  </w:num>
  <w:num w:numId="43">
    <w:abstractNumId w:val="22"/>
  </w:num>
  <w:num w:numId="44">
    <w:abstractNumId w:val="19"/>
  </w:num>
  <w:num w:numId="45">
    <w:abstractNumId w:val="47"/>
  </w:num>
  <w:num w:numId="46">
    <w:abstractNumId w:val="33"/>
  </w:num>
  <w:num w:numId="47">
    <w:abstractNumId w:val="10"/>
  </w:num>
  <w:num w:numId="48">
    <w:abstractNumId w:val="38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7">
    <w:name w:val="Heading 1 Char"/>
    <w:basedOn w:val="978"/>
    <w:link w:val="975"/>
    <w:uiPriority w:val="9"/>
    <w:rPr>
      <w:rFonts w:ascii="Arial" w:hAnsi="Arial" w:eastAsia="Arial" w:cs="Arial"/>
      <w:sz w:val="40"/>
      <w:szCs w:val="40"/>
    </w:rPr>
  </w:style>
  <w:style w:type="character" w:styleId="808">
    <w:name w:val="Heading 2 Char"/>
    <w:basedOn w:val="978"/>
    <w:link w:val="976"/>
    <w:uiPriority w:val="9"/>
    <w:rPr>
      <w:rFonts w:ascii="Arial" w:hAnsi="Arial" w:eastAsia="Arial" w:cs="Arial"/>
      <w:sz w:val="34"/>
    </w:rPr>
  </w:style>
  <w:style w:type="paragraph" w:styleId="809">
    <w:name w:val="Heading 3"/>
    <w:basedOn w:val="974"/>
    <w:next w:val="974"/>
    <w:link w:val="8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10">
    <w:name w:val="Heading 3 Char"/>
    <w:basedOn w:val="978"/>
    <w:link w:val="809"/>
    <w:uiPriority w:val="9"/>
    <w:rPr>
      <w:rFonts w:ascii="Arial" w:hAnsi="Arial" w:eastAsia="Arial" w:cs="Arial"/>
      <w:sz w:val="30"/>
      <w:szCs w:val="30"/>
    </w:rPr>
  </w:style>
  <w:style w:type="character" w:styleId="811">
    <w:name w:val="Heading 4 Char"/>
    <w:basedOn w:val="978"/>
    <w:link w:val="977"/>
    <w:uiPriority w:val="9"/>
    <w:rPr>
      <w:rFonts w:ascii="Arial" w:hAnsi="Arial" w:eastAsia="Arial" w:cs="Arial"/>
      <w:b/>
      <w:bCs/>
      <w:sz w:val="26"/>
      <w:szCs w:val="26"/>
    </w:rPr>
  </w:style>
  <w:style w:type="paragraph" w:styleId="812">
    <w:name w:val="Heading 5"/>
    <w:basedOn w:val="974"/>
    <w:next w:val="974"/>
    <w:link w:val="8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13">
    <w:name w:val="Heading 5 Char"/>
    <w:basedOn w:val="978"/>
    <w:link w:val="812"/>
    <w:uiPriority w:val="9"/>
    <w:rPr>
      <w:rFonts w:ascii="Arial" w:hAnsi="Arial" w:eastAsia="Arial" w:cs="Arial"/>
      <w:b/>
      <w:bCs/>
      <w:sz w:val="24"/>
      <w:szCs w:val="24"/>
    </w:rPr>
  </w:style>
  <w:style w:type="paragraph" w:styleId="814">
    <w:name w:val="Heading 6"/>
    <w:basedOn w:val="974"/>
    <w:next w:val="974"/>
    <w:link w:val="8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15">
    <w:name w:val="Heading 6 Char"/>
    <w:basedOn w:val="978"/>
    <w:link w:val="814"/>
    <w:uiPriority w:val="9"/>
    <w:rPr>
      <w:rFonts w:ascii="Arial" w:hAnsi="Arial" w:eastAsia="Arial" w:cs="Arial"/>
      <w:b/>
      <w:bCs/>
      <w:sz w:val="22"/>
      <w:szCs w:val="22"/>
    </w:rPr>
  </w:style>
  <w:style w:type="paragraph" w:styleId="816">
    <w:name w:val="Heading 7"/>
    <w:basedOn w:val="974"/>
    <w:next w:val="974"/>
    <w:link w:val="8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17">
    <w:name w:val="Heading 7 Char"/>
    <w:basedOn w:val="978"/>
    <w:link w:val="8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18">
    <w:name w:val="Heading 8"/>
    <w:basedOn w:val="974"/>
    <w:next w:val="974"/>
    <w:link w:val="8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19">
    <w:name w:val="Heading 8 Char"/>
    <w:basedOn w:val="978"/>
    <w:link w:val="818"/>
    <w:uiPriority w:val="9"/>
    <w:rPr>
      <w:rFonts w:ascii="Arial" w:hAnsi="Arial" w:eastAsia="Arial" w:cs="Arial"/>
      <w:i/>
      <w:iCs/>
      <w:sz w:val="22"/>
      <w:szCs w:val="22"/>
    </w:rPr>
  </w:style>
  <w:style w:type="paragraph" w:styleId="820">
    <w:name w:val="Heading 9"/>
    <w:basedOn w:val="974"/>
    <w:next w:val="974"/>
    <w:link w:val="8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21">
    <w:name w:val="Heading 9 Char"/>
    <w:basedOn w:val="978"/>
    <w:link w:val="820"/>
    <w:uiPriority w:val="9"/>
    <w:rPr>
      <w:rFonts w:ascii="Arial" w:hAnsi="Arial" w:eastAsia="Arial" w:cs="Arial"/>
      <w:i/>
      <w:iCs/>
      <w:sz w:val="21"/>
      <w:szCs w:val="21"/>
    </w:rPr>
  </w:style>
  <w:style w:type="paragraph" w:styleId="822">
    <w:name w:val="Title"/>
    <w:basedOn w:val="974"/>
    <w:next w:val="974"/>
    <w:link w:val="8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23">
    <w:name w:val="Title Char"/>
    <w:basedOn w:val="978"/>
    <w:link w:val="822"/>
    <w:uiPriority w:val="10"/>
    <w:rPr>
      <w:sz w:val="48"/>
      <w:szCs w:val="48"/>
    </w:rPr>
  </w:style>
  <w:style w:type="paragraph" w:styleId="824">
    <w:name w:val="Subtitle"/>
    <w:basedOn w:val="974"/>
    <w:next w:val="974"/>
    <w:link w:val="825"/>
    <w:uiPriority w:val="11"/>
    <w:qFormat/>
    <w:pPr>
      <w:spacing w:before="200" w:after="200"/>
    </w:pPr>
    <w:rPr>
      <w:sz w:val="24"/>
      <w:szCs w:val="24"/>
    </w:rPr>
  </w:style>
  <w:style w:type="character" w:styleId="825">
    <w:name w:val="Subtitle Char"/>
    <w:basedOn w:val="978"/>
    <w:link w:val="824"/>
    <w:uiPriority w:val="11"/>
    <w:rPr>
      <w:sz w:val="24"/>
      <w:szCs w:val="24"/>
    </w:rPr>
  </w:style>
  <w:style w:type="paragraph" w:styleId="826">
    <w:name w:val="Quote"/>
    <w:basedOn w:val="974"/>
    <w:next w:val="974"/>
    <w:link w:val="827"/>
    <w:uiPriority w:val="29"/>
    <w:qFormat/>
    <w:pPr>
      <w:ind w:left="720" w:right="720"/>
    </w:pPr>
    <w:rPr>
      <w:i/>
    </w:rPr>
  </w:style>
  <w:style w:type="character" w:styleId="827">
    <w:name w:val="Quote Char"/>
    <w:link w:val="826"/>
    <w:uiPriority w:val="29"/>
    <w:rPr>
      <w:i/>
    </w:rPr>
  </w:style>
  <w:style w:type="paragraph" w:styleId="828">
    <w:name w:val="Intense Quote"/>
    <w:basedOn w:val="974"/>
    <w:next w:val="974"/>
    <w:link w:val="8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9">
    <w:name w:val="Intense Quote Char"/>
    <w:link w:val="828"/>
    <w:uiPriority w:val="30"/>
    <w:rPr>
      <w:i/>
    </w:rPr>
  </w:style>
  <w:style w:type="character" w:styleId="830">
    <w:name w:val="Header Char"/>
    <w:basedOn w:val="978"/>
    <w:link w:val="989"/>
    <w:uiPriority w:val="99"/>
  </w:style>
  <w:style w:type="character" w:styleId="831">
    <w:name w:val="Footer Char"/>
    <w:basedOn w:val="978"/>
    <w:link w:val="991"/>
    <w:uiPriority w:val="99"/>
  </w:style>
  <w:style w:type="paragraph" w:styleId="832">
    <w:name w:val="Caption"/>
    <w:basedOn w:val="974"/>
    <w:next w:val="9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3">
    <w:name w:val="Caption Char"/>
    <w:basedOn w:val="832"/>
    <w:link w:val="991"/>
    <w:uiPriority w:val="99"/>
  </w:style>
  <w:style w:type="table" w:styleId="834">
    <w:name w:val="Table Grid Light"/>
    <w:basedOn w:val="9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5">
    <w:name w:val="Plain Table 1"/>
    <w:basedOn w:val="9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6">
    <w:name w:val="Plain Table 2"/>
    <w:basedOn w:val="9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7">
    <w:name w:val="Plain Table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8">
    <w:name w:val="Plain Table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Plain Table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0">
    <w:name w:val="Grid Table 1 Light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1 Light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Grid Table 1 Light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2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2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2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2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2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2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3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3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3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3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3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3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4"/>
    <w:basedOn w:val="9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2">
    <w:name w:val="Grid Table 4 - Accent 1"/>
    <w:basedOn w:val="9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3">
    <w:name w:val="Grid Table 4 - Accent 2"/>
    <w:basedOn w:val="9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4">
    <w:name w:val="Grid Table 4 - Accent 3"/>
    <w:basedOn w:val="9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65">
    <w:name w:val="Grid Table 4 - Accent 4"/>
    <w:basedOn w:val="9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66">
    <w:name w:val="Grid Table 4 - Accent 5"/>
    <w:basedOn w:val="9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67">
    <w:name w:val="Grid Table 4 - Accent 6"/>
    <w:basedOn w:val="9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68">
    <w:name w:val="Grid Table 5 Dark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9">
    <w:name w:val="Grid Table 5 Dark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70">
    <w:name w:val="Grid Table 5 Dark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1">
    <w:name w:val="Grid Table 5 Dark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2">
    <w:name w:val="Grid Table 5 Dark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3">
    <w:name w:val="Grid Table 5 Dark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4">
    <w:name w:val="Grid Table 5 Dark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75">
    <w:name w:val="Grid Table 6 Colorful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6">
    <w:name w:val="Grid Table 6 Colorful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7">
    <w:name w:val="Grid Table 6 Colorful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78">
    <w:name w:val="Grid Table 6 Colorful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79">
    <w:name w:val="Grid Table 6 Colorful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0">
    <w:name w:val="Grid Table 6 Colorful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1">
    <w:name w:val="Grid Table 6 Colorful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2">
    <w:name w:val="Grid Table 7 Colorful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7 Colorful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7 Colorful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7 Colorful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7 Colorful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7 Colorful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7 Colorful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List Table 1 Light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List Table 1 Light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List Table 1 Light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List Table 1 Light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List Table 1 Light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List Table 1 Light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List Table 1 Light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List Table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97">
    <w:name w:val="List Table 2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98">
    <w:name w:val="List Table 2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99">
    <w:name w:val="List Table 2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0">
    <w:name w:val="List Table 2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1">
    <w:name w:val="List Table 2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2">
    <w:name w:val="List Table 2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3">
    <w:name w:val="List Table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3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3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4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5 Dark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8">
    <w:name w:val="List Table 5 Dark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9">
    <w:name w:val="List Table 5 Dark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0">
    <w:name w:val="List Table 5 Dark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1">
    <w:name w:val="List Table 5 Dark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2">
    <w:name w:val="List Table 5 Dark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3">
    <w:name w:val="List Table 5 Dark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4">
    <w:name w:val="List Table 6 Colorful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25">
    <w:name w:val="List Table 6 Colorful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26">
    <w:name w:val="List Table 6 Colorful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27">
    <w:name w:val="List Table 6 Colorful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28">
    <w:name w:val="List Table 6 Colorful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29">
    <w:name w:val="List Table 6 Colorful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0">
    <w:name w:val="List Table 6 Colorful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1">
    <w:name w:val="List Table 7 Colorful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2">
    <w:name w:val="List Table 7 Colorful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3">
    <w:name w:val="List Table 7 Colorful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34">
    <w:name w:val="List Table 7 Colorful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35">
    <w:name w:val="List Table 7 Colorful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6">
    <w:name w:val="List Table 7 Colorful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7">
    <w:name w:val="List Table 7 Colorful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38">
    <w:name w:val="Lined - Accent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9">
    <w:name w:val="Lined - Accent 1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0">
    <w:name w:val="Lined - Accent 2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1">
    <w:name w:val="Lined - Accent 3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2">
    <w:name w:val="Lined - Accent 4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43">
    <w:name w:val="Lined - Accent 5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44">
    <w:name w:val="Lined - Accent 6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45">
    <w:name w:val="Bordered &amp; Lined - Accent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6">
    <w:name w:val="Bordered &amp; Lined - Accent 1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47">
    <w:name w:val="Bordered &amp; Lined - Accent 2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48">
    <w:name w:val="Bordered &amp; Lined - Accent 3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49">
    <w:name w:val="Bordered &amp; Lined - Accent 4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50">
    <w:name w:val="Bordered &amp; Lined - Accent 5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51">
    <w:name w:val="Bordered &amp; Lined - Accent 6"/>
    <w:basedOn w:val="9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52">
    <w:name w:val="Bordered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3">
    <w:name w:val="Bordered - Accent 1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4">
    <w:name w:val="Bordered - Accent 2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55">
    <w:name w:val="Bordered - Accent 3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56">
    <w:name w:val="Bordered - Accent 4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57">
    <w:name w:val="Bordered - Accent 5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58">
    <w:name w:val="Bordered - Accent 6"/>
    <w:basedOn w:val="9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59">
    <w:name w:val="Footnote Text Char"/>
    <w:link w:val="995"/>
    <w:uiPriority w:val="99"/>
    <w:rPr>
      <w:sz w:val="18"/>
    </w:rPr>
  </w:style>
  <w:style w:type="paragraph" w:styleId="960">
    <w:name w:val="endnote text"/>
    <w:basedOn w:val="974"/>
    <w:link w:val="961"/>
    <w:uiPriority w:val="99"/>
    <w:semiHidden/>
    <w:unhideWhenUsed/>
    <w:pPr>
      <w:spacing w:after="0" w:line="240" w:lineRule="auto"/>
    </w:pPr>
    <w:rPr>
      <w:sz w:val="20"/>
    </w:rPr>
  </w:style>
  <w:style w:type="character" w:styleId="961">
    <w:name w:val="Endnote Text Char"/>
    <w:link w:val="960"/>
    <w:uiPriority w:val="99"/>
    <w:rPr>
      <w:sz w:val="20"/>
    </w:rPr>
  </w:style>
  <w:style w:type="character" w:styleId="962">
    <w:name w:val="endnote reference"/>
    <w:basedOn w:val="978"/>
    <w:uiPriority w:val="99"/>
    <w:semiHidden/>
    <w:unhideWhenUsed/>
    <w:rPr>
      <w:vertAlign w:val="superscript"/>
    </w:rPr>
  </w:style>
  <w:style w:type="paragraph" w:styleId="963">
    <w:name w:val="toc 1"/>
    <w:basedOn w:val="974"/>
    <w:next w:val="974"/>
    <w:uiPriority w:val="39"/>
    <w:unhideWhenUsed/>
    <w:pPr>
      <w:ind w:left="0" w:right="0" w:firstLine="0"/>
      <w:spacing w:after="57"/>
    </w:pPr>
  </w:style>
  <w:style w:type="paragraph" w:styleId="964">
    <w:name w:val="toc 2"/>
    <w:basedOn w:val="974"/>
    <w:next w:val="974"/>
    <w:uiPriority w:val="39"/>
    <w:unhideWhenUsed/>
    <w:pPr>
      <w:ind w:left="283" w:right="0" w:firstLine="0"/>
      <w:spacing w:after="57"/>
    </w:pPr>
  </w:style>
  <w:style w:type="paragraph" w:styleId="965">
    <w:name w:val="toc 3"/>
    <w:basedOn w:val="974"/>
    <w:next w:val="974"/>
    <w:uiPriority w:val="39"/>
    <w:unhideWhenUsed/>
    <w:pPr>
      <w:ind w:left="567" w:right="0" w:firstLine="0"/>
      <w:spacing w:after="57"/>
    </w:pPr>
  </w:style>
  <w:style w:type="paragraph" w:styleId="966">
    <w:name w:val="toc 4"/>
    <w:basedOn w:val="974"/>
    <w:next w:val="974"/>
    <w:uiPriority w:val="39"/>
    <w:unhideWhenUsed/>
    <w:pPr>
      <w:ind w:left="850" w:right="0" w:firstLine="0"/>
      <w:spacing w:after="57"/>
    </w:pPr>
  </w:style>
  <w:style w:type="paragraph" w:styleId="967">
    <w:name w:val="toc 5"/>
    <w:basedOn w:val="974"/>
    <w:next w:val="974"/>
    <w:uiPriority w:val="39"/>
    <w:unhideWhenUsed/>
    <w:pPr>
      <w:ind w:left="1134" w:right="0" w:firstLine="0"/>
      <w:spacing w:after="57"/>
    </w:pPr>
  </w:style>
  <w:style w:type="paragraph" w:styleId="968">
    <w:name w:val="toc 6"/>
    <w:basedOn w:val="974"/>
    <w:next w:val="974"/>
    <w:uiPriority w:val="39"/>
    <w:unhideWhenUsed/>
    <w:pPr>
      <w:ind w:left="1417" w:right="0" w:firstLine="0"/>
      <w:spacing w:after="57"/>
    </w:pPr>
  </w:style>
  <w:style w:type="paragraph" w:styleId="969">
    <w:name w:val="toc 7"/>
    <w:basedOn w:val="974"/>
    <w:next w:val="974"/>
    <w:uiPriority w:val="39"/>
    <w:unhideWhenUsed/>
    <w:pPr>
      <w:ind w:left="1701" w:right="0" w:firstLine="0"/>
      <w:spacing w:after="57"/>
    </w:pPr>
  </w:style>
  <w:style w:type="paragraph" w:styleId="970">
    <w:name w:val="toc 8"/>
    <w:basedOn w:val="974"/>
    <w:next w:val="974"/>
    <w:uiPriority w:val="39"/>
    <w:unhideWhenUsed/>
    <w:pPr>
      <w:ind w:left="1984" w:right="0" w:firstLine="0"/>
      <w:spacing w:after="57"/>
    </w:pPr>
  </w:style>
  <w:style w:type="paragraph" w:styleId="971">
    <w:name w:val="toc 9"/>
    <w:basedOn w:val="974"/>
    <w:next w:val="974"/>
    <w:uiPriority w:val="39"/>
    <w:unhideWhenUsed/>
    <w:pPr>
      <w:ind w:left="2268" w:right="0" w:firstLine="0"/>
      <w:spacing w:after="57"/>
    </w:pPr>
  </w:style>
  <w:style w:type="paragraph" w:styleId="972">
    <w:name w:val="TOC Heading"/>
    <w:uiPriority w:val="39"/>
    <w:unhideWhenUsed/>
  </w:style>
  <w:style w:type="paragraph" w:styleId="973">
    <w:name w:val="table of figures"/>
    <w:basedOn w:val="974"/>
    <w:next w:val="974"/>
    <w:uiPriority w:val="99"/>
    <w:unhideWhenUsed/>
    <w:pPr>
      <w:spacing w:after="0" w:afterAutospacing="0"/>
    </w:pPr>
  </w:style>
  <w:style w:type="paragraph" w:styleId="97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75">
    <w:name w:val="Heading 1"/>
    <w:basedOn w:val="974"/>
    <w:next w:val="974"/>
    <w:link w:val="993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976">
    <w:name w:val="Heading 2"/>
    <w:basedOn w:val="974"/>
    <w:next w:val="974"/>
    <w:link w:val="994"/>
    <w:uiPriority w:val="9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977">
    <w:name w:val="Heading 4"/>
    <w:basedOn w:val="974"/>
    <w:next w:val="974"/>
    <w:link w:val="981"/>
    <w:qFormat/>
    <w:pPr>
      <w:ind w:firstLine="709"/>
      <w:keepNext/>
      <w:outlineLvl w:val="3"/>
    </w:pPr>
    <w:rPr>
      <w:sz w:val="28"/>
    </w:rPr>
  </w:style>
  <w:style w:type="character" w:styleId="978" w:default="1">
    <w:name w:val="Default Paragraph Font"/>
    <w:uiPriority w:val="1"/>
    <w:semiHidden/>
    <w:unhideWhenUsed/>
  </w:style>
  <w:style w:type="table" w:styleId="9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0" w:default="1">
    <w:name w:val="No List"/>
    <w:uiPriority w:val="99"/>
    <w:semiHidden/>
    <w:unhideWhenUsed/>
  </w:style>
  <w:style w:type="character" w:styleId="981" w:customStyle="1">
    <w:name w:val="Заголовок 4 Знак"/>
    <w:basedOn w:val="978"/>
    <w:link w:val="97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82" w:customStyle="1">
    <w:name w:val="Знак Знак Знак Знак Знак Знак Знак Знак Знак Знак"/>
    <w:basedOn w:val="974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  <w:style w:type="paragraph" w:styleId="983" w:customStyle="1">
    <w:name w:val="ConsPlusTitle"/>
    <w:uiPriority w:val="99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984">
    <w:name w:val="List Paragraph"/>
    <w:basedOn w:val="974"/>
    <w:link w:val="1005"/>
    <w:uiPriority w:val="34"/>
    <w:qFormat/>
    <w:pPr>
      <w:contextualSpacing/>
      <w:ind w:left="720"/>
    </w:pPr>
  </w:style>
  <w:style w:type="character" w:styleId="985">
    <w:name w:val="Hyperlink"/>
    <w:basedOn w:val="978"/>
    <w:uiPriority w:val="99"/>
    <w:unhideWhenUsed/>
    <w:rPr>
      <w:color w:val="0000ff"/>
      <w:u w:val="single"/>
    </w:rPr>
  </w:style>
  <w:style w:type="paragraph" w:styleId="986">
    <w:name w:val="Balloon Text"/>
    <w:basedOn w:val="974"/>
    <w:link w:val="987"/>
    <w:uiPriority w:val="99"/>
    <w:semiHidden/>
    <w:unhideWhenUsed/>
    <w:rPr>
      <w:rFonts w:ascii="Tahoma" w:hAnsi="Tahoma" w:cs="Tahoma"/>
      <w:sz w:val="16"/>
      <w:szCs w:val="16"/>
    </w:rPr>
  </w:style>
  <w:style w:type="character" w:styleId="987" w:customStyle="1">
    <w:name w:val="Текст выноски Знак"/>
    <w:basedOn w:val="978"/>
    <w:link w:val="98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988" w:customStyle="1">
    <w:name w:val="doccaption"/>
    <w:basedOn w:val="978"/>
  </w:style>
  <w:style w:type="paragraph" w:styleId="989">
    <w:name w:val="Header"/>
    <w:basedOn w:val="974"/>
    <w:link w:val="99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90" w:customStyle="1">
    <w:name w:val="Верхний колонтитул Знак"/>
    <w:basedOn w:val="978"/>
    <w:link w:val="989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91">
    <w:name w:val="Footer"/>
    <w:basedOn w:val="974"/>
    <w:link w:val="99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92" w:customStyle="1">
    <w:name w:val="Нижний колонтитул Знак"/>
    <w:basedOn w:val="978"/>
    <w:link w:val="991"/>
    <w:uiPriority w:val="9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93" w:customStyle="1">
    <w:name w:val="Заголовок 1 Знак"/>
    <w:basedOn w:val="978"/>
    <w:link w:val="975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994" w:customStyle="1">
    <w:name w:val="Заголовок 2 Знак"/>
    <w:basedOn w:val="978"/>
    <w:link w:val="976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paragraph" w:styleId="995">
    <w:name w:val="footnote text"/>
    <w:basedOn w:val="974"/>
    <w:link w:val="996"/>
    <w:uiPriority w:val="99"/>
    <w:semiHidden/>
    <w:unhideWhenUsed/>
    <w:rPr>
      <w:rFonts w:ascii="Calibri" w:hAnsi="Calibri" w:eastAsia="Calibri"/>
      <w:color w:val="auto"/>
      <w:lang w:eastAsia="en-US"/>
    </w:rPr>
  </w:style>
  <w:style w:type="character" w:styleId="996" w:customStyle="1">
    <w:name w:val="Текст сноски Знак"/>
    <w:basedOn w:val="978"/>
    <w:link w:val="995"/>
    <w:uiPriority w:val="99"/>
    <w:semiHidden/>
    <w:rPr>
      <w:rFonts w:ascii="Calibri" w:hAnsi="Calibri" w:eastAsia="Calibri" w:cs="Times New Roman"/>
      <w:sz w:val="20"/>
      <w:szCs w:val="20"/>
    </w:rPr>
  </w:style>
  <w:style w:type="character" w:styleId="997">
    <w:name w:val="footnote reference"/>
    <w:uiPriority w:val="99"/>
    <w:semiHidden/>
    <w:unhideWhenUsed/>
    <w:rPr>
      <w:vertAlign w:val="superscript"/>
    </w:rPr>
  </w:style>
  <w:style w:type="paragraph" w:styleId="998" w:customStyle="1">
    <w:name w:val="Default"/>
    <w:pPr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</w:rPr>
  </w:style>
  <w:style w:type="paragraph" w:styleId="999" w:customStyle="1">
    <w:name w:val="Знак Знак Знак"/>
    <w:basedOn w:val="974"/>
    <w:pPr>
      <w:spacing w:after="160" w:line="240" w:lineRule="exact"/>
    </w:pPr>
    <w:rPr>
      <w:rFonts w:ascii="Verdana" w:hAnsi="Verdana"/>
      <w:color w:val="auto"/>
      <w:sz w:val="24"/>
      <w:szCs w:val="24"/>
      <w:lang w:val="en-US" w:eastAsia="en-US"/>
    </w:rPr>
  </w:style>
  <w:style w:type="paragraph" w:styleId="1000">
    <w:name w:val="Body Text Indent"/>
    <w:basedOn w:val="974"/>
    <w:link w:val="1001"/>
    <w:pPr>
      <w:ind w:firstLine="720"/>
      <w:jc w:val="both"/>
    </w:pPr>
    <w:rPr>
      <w:color w:val="auto"/>
      <w:sz w:val="24"/>
      <w:lang w:eastAsia="en-US"/>
    </w:rPr>
  </w:style>
  <w:style w:type="character" w:styleId="1001" w:customStyle="1">
    <w:name w:val="Основной текст с отступом Знак"/>
    <w:basedOn w:val="978"/>
    <w:link w:val="1000"/>
    <w:rPr>
      <w:rFonts w:ascii="Times New Roman" w:hAnsi="Times New Roman" w:eastAsia="Times New Roman" w:cs="Times New Roman"/>
      <w:sz w:val="24"/>
      <w:szCs w:val="20"/>
    </w:rPr>
  </w:style>
  <w:style w:type="paragraph" w:styleId="1002">
    <w:name w:val="HTML Preformatted"/>
    <w:basedOn w:val="974"/>
    <w:link w:val="1003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color w:val="auto"/>
    </w:rPr>
  </w:style>
  <w:style w:type="character" w:styleId="1003" w:customStyle="1">
    <w:name w:val="Стандартный HTML Знак"/>
    <w:basedOn w:val="978"/>
    <w:link w:val="1002"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1004" w:customStyle="1">
    <w:name w:val="ConsPlusNormal"/>
    <w:link w:val="1028"/>
    <w:pPr>
      <w:spacing w:after="0" w:line="240" w:lineRule="auto"/>
      <w:widowControl w:val="off"/>
    </w:pPr>
    <w:rPr>
      <w:rFonts w:ascii="Calibri" w:hAnsi="Calibri" w:eastAsia="Times New Roman" w:cs="Calibri"/>
      <w:lang w:eastAsia="ru-RU"/>
    </w:rPr>
  </w:style>
  <w:style w:type="character" w:styleId="1005" w:customStyle="1">
    <w:name w:val="Абзац списка Знак"/>
    <w:link w:val="984"/>
    <w:uiPriority w:val="34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1006" w:customStyle="1">
    <w:name w:val="Стиль1"/>
    <w:basedOn w:val="974"/>
    <w:link w:val="1007"/>
    <w:qFormat/>
    <w:pPr>
      <w:ind w:firstLine="709"/>
      <w:jc w:val="both"/>
    </w:pPr>
    <w:rPr>
      <w:color w:val="ff0000"/>
      <w:sz w:val="28"/>
    </w:rPr>
  </w:style>
  <w:style w:type="character" w:styleId="1007" w:customStyle="1">
    <w:name w:val="Стиль1 Знак"/>
    <w:link w:val="1006"/>
    <w:rPr>
      <w:rFonts w:ascii="Times New Roman" w:hAnsi="Times New Roman" w:eastAsia="Times New Roman" w:cs="Times New Roman"/>
      <w:color w:val="ff0000"/>
      <w:sz w:val="28"/>
      <w:szCs w:val="20"/>
      <w:lang w:eastAsia="ru-RU"/>
    </w:rPr>
  </w:style>
  <w:style w:type="character" w:styleId="1008" w:customStyle="1">
    <w:name w:val="Font Style44"/>
    <w:uiPriority w:val="99"/>
    <w:rPr>
      <w:rFonts w:ascii="Times New Roman" w:hAnsi="Times New Roman" w:cs="Times New Roman"/>
      <w:b/>
      <w:bCs/>
      <w:spacing w:val="-10"/>
      <w:sz w:val="22"/>
      <w:szCs w:val="22"/>
    </w:rPr>
  </w:style>
  <w:style w:type="table" w:styleId="1009">
    <w:name w:val="Table Grid"/>
    <w:basedOn w:val="979"/>
    <w:uiPriority w:val="3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10">
    <w:name w:val="Strong"/>
    <w:uiPriority w:val="22"/>
    <w:qFormat/>
    <w:rPr>
      <w:b/>
      <w:bCs/>
    </w:rPr>
  </w:style>
  <w:style w:type="character" w:styleId="1011">
    <w:name w:val="FollowedHyperlink"/>
    <w:uiPriority w:val="99"/>
    <w:semiHidden/>
    <w:unhideWhenUsed/>
    <w:rPr>
      <w:color w:val="954f72"/>
      <w:u w:val="single"/>
    </w:rPr>
  </w:style>
  <w:style w:type="paragraph" w:styleId="1012" w:customStyle="1">
    <w:name w:val="p1"/>
    <w:basedOn w:val="974"/>
    <w:pPr>
      <w:spacing w:before="100" w:beforeAutospacing="1" w:after="100" w:afterAutospacing="1"/>
    </w:pPr>
    <w:rPr>
      <w:rFonts w:eastAsia="Calibri"/>
      <w:color w:val="auto"/>
      <w:sz w:val="24"/>
      <w:szCs w:val="24"/>
    </w:rPr>
  </w:style>
  <w:style w:type="character" w:styleId="1013" w:customStyle="1">
    <w:name w:val="Font Style61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1014">
    <w:name w:val="annotation reference"/>
    <w:uiPriority w:val="99"/>
    <w:semiHidden/>
    <w:unhideWhenUsed/>
    <w:rPr>
      <w:sz w:val="16"/>
      <w:szCs w:val="16"/>
    </w:rPr>
  </w:style>
  <w:style w:type="paragraph" w:styleId="1015">
    <w:name w:val="annotation text"/>
    <w:basedOn w:val="974"/>
    <w:link w:val="1016"/>
    <w:uiPriority w:val="99"/>
    <w:semiHidden/>
    <w:unhideWhenUsed/>
    <w:pPr>
      <w:spacing w:after="160"/>
    </w:pPr>
    <w:rPr>
      <w:rFonts w:ascii="Calibri" w:hAnsi="Calibri" w:eastAsia="Calibri"/>
      <w:color w:val="auto"/>
      <w:lang w:eastAsia="en-US"/>
    </w:rPr>
  </w:style>
  <w:style w:type="character" w:styleId="1016" w:customStyle="1">
    <w:name w:val="Текст примечания Знак"/>
    <w:basedOn w:val="978"/>
    <w:link w:val="1015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1017">
    <w:name w:val="annotation subject"/>
    <w:basedOn w:val="1015"/>
    <w:next w:val="1015"/>
    <w:link w:val="1018"/>
    <w:uiPriority w:val="99"/>
    <w:semiHidden/>
    <w:unhideWhenUsed/>
    <w:rPr>
      <w:b/>
      <w:bCs/>
    </w:rPr>
  </w:style>
  <w:style w:type="character" w:styleId="1018" w:customStyle="1">
    <w:name w:val="Тема примечания Знак"/>
    <w:basedOn w:val="1016"/>
    <w:link w:val="1017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1019">
    <w:name w:val="No Spacing"/>
    <w:link w:val="1022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character" w:styleId="1020" w:customStyle="1">
    <w:name w:val="Font Style62"/>
    <w:uiPriority w:val="99"/>
    <w:rPr>
      <w:rFonts w:hint="default" w:ascii="Times New Roman" w:hAnsi="Times New Roman" w:cs="Times New Roman"/>
      <w:sz w:val="26"/>
      <w:szCs w:val="26"/>
    </w:rPr>
  </w:style>
  <w:style w:type="character" w:styleId="1021" w:customStyle="1">
    <w:name w:val="Основной шрифт абзаца1"/>
  </w:style>
  <w:style w:type="character" w:styleId="1022" w:customStyle="1">
    <w:name w:val="Без интервала Знак"/>
    <w:link w:val="1019"/>
    <w:uiPriority w:val="1"/>
    <w:rPr>
      <w:rFonts w:ascii="Calibri" w:hAnsi="Calibri" w:eastAsia="Calibri" w:cs="Times New Roman"/>
    </w:rPr>
  </w:style>
  <w:style w:type="paragraph" w:styleId="1023" w:customStyle="1">
    <w:name w:val="font_7"/>
    <w:basedOn w:val="974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1024" w:customStyle="1">
    <w:name w:val="Style8"/>
    <w:basedOn w:val="974"/>
    <w:uiPriority w:val="99"/>
    <w:pPr>
      <w:jc w:val="center"/>
      <w:widowControl w:val="off"/>
    </w:pPr>
    <w:rPr>
      <w:color w:val="auto"/>
      <w:sz w:val="24"/>
      <w:szCs w:val="24"/>
    </w:rPr>
  </w:style>
  <w:style w:type="character" w:styleId="1025" w:customStyle="1">
    <w:name w:val="Font Style18"/>
    <w:uiPriority w:val="99"/>
    <w:rPr>
      <w:rFonts w:ascii="Times New Roman" w:hAnsi="Times New Roman" w:cs="Times New Roman"/>
      <w:sz w:val="24"/>
      <w:szCs w:val="24"/>
    </w:rPr>
  </w:style>
  <w:style w:type="paragraph" w:styleId="1026" w:customStyle="1">
    <w:name w:val="Style9"/>
    <w:basedOn w:val="974"/>
    <w:uiPriority w:val="99"/>
    <w:pPr>
      <w:ind w:firstLine="696"/>
      <w:jc w:val="both"/>
      <w:spacing w:line="312" w:lineRule="exact"/>
      <w:widowControl w:val="off"/>
    </w:pPr>
    <w:rPr>
      <w:color w:val="auto"/>
      <w:sz w:val="24"/>
      <w:szCs w:val="24"/>
    </w:rPr>
  </w:style>
  <w:style w:type="character" w:styleId="1027" w:customStyle="1">
    <w:name w:val="Font Style16"/>
    <w:uiPriority w:val="99"/>
    <w:rPr>
      <w:rFonts w:ascii="Times New Roman" w:hAnsi="Times New Roman" w:cs="Times New Roman"/>
      <w:sz w:val="26"/>
      <w:szCs w:val="26"/>
    </w:rPr>
  </w:style>
  <w:style w:type="character" w:styleId="1028" w:customStyle="1">
    <w:name w:val="ConsPlusNormal Знак"/>
    <w:link w:val="1004"/>
    <w:rPr>
      <w:rFonts w:ascii="Calibri" w:hAnsi="Calibri" w:eastAsia="Times New Roman" w:cs="Calibri"/>
      <w:lang w:eastAsia="ru-RU"/>
    </w:rPr>
  </w:style>
  <w:style w:type="paragraph" w:styleId="1029">
    <w:name w:val="Normal (Web)"/>
    <w:basedOn w:val="974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1030" w:customStyle="1">
    <w:name w:val="rmcoonvj"/>
    <w:basedOn w:val="974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1031" w:customStyle="1">
    <w:name w:val="rmcbeymp"/>
    <w:basedOn w:val="974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1032" w:customStyle="1">
    <w:name w:val="Обычный1"/>
    <w:rPr>
      <w:rFonts w:ascii="Times New Roman" w:hAnsi="Times New Roman" w:eastAsia="Times New Roman" w:cs="Times New Roman"/>
      <w:sz w:val="28"/>
      <w:szCs w:val="28"/>
      <w:lang w:eastAsia="ru-RU"/>
    </w:rPr>
  </w:style>
  <w:style w:type="paragraph" w:styleId="1033">
    <w:name w:val="Plain Text"/>
    <w:basedOn w:val="974"/>
    <w:link w:val="1034"/>
    <w:uiPriority w:val="99"/>
    <w:semiHidden/>
    <w:unhideWhenUsed/>
    <w:rPr>
      <w:rFonts w:ascii="Consolas" w:hAnsi="Consolas" w:eastAsia="Calibri"/>
      <w:color w:val="auto"/>
      <w:sz w:val="21"/>
      <w:szCs w:val="21"/>
      <w:lang w:eastAsia="en-US"/>
    </w:rPr>
  </w:style>
  <w:style w:type="character" w:styleId="1034" w:customStyle="1">
    <w:name w:val="Текст Знак"/>
    <w:basedOn w:val="978"/>
    <w:link w:val="1033"/>
    <w:uiPriority w:val="99"/>
    <w:semiHidden/>
    <w:rPr>
      <w:rFonts w:ascii="Consolas" w:hAnsi="Consolas" w:eastAsia="Calibri" w:cs="Times New Roman"/>
      <w:sz w:val="21"/>
      <w:szCs w:val="21"/>
    </w:rPr>
  </w:style>
  <w:style w:type="numbering" w:styleId="1035" w:customStyle="1">
    <w:name w:val="Нет списка1"/>
    <w:next w:val="980"/>
    <w:uiPriority w:val="99"/>
    <w:semiHidden/>
    <w:unhideWhenUsed/>
  </w:style>
  <w:style w:type="table" w:styleId="1036" w:customStyle="1">
    <w:name w:val="Table Grid"/>
    <w:pPr>
      <w:spacing w:after="0" w:line="240" w:lineRule="auto"/>
    </w:pPr>
    <w:rPr>
      <w:rFonts w:eastAsiaTheme="minorEastAsia"/>
      <w:lang w:val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1037" w:customStyle="1">
    <w:name w:val="footnote description"/>
    <w:next w:val="974"/>
    <w:link w:val="1038"/>
    <w:hidden/>
    <w:pPr>
      <w:ind w:right="46"/>
      <w:jc w:val="both"/>
      <w:spacing w:after="0" w:line="259" w:lineRule="auto"/>
    </w:pPr>
    <w:rPr>
      <w:rFonts w:ascii="Times New Roman" w:hAnsi="Times New Roman" w:eastAsia="Times New Roman" w:cs="Times New Roman"/>
      <w:color w:val="000000"/>
      <w:sz w:val="20"/>
      <w:lang w:val="en-US"/>
    </w:rPr>
  </w:style>
  <w:style w:type="character" w:styleId="1038" w:customStyle="1">
    <w:name w:val="footnote description Char"/>
    <w:link w:val="1037"/>
    <w:rPr>
      <w:rFonts w:ascii="Times New Roman" w:hAnsi="Times New Roman" w:eastAsia="Times New Roman" w:cs="Times New Roman"/>
      <w:color w:val="000000"/>
      <w:sz w:val="20"/>
      <w:lang w:val="en-US"/>
    </w:rPr>
  </w:style>
  <w:style w:type="character" w:styleId="1039" w:customStyle="1">
    <w:name w:val="footnote mark"/>
    <w:hidden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1040" w:customStyle="1">
    <w:name w:val="Основной текст_"/>
    <w:basedOn w:val="978"/>
    <w:link w:val="1042"/>
    <w:rPr>
      <w:rFonts w:ascii="Times New Roman" w:hAnsi="Times New Roman" w:eastAsia="Times New Roman" w:cs="Times New Roman"/>
      <w:sz w:val="20"/>
      <w:szCs w:val="20"/>
      <w:shd w:val="clear" w:color="auto" w:fill="ffffff"/>
    </w:rPr>
  </w:style>
  <w:style w:type="character" w:styleId="1041" w:customStyle="1">
    <w:name w:val="Основной текст1"/>
    <w:basedOn w:val="1040"/>
    <w:rPr>
      <w:rFonts w:ascii="Times New Roman" w:hAnsi="Times New Roman" w:eastAsia="Times New Roman" w:cs="Times New Roman"/>
      <w:color w:val="000000"/>
      <w:spacing w:val="0"/>
      <w:position w:val="0"/>
      <w:sz w:val="20"/>
      <w:szCs w:val="20"/>
      <w:shd w:val="clear" w:color="auto" w:fill="ffffff"/>
      <w:lang w:val="ru-RU"/>
    </w:rPr>
  </w:style>
  <w:style w:type="paragraph" w:styleId="1042" w:customStyle="1">
    <w:name w:val="Основной текст6"/>
    <w:basedOn w:val="974"/>
    <w:link w:val="1040"/>
    <w:pPr>
      <w:jc w:val="both"/>
      <w:spacing w:line="226" w:lineRule="exact"/>
      <w:shd w:val="clear" w:color="auto" w:fill="ffffff"/>
      <w:widowControl w:val="off"/>
    </w:pPr>
    <w:rPr>
      <w:color w:val="auto"/>
      <w:lang w:eastAsia="en-US"/>
    </w:rPr>
  </w:style>
  <w:style w:type="paragraph" w:styleId="1043" w:customStyle="1">
    <w:name w:val="Заголовок 1;Заголовок параграфа (1.);Section;Section Heading;level2 hdg;111"/>
    <w:basedOn w:val="974"/>
    <w:link w:val="1044"/>
    <w:uiPriority w:val="9"/>
    <w:qFormat/>
    <w:pPr>
      <w:jc w:val="both"/>
      <w:spacing w:before="240" w:after="240"/>
      <w:outlineLvl w:val="0"/>
    </w:pPr>
    <w:rPr>
      <w:bCs/>
      <w:color w:val="auto"/>
      <w:sz w:val="32"/>
      <w:szCs w:val="48"/>
      <w:lang w:eastAsia="en-US"/>
    </w:rPr>
  </w:style>
  <w:style w:type="character" w:styleId="1044" w:customStyle="1">
    <w:name w:val="Заголовок 1 Знак;Заголовок параграфа (1.) Знак;Section Знак;Section Heading Знак;level2 hdg Знак;111 Знак"/>
    <w:link w:val="1043"/>
    <w:uiPriority w:val="9"/>
    <w:rPr>
      <w:rFonts w:ascii="Times New Roman" w:hAnsi="Times New Roman" w:eastAsia="Times New Roman" w:cs="Times New Roman"/>
      <w:bCs/>
      <w:sz w:val="32"/>
      <w:szCs w:val="4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Relationship Id="rId13" Type="http://schemas.openxmlformats.org/officeDocument/2006/relationships/hyperlink" Target="https://esnsi.gosuslugi.ru/classifiers/19659/data?pg=1&amp;p=1" TargetMode="External"/><Relationship Id="rId14" Type="http://schemas.openxmlformats.org/officeDocument/2006/relationships/hyperlink" Target="https://esnsi.gosuslugi.ru/classifiers/19477/data?pg=1&amp;p=1" TargetMode="External"/><Relationship Id="rId15" Type="http://schemas.openxmlformats.org/officeDocument/2006/relationships/hyperlink" Target="consultantplus://offline/ref=9D4D0FBB0FAE2AC3863D578B706D3355D900D57B22357FABBBB28AFFEFF115AF23BD0B7465D1701C32A77CD5ACX8TFN" TargetMode="External"/><Relationship Id="rId16" Type="http://schemas.openxmlformats.org/officeDocument/2006/relationships/hyperlink" Target="consultantplus://offline/ref=9D4D0FBB0FAE2AC3863D578B706D3355D900D57B22357FABBBB28AFFEFF115AF23BD0B7465D1701C32A77CD5ACX8TFN" TargetMode="External"/><Relationship Id="rId17" Type="http://schemas.openxmlformats.org/officeDocument/2006/relationships/hyperlink" Target="consultantplus://offline/ref=9EEB6EF905FC6D5B4EDA807CDA7D3250FADB125829B4B0FE8642D245473D816FEB1FD53F112AE0C743E5A2349E12814FED1C5B361544F043r8LAQ" TargetMode="External"/><Relationship Id="rId18" Type="http://schemas.openxmlformats.org/officeDocument/2006/relationships/hyperlink" Target="consultantplus://offline/ref=9EEB6EF905FC6D5B4EDA807CDA7D3250FADB125829B4B0FE8642D245473D816FEB1FD53F112AE0C743E5A2349E12814FED1C5B361544F043r8LAQ" TargetMode="External"/><Relationship Id="rId19" Type="http://schemas.openxmlformats.org/officeDocument/2006/relationships/hyperlink" Target="https://pechengamr.gov-murman.ru/documents/mun_programs/2022-2024.php" TargetMode="External"/><Relationship Id="rId20" Type="http://schemas.openxmlformats.org/officeDocument/2006/relationships/hyperlink" Target="https://pechengamr.gov-murman.ru/documents/mun_programs/23-25/munitsipalnye-programmy-2023-2025.php" TargetMode="External"/><Relationship Id="rId21" Type="http://schemas.openxmlformats.org/officeDocument/2006/relationships/hyperlink" Target="https://pechengamr.gov-murman.ru/documents/mun_programs/25-27/municipalnie-programmy-2025-2027.php" TargetMode="External"/><Relationship Id="rId22" Type="http://schemas.openxmlformats.org/officeDocument/2006/relationships/hyperlink" Target="https://pechengamr.gov-murman.ru/documents/mun_programs/2022-2024.php" TargetMode="External"/><Relationship Id="rId23" Type="http://schemas.openxmlformats.org/officeDocument/2006/relationships/hyperlink" Target="https://pechengamr.gov-murman.ru/documents/mun_programs/23-25/munitsipalnye-programmy-2023-2025.php" TargetMode="External"/><Relationship Id="rId24" Type="http://schemas.openxmlformats.org/officeDocument/2006/relationships/hyperlink" Target="https://pechengamr.gov-murman.ru/documents/mun_programs/25-27/municipalnie-programmy-2025-2027.php" TargetMode="External"/><Relationship Id="rId25" Type="http://schemas.openxmlformats.org/officeDocument/2006/relationships/hyperlink" Target="https://pechengamr.gov-murman.ru/documen%20ts/mun_programs/20%2022-2024.php" TargetMode="External"/><Relationship Id="rId26" Type="http://schemas.openxmlformats.org/officeDocument/2006/relationships/hyperlink" Target="https://pechengamr.gov-murman.ru/documents/mun_programs/23-25/munitsipalnye-programmy-2023-2025.php" TargetMode="External"/><Relationship Id="rId27" Type="http://schemas.openxmlformats.org/officeDocument/2006/relationships/hyperlink" Target="https://pechengamr.gov-murman.ru/documents/mun_programs/25-27/municipalnie-programmy-2025-2027.php" TargetMode="External"/><Relationship Id="rId28" Type="http://schemas.openxmlformats.org/officeDocument/2006/relationships/hyperlink" Target="https://pechengamr.gov-murman.ru/documents/mun_programs/2022-2024.php" TargetMode="External"/><Relationship Id="rId29" Type="http://schemas.openxmlformats.org/officeDocument/2006/relationships/hyperlink" Target="https://pechengamr.gov-murman.ru/documents/mun_programs/23-25/munitsipalnye-programmy-2023-2025.php" TargetMode="External"/><Relationship Id="rId30" Type="http://schemas.openxmlformats.org/officeDocument/2006/relationships/hyperlink" Target="https://pechengamr.gov-murman.ru/documents/mun_programs/25-27/municipalnie-programmy-2025-2027.php" TargetMode="External"/><Relationship Id="rId31" Type="http://schemas.openxmlformats.org/officeDocument/2006/relationships/hyperlink" Target="https://pechengamr.gov-murman.ru/documents/mun_programs/2022-2024.php" TargetMode="External"/><Relationship Id="rId32" Type="http://schemas.openxmlformats.org/officeDocument/2006/relationships/hyperlink" Target="https://pechengamr.gov-murman.ru/documents/mun_programs/23-25/munitsipalnye-programmy-2023-2025.php" TargetMode="External"/><Relationship Id="rId33" Type="http://schemas.openxmlformats.org/officeDocument/2006/relationships/hyperlink" Target="https://pechengamr.gov-murman.ru/documents/mun_programs/25-27/municipalnie-programmy-2025-2027.php" TargetMode="External"/><Relationship Id="rId34" Type="http://schemas.openxmlformats.org/officeDocument/2006/relationships/hyperlink" Target="https://pechengamr.gov-murman.ru/documents/mun_programs/2022-2024.php" TargetMode="External"/><Relationship Id="rId35" Type="http://schemas.openxmlformats.org/officeDocument/2006/relationships/hyperlink" Target="https://pechengamr.gov-murman.ru/documents/mun_programs/23-25/munitsipalnye-programmy-2023-2025.php" TargetMode="External"/><Relationship Id="rId36" Type="http://schemas.openxmlformats.org/officeDocument/2006/relationships/hyperlink" Target="https://pechengamr.gov-murman.ru/documents/mun_programs/25-27/municipalnie-programmy-2025-2027.php" TargetMode="External"/><Relationship Id="rId37" Type="http://schemas.openxmlformats.org/officeDocument/2006/relationships/hyperlink" Target="https://pechengamr.gov-murman.ru/documents/mun_programs/2022-2024.php" TargetMode="External"/><Relationship Id="rId38" Type="http://schemas.openxmlformats.org/officeDocument/2006/relationships/hyperlink" Target="https://pechengamr.gov-murman.ru/documents/mun_programs/23-25/munitsipalnye-programmy-2023-2025.php" TargetMode="External"/><Relationship Id="rId39" Type="http://schemas.openxmlformats.org/officeDocument/2006/relationships/hyperlink" Target="https://pechengamr.gov-murman.ru/documents/mun_programs/25-27/municipalnie-programmy-2025-2027.php" TargetMode="External"/><Relationship Id="rId40" Type="http://schemas.openxmlformats.org/officeDocument/2006/relationships/hyperlink" Target="https://pechengamr.gov-murman.ru/documents/mun_programs/2022-2024.php" TargetMode="External"/><Relationship Id="rId41" Type="http://schemas.openxmlformats.org/officeDocument/2006/relationships/hyperlink" Target="https://pechengamr.gov-murman.ru/documents/mun_programs/23-25/munitsipalnye-programmy-2023-2025.php" TargetMode="External"/><Relationship Id="rId42" Type="http://schemas.openxmlformats.org/officeDocument/2006/relationships/hyperlink" Target="https://pechengamr.gov-murman.ru/documents/mun_programs/25-27/municipalnie-programmy-2025-2027.php" TargetMode="External"/><Relationship Id="rId43" Type="http://schemas.openxmlformats.org/officeDocument/2006/relationships/hyperlink" Target="https://pechengamr.gov-murman.ru/documents/mun_programs/2022-2024.php" TargetMode="External"/><Relationship Id="rId44" Type="http://schemas.openxmlformats.org/officeDocument/2006/relationships/hyperlink" Target="https://pechengamr.gov-murman.ru/documents/mun_programs/23-25/munitsipalnye-programmy-2023-2025.php" TargetMode="External"/><Relationship Id="rId45" Type="http://schemas.openxmlformats.org/officeDocument/2006/relationships/hyperlink" Target="https://pechengamr.gov-murman.ru/documents/mun_programs/25-27/municipalnie-programmy-2025-2027.php" TargetMode="External"/><Relationship Id="rId46" Type="http://schemas.openxmlformats.org/officeDocument/2006/relationships/hyperlink" Target="https://pechengamr.gov-murman.ru/documents/mun_programs/2022-2024.php" TargetMode="External"/><Relationship Id="rId47" Type="http://schemas.openxmlformats.org/officeDocument/2006/relationships/hyperlink" Target="https://pechengamr.gov-murman.ru/documents/mun_programs/23-25/munitsipalnye-programmy-2023-2025.php" TargetMode="External"/><Relationship Id="rId48" Type="http://schemas.openxmlformats.org/officeDocument/2006/relationships/hyperlink" Target="https://pechengamr.gov-murman.ru/documents/mun_programs/25-27/municipalnie-programmy-2025-2027.php" TargetMode="External"/><Relationship Id="rId49" Type="http://schemas.openxmlformats.org/officeDocument/2006/relationships/hyperlink" Target="https://pechengamr.gov-murman.ru/documents/mun_programs/2022-2024.php" TargetMode="External"/><Relationship Id="rId50" Type="http://schemas.openxmlformats.org/officeDocument/2006/relationships/hyperlink" Target="https://pechengamr.gov-murman.ru/documents/mun_programs/23-25/munitsipalnye-programmy-2023-2025.php" TargetMode="External"/><Relationship Id="rId51" Type="http://schemas.openxmlformats.org/officeDocument/2006/relationships/hyperlink" Target="https://pechengamr.gov-murman.ru/documents/mun_programs/25-27/municipalnie-programmy-2025-2027.php" TargetMode="External"/><Relationship Id="rId52" Type="http://schemas.openxmlformats.org/officeDocument/2006/relationships/hyperlink" Target="http://minec.gov-murman.ru/" TargetMode="External"/><Relationship Id="rId53" Type="http://schemas.openxmlformats.org/officeDocument/2006/relationships/hyperlink" Target="https://pechengamr.gov-murman.ru/documents/mun_programs/2022-2024.php" TargetMode="External"/><Relationship Id="rId54" Type="http://schemas.openxmlformats.org/officeDocument/2006/relationships/hyperlink" Target="https://pechengamr.gov-murman.ru/documents/mun_programs/23-25/munitsipalnye-programmy-2023-2025.php" TargetMode="External"/><Relationship Id="rId55" Type="http://schemas.openxmlformats.org/officeDocument/2006/relationships/hyperlink" Target="https://pechengamr.gov-murman.ru/documents/mun_programs/25-27/municipalnie-programmy-2025-2027.php" TargetMode="External"/><Relationship Id="rId56" Type="http://schemas.openxmlformats.org/officeDocument/2006/relationships/hyperlink" Target="https://pechengamr.gov-murman.ru/documents/mun_programs/2022-2024.php" TargetMode="External"/><Relationship Id="rId57" Type="http://schemas.openxmlformats.org/officeDocument/2006/relationships/hyperlink" Target="https://pechengamr.gov-murman.ru/documents/mun_programs/23-25/munitsipalnye-programmy-2023-2025.php" TargetMode="External"/><Relationship Id="rId58" Type="http://schemas.openxmlformats.org/officeDocument/2006/relationships/hyperlink" Target="https://pechengamr.gov-murman.ru/documents/mun_programs/25-27/municipalnie-programmy-2025-2027.php" TargetMode="External"/><Relationship Id="rId59" Type="http://schemas.openxmlformats.org/officeDocument/2006/relationships/hyperlink" Target="https://pechengamr.gov-murman.ru/documents/mun_programs/2022-2024.php" TargetMode="External"/><Relationship Id="rId60" Type="http://schemas.openxmlformats.org/officeDocument/2006/relationships/hyperlink" Target="https://pechengamr.gov-murman.ru/documents/mun_programs/23-25/munitsipalnye-programmy-2023-2025.php" TargetMode="External"/><Relationship Id="rId61" Type="http://schemas.openxmlformats.org/officeDocument/2006/relationships/hyperlink" Target="https://pechengamr.gov-murman.ru/documents/mun_programs/25-27/municipalnie-programmy-2025-2027.php" TargetMode="External"/><Relationship Id="rId62" Type="http://schemas.openxmlformats.org/officeDocument/2006/relationships/hyperlink" Target="https://pechengamr.gov-murman.ru/documents/mun_programs/2022-2024.php" TargetMode="External"/><Relationship Id="rId63" Type="http://schemas.openxmlformats.org/officeDocument/2006/relationships/hyperlink" Target="https://pechengamr.gov-murman.ru/documents/mun_programs/23-25/munitsipalnye-programmy-2023-2025.php" TargetMode="External"/><Relationship Id="rId64" Type="http://schemas.openxmlformats.org/officeDocument/2006/relationships/hyperlink" Target="https://pechengamr.gov-murman.ru/documents/mun_programs/25-27/municipalnie-programmy-2025-2027.php" TargetMode="External"/><Relationship Id="rId65" Type="http://schemas.openxmlformats.org/officeDocument/2006/relationships/hyperlink" Target="https://pechengamr.gov-murman.ru/documents/mun_programs/2022-2024.php" TargetMode="External"/><Relationship Id="rId66" Type="http://schemas.openxmlformats.org/officeDocument/2006/relationships/hyperlink" Target="https://pechengamr.gov-murman.ru/documents/mun_programs/23-25/munitsipalnye-programmy-2023-2025.php" TargetMode="External"/><Relationship Id="rId67" Type="http://schemas.openxmlformats.org/officeDocument/2006/relationships/hyperlink" Target="https://pechengamr.gov-murman.ru/documents/mun_programs/25-27/municipalnie-programmy-2025-2027.php" TargetMode="External"/><Relationship Id="rId68" Type="http://schemas.openxmlformats.org/officeDocument/2006/relationships/hyperlink" Target="https://pechengamr.gov-murman.ru/documents/mun_programs/2022-2024.php" TargetMode="External"/><Relationship Id="rId69" Type="http://schemas.openxmlformats.org/officeDocument/2006/relationships/hyperlink" Target="https://pechengamr.gov-murman.ru/documents/mun_programs/23-25/munitsipalnye-programmy-2023-2025.php" TargetMode="External"/><Relationship Id="rId70" Type="http://schemas.openxmlformats.org/officeDocument/2006/relationships/hyperlink" Target="https://pechengamr.gov-murman.ru/documents/mun_programs/25-27/municipalnie-programmy-2025-2027.php" TargetMode="External"/><Relationship Id="rId71" Type="http://schemas.openxmlformats.org/officeDocument/2006/relationships/hyperlink" Target="https://pechengamr.gov-murman.ru/documents/mun_programs/2022-2024.php" TargetMode="External"/><Relationship Id="rId72" Type="http://schemas.openxmlformats.org/officeDocument/2006/relationships/hyperlink" Target="https://pechengamr.gov-murman.ru/documents/mun_programs/23-25/munitsipalnye-programmy-2023-2025.php" TargetMode="External"/><Relationship Id="rId73" Type="http://schemas.openxmlformats.org/officeDocument/2006/relationships/hyperlink" Target="https://pechengamr.gov-murman.ru/documents/mun_programs/24-26/munitsipalnye-programmy-2024-2026.php" TargetMode="External"/><Relationship Id="rId74" Type="http://schemas.openxmlformats.org/officeDocument/2006/relationships/hyperlink" Target="https://pechengamr.gov-murman.ru/documents/mun_programs/25-27/municipalnie-programmy-2025-2027.php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07229-4B6E-49FE-BF43-E0674D5A7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2025-07-15T12:01:00Z</dcterms:created>
  <dcterms:modified xsi:type="dcterms:W3CDTF">2025-07-24T08:26:10Z</dcterms:modified>
</cp:coreProperties>
</file>