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28.07.2025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1249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Порядок уведомления представителя нанимателя (работодателя)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о фактах обращения в целях склонения муниципального служащего администрации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Печенгского муниципального округа к совершению коррупционных правонарушений,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утвержденный постановлением администрации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от 25.12.2024 № 2130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Порядок уведомления представителя</w:t>
      </w:r>
      <w:r>
        <w:rPr>
          <w:sz w:val="24"/>
          <w:szCs w:val="24"/>
        </w:rPr>
        <w:t xml:space="preserve"> нанимателя (работодателя) о фактах обращения в целях склонения муниципального служащего администрации Печенгского муниципального округа к совершению коррупционных правонарушений, утвержденный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25.12.2024 № 2130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16.05.2025 № 812)</w:t>
      </w:r>
      <w:r>
        <w:rPr>
          <w:sz w:val="24"/>
          <w:szCs w:val="24"/>
        </w:rPr>
        <w:t xml:space="preserve"> (далее – Порядок),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1.1. </w:t>
      </w:r>
      <w:r>
        <w:rPr>
          <w:sz w:val="24"/>
          <w:szCs w:val="24"/>
        </w:rPr>
        <w:t xml:space="preserve">В абзаце первом пункта 6 Порядка слова «для рассмотрения Главе округа» заменить словами «на рассмотрение </w:t>
      </w:r>
      <w:r>
        <w:rPr>
          <w:sz w:val="24"/>
          <w:szCs w:val="24"/>
        </w:rPr>
        <w:t xml:space="preserve">Главе округа</w:t>
      </w:r>
      <w:r>
        <w:rPr>
          <w:sz w:val="24"/>
          <w:szCs w:val="24"/>
        </w:rPr>
        <w:t xml:space="preserve"> для принятия решения об организации проверки содержащихся в нем сведений».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Пункты 7-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«7</w:t>
      </w:r>
      <w:r>
        <w:rPr>
          <w:sz w:val="24"/>
          <w:szCs w:val="24"/>
        </w:rPr>
        <w:t xml:space="preserve">. По поручению </w:t>
      </w:r>
      <w:r>
        <w:rPr>
          <w:sz w:val="24"/>
          <w:szCs w:val="24"/>
        </w:rPr>
        <w:t xml:space="preserve">Главы округа специалист сектора муниципальной службы и кадров</w:t>
      </w:r>
      <w:r>
        <w:rPr>
          <w:sz w:val="24"/>
          <w:szCs w:val="24"/>
        </w:rPr>
        <w:t xml:space="preserve"> проводит беседу с муниципальным служащим, подавшим уведомление (указанным в уведомлении), с получением от муниципального служащего пояснения по сведениям, изложенным в уведомлении. О результатах </w:t>
      </w:r>
      <w:r>
        <w:rPr>
          <w:sz w:val="24"/>
          <w:szCs w:val="24"/>
        </w:rPr>
        <w:t xml:space="preserve">заведующий сектором муниципальной службы и кадров</w:t>
      </w:r>
      <w:r>
        <w:rPr>
          <w:sz w:val="24"/>
          <w:szCs w:val="24"/>
        </w:rPr>
        <w:t xml:space="preserve"> докладывает </w:t>
      </w:r>
      <w:r>
        <w:rPr>
          <w:sz w:val="24"/>
          <w:szCs w:val="24"/>
        </w:rPr>
        <w:t xml:space="preserve">Главе округа</w:t>
      </w:r>
      <w:r>
        <w:rPr>
          <w:sz w:val="24"/>
          <w:szCs w:val="24"/>
        </w:rPr>
        <w:t xml:space="preserve"> не позднее трех рабочих дней с даты поручения.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 На основании имеющейся информации </w:t>
      </w:r>
      <w:r>
        <w:rPr>
          <w:sz w:val="24"/>
          <w:szCs w:val="24"/>
        </w:rPr>
        <w:t xml:space="preserve">Глава округа</w:t>
      </w:r>
      <w:r>
        <w:rPr>
          <w:sz w:val="24"/>
          <w:szCs w:val="24"/>
        </w:rPr>
        <w:t xml:space="preserve"> принимает решение о направлении уведомления с прилагаемыми к нему материалами </w:t>
      </w:r>
      <w:r>
        <w:rPr>
          <w:sz w:val="24"/>
          <w:szCs w:val="24"/>
        </w:rPr>
        <w:t xml:space="preserve">в органы</w:t>
      </w:r>
      <w:r>
        <w:rPr>
          <w:sz w:val="24"/>
          <w:szCs w:val="24"/>
        </w:rPr>
        <w:t xml:space="preserve"> прокуратуры</w:t>
      </w:r>
      <w:r>
        <w:rPr>
          <w:sz w:val="24"/>
          <w:szCs w:val="24"/>
        </w:rPr>
        <w:t xml:space="preserve"> Российской Федерации, органы внутренних дел, органы Федеральной службы безопасности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 Уведомление направляется </w:t>
      </w:r>
      <w:r>
        <w:rPr>
          <w:sz w:val="24"/>
          <w:szCs w:val="24"/>
        </w:rPr>
        <w:t xml:space="preserve">Главой округа</w:t>
      </w:r>
      <w:r>
        <w:rPr>
          <w:sz w:val="24"/>
          <w:szCs w:val="24"/>
        </w:rPr>
        <w:t xml:space="preserve"> в органы прокуратуры</w:t>
      </w:r>
      <w:r>
        <w:rPr>
          <w:sz w:val="24"/>
          <w:szCs w:val="24"/>
        </w:rPr>
        <w:t xml:space="preserve"> Российской Федерации, органы внутренних дел, органы Федеральной службы безопасности либо в их территориальные органы</w:t>
      </w:r>
      <w:r>
        <w:rPr>
          <w:sz w:val="24"/>
          <w:szCs w:val="24"/>
        </w:rPr>
        <w:t xml:space="preserve"> не позднее 10 дней с даты регистрации в Журнале. По решению </w:t>
      </w:r>
      <w:r>
        <w:rPr>
          <w:sz w:val="24"/>
          <w:szCs w:val="24"/>
        </w:rPr>
        <w:t xml:space="preserve">Главы округа</w:t>
      </w:r>
      <w:r>
        <w:rPr>
          <w:sz w:val="24"/>
          <w:szCs w:val="24"/>
        </w:rPr>
        <w:t xml:space="preserve"> уведомление может направляться как одновременно в несколько государственных органов, так и в один из них.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направления уведомления одновременно в несколько федеральных государственных органов (их территориальные органы)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сопроводительном письме перечисляются все адресаты с указанием реквизитов исходящих писем.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z w:val="24"/>
          <w:szCs w:val="24"/>
        </w:rPr>
        <w:t xml:space="preserve">По окончании проверки сведений, содержащихся в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ведомлении,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ведомление с приложением материалов проверки представляется </w:t>
      </w:r>
      <w:r>
        <w:rPr>
          <w:sz w:val="24"/>
          <w:szCs w:val="24"/>
        </w:rPr>
        <w:t xml:space="preserve">специалистом сектора муниципальной службы и кадров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Главе округа</w:t>
      </w:r>
      <w:r>
        <w:rPr>
          <w:sz w:val="24"/>
          <w:szCs w:val="24"/>
        </w:rPr>
        <w:t xml:space="preserve">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11. </w:t>
      </w:r>
      <w:r>
        <w:rPr>
          <w:sz w:val="24"/>
          <w:szCs w:val="24"/>
        </w:rPr>
        <w:t xml:space="preserve">Государственная защита муниципального служащего, уведомившего </w:t>
      </w:r>
      <w:r>
        <w:rPr>
          <w:sz w:val="24"/>
          <w:szCs w:val="24"/>
        </w:rPr>
        <w:t xml:space="preserve">Главу округа</w:t>
      </w:r>
      <w:r>
        <w:rPr>
          <w:sz w:val="24"/>
          <w:szCs w:val="24"/>
        </w:rPr>
        <w:t xml:space="preserve">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в связи с ис</w:t>
      </w:r>
      <w:r>
        <w:rPr>
          <w:sz w:val="24"/>
          <w:szCs w:val="24"/>
        </w:rPr>
        <w:t xml:space="preserve">полнением служебных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 </w:t>
      </w:r>
      <w:hyperlink r:id="rId11" w:tooltip="https://pravo-search.minjust.ru/bigs/showDocument.html?id=6BF2E1C2-06F2-4312-B922-149F2A7116DD" w:history="1">
        <w:r>
          <w:rPr>
            <w:rStyle w:val="896"/>
            <w:color w:val="auto"/>
            <w:sz w:val="24"/>
            <w:szCs w:val="24"/>
            <w:u w:val="none"/>
          </w:rPr>
          <w:t xml:space="preserve">Федеральным законом «О государственной защите потерпевших, свидетелей и иных участников уголовного судопроизводства»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Главой округа</w:t>
      </w:r>
      <w:r>
        <w:rPr>
          <w:sz w:val="24"/>
          <w:szCs w:val="24"/>
        </w:rPr>
        <w:t xml:space="preserve"> принимаются меры по защите муниципального служащего, уведомившего </w:t>
      </w:r>
      <w:r>
        <w:rPr>
          <w:sz w:val="24"/>
          <w:szCs w:val="24"/>
        </w:rPr>
        <w:t xml:space="preserve">Главу округа</w:t>
      </w:r>
      <w:r>
        <w:rPr>
          <w:sz w:val="24"/>
          <w:szCs w:val="24"/>
        </w:rPr>
        <w:t xml:space="preserve">, органы прокуратуры или другие государственные органы о фактах обращения в целях склонения его к совершению коррупционного пр</w:t>
      </w:r>
      <w:r>
        <w:rPr>
          <w:sz w:val="24"/>
          <w:szCs w:val="24"/>
        </w:rPr>
        <w:t xml:space="preserve">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 гарантий, предотвращающи</w:t>
      </w:r>
      <w:r>
        <w:rPr>
          <w:sz w:val="24"/>
          <w:szCs w:val="24"/>
        </w:rPr>
        <w:t xml:space="preserve">х его неправомерное увольнение, перевод на нижестоящую должность, лишение или снижение размера материального стимулирования, перенос времени отпуска, привлечение к дисциплинарной ответственности в период рассмотрения представленного муниципальным служащим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ведомления.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привлечения к дисциплинарной ответственности муниципального служащего, указанного в </w:t>
      </w:r>
      <w:r>
        <w:rPr>
          <w:sz w:val="24"/>
          <w:szCs w:val="24"/>
        </w:rPr>
        <w:t xml:space="preserve">абзаце первом</w:t>
      </w:r>
      <w:r>
        <w:rPr>
          <w:sz w:val="24"/>
          <w:szCs w:val="24"/>
        </w:rPr>
        <w:t xml:space="preserve"> настоящего </w:t>
      </w:r>
      <w:r>
        <w:rPr>
          <w:sz w:val="24"/>
          <w:szCs w:val="24"/>
        </w:rPr>
        <w:t xml:space="preserve">пункта</w:t>
      </w:r>
      <w:r>
        <w:rPr>
          <w:sz w:val="24"/>
          <w:szCs w:val="24"/>
        </w:rPr>
        <w:t xml:space="preserve">, обоснованность такого решения рассматривается на заседании Комиссии по соблюдению требований к служебному поведению муниципальных служащих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и урегулированию конфликта интересов (далее – </w:t>
      </w:r>
      <w:r>
        <w:rPr>
          <w:sz w:val="24"/>
          <w:szCs w:val="24"/>
        </w:rPr>
        <w:t xml:space="preserve">Комиссия)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соответствующему</w:t>
      </w:r>
      <w:r>
        <w:rPr>
          <w:sz w:val="24"/>
          <w:szCs w:val="24"/>
        </w:rPr>
        <w:t xml:space="preserve"> представлени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округа или</w:t>
      </w:r>
      <w:r>
        <w:rPr>
          <w:sz w:val="24"/>
          <w:szCs w:val="24"/>
        </w:rPr>
        <w:t xml:space="preserve"> любого члена Комиссии.».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>
        <w:rPr>
          <w:sz w:val="24"/>
          <w:szCs w:val="24"/>
        </w:rPr>
        <w:t xml:space="preserve">В пункте 13 Порядка слово «(заключением)» исключить.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1.5. Пункт 16 Порядка признать утратившим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официального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2" w:tooltip="http://pechengamr.gov-murman.ru/" w:history="1">
        <w:r>
          <w:rPr>
            <w:rStyle w:val="896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Щукина Л.Я., 60718</w:t>
      </w:r>
      <w:r>
        <w:rPr>
          <w:bCs/>
          <w:sz w:val="24"/>
          <w:szCs w:val="24"/>
        </w:rPr>
      </w:r>
      <w:r>
        <w:rPr>
          <w:highlight w:val="none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12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9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7"/>
  </w:num>
  <w:num w:numId="4">
    <w:abstractNumId w:val="13"/>
  </w:num>
  <w:num w:numId="5">
    <w:abstractNumId w:val="11"/>
  </w:num>
  <w:num w:numId="6">
    <w:abstractNumId w:val="14"/>
  </w:num>
  <w:num w:numId="7">
    <w:abstractNumId w:val="1"/>
  </w:num>
  <w:num w:numId="8">
    <w:abstractNumId w:val="10"/>
  </w:num>
  <w:num w:numId="9">
    <w:abstractNumId w:val="12"/>
  </w:num>
  <w:num w:numId="10">
    <w:abstractNumId w:val="8"/>
  </w:num>
  <w:num w:numId="11">
    <w:abstractNumId w:val="16"/>
  </w:num>
  <w:num w:numId="12">
    <w:abstractNumId w:val="18"/>
  </w:num>
  <w:num w:numId="13">
    <w:abstractNumId w:val="15"/>
  </w:num>
  <w:num w:numId="14">
    <w:abstractNumId w:val="5"/>
  </w:num>
  <w:num w:numId="15">
    <w:abstractNumId w:val="7"/>
  </w:num>
  <w:num w:numId="16">
    <w:abstractNumId w:val="2"/>
  </w:num>
  <w:num w:numId="17">
    <w:abstractNumId w:val="9"/>
  </w:num>
  <w:num w:numId="18">
    <w:abstractNumId w:val="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 w:default="1">
    <w:name w:val="Normal"/>
    <w:qFormat/>
    <w:rPr>
      <w:rFonts w:ascii="Times New Roman" w:hAnsi="Times New Roman" w:eastAsia="Times New Roman"/>
    </w:rPr>
  </w:style>
  <w:style w:type="paragraph" w:styleId="693">
    <w:name w:val="Heading 1"/>
    <w:basedOn w:val="692"/>
    <w:next w:val="692"/>
    <w:link w:val="72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888"/>
    <w:qFormat/>
    <w:pPr>
      <w:ind w:firstLine="709"/>
      <w:keepNext/>
      <w:outlineLvl w:val="3"/>
    </w:pPr>
    <w:rPr>
      <w:sz w:val="28"/>
    </w:rPr>
  </w:style>
  <w:style w:type="paragraph" w:styleId="697">
    <w:name w:val="Heading 5"/>
    <w:basedOn w:val="692"/>
    <w:next w:val="692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07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09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0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2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13" w:customStyle="1">
    <w:name w:val="Title Char"/>
    <w:basedOn w:val="702"/>
    <w:uiPriority w:val="10"/>
    <w:rPr>
      <w:sz w:val="48"/>
      <w:szCs w:val="48"/>
    </w:rPr>
  </w:style>
  <w:style w:type="character" w:styleId="714" w:customStyle="1">
    <w:name w:val="Subtitle Char"/>
    <w:basedOn w:val="702"/>
    <w:uiPriority w:val="11"/>
    <w:rPr>
      <w:sz w:val="24"/>
      <w:szCs w:val="24"/>
    </w:rPr>
  </w:style>
  <w:style w:type="character" w:styleId="715" w:customStyle="1">
    <w:name w:val="Quote Char"/>
    <w:uiPriority w:val="29"/>
    <w:rPr>
      <w:i/>
    </w:rPr>
  </w:style>
  <w:style w:type="character" w:styleId="716" w:customStyle="1">
    <w:name w:val="Intense Quote Char"/>
    <w:uiPriority w:val="30"/>
    <w:rPr>
      <w:i/>
    </w:rPr>
  </w:style>
  <w:style w:type="character" w:styleId="717" w:customStyle="1">
    <w:name w:val="Header Char"/>
    <w:basedOn w:val="702"/>
    <w:uiPriority w:val="99"/>
  </w:style>
  <w:style w:type="character" w:styleId="718" w:customStyle="1">
    <w:name w:val="Caption Char"/>
    <w:uiPriority w:val="99"/>
  </w:style>
  <w:style w:type="character" w:styleId="719" w:customStyle="1">
    <w:name w:val="Footnote Text Char"/>
    <w:uiPriority w:val="99"/>
    <w:rPr>
      <w:sz w:val="18"/>
    </w:rPr>
  </w:style>
  <w:style w:type="character" w:styleId="720" w:customStyle="1">
    <w:name w:val="Endnote Text Char"/>
    <w:uiPriority w:val="99"/>
    <w:rPr>
      <w:sz w:val="20"/>
    </w:rPr>
  </w:style>
  <w:style w:type="character" w:styleId="721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22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23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24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Title"/>
    <w:basedOn w:val="692"/>
    <w:next w:val="69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702"/>
    <w:link w:val="730"/>
    <w:uiPriority w:val="10"/>
    <w:rPr>
      <w:sz w:val="48"/>
      <w:szCs w:val="48"/>
    </w:rPr>
  </w:style>
  <w:style w:type="paragraph" w:styleId="732">
    <w:name w:val="Subtitle"/>
    <w:basedOn w:val="692"/>
    <w:next w:val="692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02"/>
    <w:link w:val="732"/>
    <w:uiPriority w:val="11"/>
    <w:rPr>
      <w:sz w:val="24"/>
      <w:szCs w:val="24"/>
    </w:rPr>
  </w:style>
  <w:style w:type="paragraph" w:styleId="734">
    <w:name w:val="Quote"/>
    <w:basedOn w:val="692"/>
    <w:next w:val="692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92"/>
    <w:next w:val="692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692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02"/>
    <w:link w:val="738"/>
    <w:uiPriority w:val="99"/>
  </w:style>
  <w:style w:type="paragraph" w:styleId="740">
    <w:name w:val="Footer"/>
    <w:basedOn w:val="692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02"/>
    <w:uiPriority w:val="99"/>
  </w:style>
  <w:style w:type="paragraph" w:styleId="742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>
    <w:name w:val="Table Grid"/>
    <w:basedOn w:val="70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Table Grid Light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70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70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70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0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0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0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0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0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0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>
    <w:name w:val="Grid Table 5 Dark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>
    <w:name w:val="Grid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>
    <w:name w:val="Grid Table 7 Colorful"/>
    <w:basedOn w:val="70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0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0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0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>
    <w:name w:val="List Table 1 Light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70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>
    <w:name w:val="List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>
    <w:name w:val="List Table 7 Colorful"/>
    <w:basedOn w:val="70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0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0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0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0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0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0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03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0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692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02"/>
    <w:uiPriority w:val="99"/>
    <w:unhideWhenUsed/>
    <w:rPr>
      <w:vertAlign w:val="superscript"/>
    </w:rPr>
  </w:style>
  <w:style w:type="paragraph" w:styleId="873">
    <w:name w:val="endnote text"/>
    <w:basedOn w:val="692"/>
    <w:link w:val="874"/>
    <w:uiPriority w:val="99"/>
    <w:semiHidden/>
    <w:unhideWhenUsed/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02"/>
    <w:uiPriority w:val="99"/>
    <w:semiHidden/>
    <w:unhideWhenUsed/>
    <w:rPr>
      <w:vertAlign w:val="superscript"/>
    </w:rPr>
  </w:style>
  <w:style w:type="paragraph" w:styleId="876">
    <w:name w:val="toc 1"/>
    <w:basedOn w:val="692"/>
    <w:next w:val="692"/>
    <w:uiPriority w:val="39"/>
    <w:unhideWhenUsed/>
    <w:pPr>
      <w:spacing w:after="57"/>
    </w:pPr>
  </w:style>
  <w:style w:type="paragraph" w:styleId="877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78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79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80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81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82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83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84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92"/>
    <w:next w:val="692"/>
    <w:uiPriority w:val="99"/>
    <w:unhideWhenUsed/>
  </w:style>
  <w:style w:type="paragraph" w:styleId="887" w:customStyle="1">
    <w:name w:val="Стиль1"/>
    <w:basedOn w:val="692"/>
    <w:qFormat/>
    <w:rPr>
      <w:sz w:val="24"/>
    </w:rPr>
  </w:style>
  <w:style w:type="character" w:styleId="888" w:customStyle="1">
    <w:name w:val="Заголовок 4 Знак"/>
    <w:link w:val="696"/>
    <w:rPr>
      <w:rFonts w:ascii="Times New Roman" w:hAnsi="Times New Roman" w:eastAsia="Times New Roman"/>
      <w:szCs w:val="20"/>
      <w:lang w:eastAsia="ru-RU"/>
    </w:rPr>
  </w:style>
  <w:style w:type="paragraph" w:styleId="889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90">
    <w:name w:val="Balloon Text"/>
    <w:basedOn w:val="69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link w:val="89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2">
    <w:name w:val="List Paragraph"/>
    <w:basedOn w:val="692"/>
    <w:uiPriority w:val="34"/>
    <w:qFormat/>
    <w:pPr>
      <w:contextualSpacing/>
      <w:ind w:left="720"/>
    </w:pPr>
  </w:style>
  <w:style w:type="paragraph" w:styleId="893" w:customStyle="1">
    <w:name w:val="Знак Знак Знак Знак Знак Знак 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4" w:customStyle="1">
    <w:name w:val="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5" w:customStyle="1">
    <w:name w:val="Знак Знак1 Знак Знак Знак Знак"/>
    <w:basedOn w:val="69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6">
    <w:name w:val="Hyperlink"/>
    <w:basedOn w:val="702"/>
    <w:uiPriority w:val="99"/>
    <w:unhideWhenUsed/>
    <w:rPr>
      <w:color w:val="0000ff" w:themeColor="hyperlink"/>
      <w:u w:val="single"/>
    </w:rPr>
  </w:style>
  <w:style w:type="paragraph" w:styleId="897">
    <w:name w:val="Normal (Web)"/>
    <w:basedOn w:val="692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8">
    <w:name w:val="No Spacing"/>
    <w:uiPriority w:val="1"/>
    <w:qFormat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6BF2E1C2-06F2-4312-B922-149F2A7116DD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2E123-EF82-4F09-BAA8-CED99077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20</cp:revision>
  <dcterms:created xsi:type="dcterms:W3CDTF">2024-12-24T09:49:00Z</dcterms:created>
  <dcterms:modified xsi:type="dcterms:W3CDTF">2025-07-29T08:03:32Z</dcterms:modified>
</cp:coreProperties>
</file>