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05.08.2025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№ 1306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 условий </w:t>
      </w:r>
      <w:r>
        <w:rPr>
          <w:b/>
        </w:rPr>
        <w:t xml:space="preserve">пр</w:t>
      </w:r>
      <w:r>
        <w:rPr>
          <w:b/>
        </w:rPr>
        <w:t xml:space="preserve">иватизации имущества, </w:t>
      </w:r>
      <w:r>
        <w:rPr>
          <w:b/>
        </w:rPr>
        <w:t xml:space="preserve">находящегося</w:t>
      </w:r>
      <w:r>
        <w:rPr>
          <w:b/>
        </w:rPr>
        <w:t xml:space="preserve"> </w:t>
      </w:r>
      <w:r>
        <w:rPr>
          <w:b/>
        </w:rPr>
        <w:t xml:space="preserve">в собственности </w:t>
      </w:r>
      <w:r>
        <w:rPr>
          <w:b/>
        </w:rPr>
        <w:br/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уководствуясь Федеральным </w:t>
      </w:r>
      <w:r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 условия</w:t>
      </w:r>
      <w:r>
        <w:rPr>
          <w:color w:val="000000"/>
          <w:sz w:val="24"/>
          <w:szCs w:val="24"/>
        </w:rPr>
        <w:t xml:space="preserve">ми</w:t>
      </w:r>
      <w:r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Прогнозным планом (программой) приватизации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 xml:space="preserve">имущества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 и плановый период </w:t>
        <w:br/>
        <w:t xml:space="preserve">202</w:t>
      </w:r>
      <w:r>
        <w:rPr>
          <w:sz w:val="24"/>
          <w:szCs w:val="24"/>
        </w:rPr>
        <w:t xml:space="preserve">6 </w:t>
      </w:r>
      <w:r>
        <w:rPr>
          <w:sz w:val="24"/>
          <w:szCs w:val="24"/>
        </w:rPr>
        <w:t xml:space="preserve">- 202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, утвержденным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518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Разрешить приватизацию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посредством публичного предложени</w:t>
      </w:r>
      <w:r>
        <w:rPr>
          <w:sz w:val="24"/>
          <w:szCs w:val="24"/>
        </w:rPr>
        <w:t xml:space="preserve">я имущества</w:t>
      </w:r>
      <w:r>
        <w:rPr>
          <w:sz w:val="24"/>
          <w:szCs w:val="24"/>
        </w:rPr>
        <w:t xml:space="preserve">, находящегося в собственности </w:t>
      </w:r>
      <w:r>
        <w:rPr>
          <w:sz w:val="24"/>
          <w:szCs w:val="24"/>
        </w:rPr>
        <w:t xml:space="preserve">Печенгского муниципального округа,</w:t>
      </w:r>
      <w:r>
        <w:rPr>
          <w:sz w:val="24"/>
          <w:szCs w:val="24"/>
        </w:rPr>
        <w:t xml:space="preserve"> согласно приложени</w:t>
      </w:r>
      <w:r>
        <w:rPr>
          <w:sz w:val="24"/>
          <w:szCs w:val="24"/>
        </w:rPr>
        <w:t xml:space="preserve">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2.1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Способ приватизации: </w:t>
      </w:r>
      <w:r>
        <w:rPr>
          <w:sz w:val="24"/>
          <w:szCs w:val="24"/>
        </w:rPr>
        <w:t xml:space="preserve">продажа путем публичного предложения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2.2. Цена первоначального предложения, величина снижения цены первоначального предложения («шаг понижения»), величина повышения цены («шаг аукциона»), минимальная цена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предложения («цена отсечения»)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</w:t>
      </w:r>
      <w:r>
        <w:rPr>
          <w:sz w:val="24"/>
          <w:szCs w:val="24"/>
        </w:rPr>
        <w:t xml:space="preserve">движимого имущества</w:t>
      </w:r>
      <w:r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2.3. Срок оплаты: единовременно, безналичный расчет, </w:t>
      </w:r>
      <w:r>
        <w:rPr>
          <w:sz w:val="24"/>
          <w:szCs w:val="24"/>
        </w:rPr>
        <w:t xml:space="preserve">не позднее 15 рабочих </w:t>
      </w:r>
      <w:r>
        <w:rPr>
          <w:sz w:val="24"/>
          <w:szCs w:val="24"/>
        </w:rPr>
        <w:t xml:space="preserve">дней </w:t>
      </w:r>
      <w:r>
        <w:rPr>
          <w:sz w:val="24"/>
          <w:szCs w:val="24"/>
        </w:rPr>
        <w:t xml:space="preserve">со дня заключения</w:t>
      </w:r>
      <w:r>
        <w:rPr>
          <w:sz w:val="24"/>
          <w:szCs w:val="24"/>
        </w:rPr>
        <w:t xml:space="preserve"> договора купли-продажи. Средства от сделки поступают в бюджет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 Все действия, необходимые д</w:t>
      </w:r>
      <w:r>
        <w:rPr>
          <w:sz w:val="24"/>
          <w:szCs w:val="24"/>
        </w:rPr>
        <w:t xml:space="preserve">ля государственной регистрации имущества </w:t>
      </w:r>
      <w:r>
        <w:rPr>
          <w:sz w:val="24"/>
          <w:szCs w:val="24"/>
        </w:rPr>
        <w:t xml:space="preserve">и оплату стоимости указанных услуг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3. Комитету по управлению имуществом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выступить продавцом имущества и осуществлять работу в соответствии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Положением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б организации </w:t>
      </w:r>
      <w:r>
        <w:rPr>
          <w:sz w:val="24"/>
          <w:szCs w:val="24"/>
        </w:rPr>
        <w:t xml:space="preserve">и проведении </w:t>
      </w:r>
      <w:r>
        <w:rPr>
          <w:sz w:val="24"/>
          <w:szCs w:val="24"/>
        </w:rPr>
        <w:t xml:space="preserve">продажи государственно</w:t>
      </w:r>
      <w:r>
        <w:rPr>
          <w:sz w:val="24"/>
          <w:szCs w:val="24"/>
        </w:rPr>
        <w:t xml:space="preserve">го или муниципального имущества в электронной форме</w:t>
      </w:r>
      <w:r>
        <w:rPr>
          <w:sz w:val="24"/>
          <w:szCs w:val="24"/>
        </w:rPr>
        <w:t xml:space="preserve">, утвержденным постановлением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27.08.2012 № 860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 Настоящее постановление вступает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размещению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 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hd w:val="clear" w:color="auto" w:fill="ffffff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Лаврущик</w:t>
      </w:r>
      <w:r>
        <w:t xml:space="preserve"> С.С., 50579</w:t>
      </w:r>
      <w:r/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firstLine="52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firstLine="52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firstLine="52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еченгского муниципального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firstLine="52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 w:firstLine="52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05.08.2025 № </w:t>
      </w:r>
      <w:r>
        <w:rPr>
          <w:sz w:val="24"/>
          <w:szCs w:val="24"/>
        </w:rPr>
        <w:t xml:space="preserve">1306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имущества, подлежащего приватизации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5101" w:type="pct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1599"/>
        <w:gridCol w:w="1843"/>
        <w:gridCol w:w="3117"/>
        <w:gridCol w:w="1985"/>
        <w:gridCol w:w="2127"/>
        <w:gridCol w:w="1843"/>
        <w:gridCol w:w="1901"/>
      </w:tblGrid>
      <w:tr>
        <w:tblPrEx/>
        <w:trPr>
          <w:trHeight w:val="890"/>
        </w:trPr>
        <w:tc>
          <w:tcPr>
            <w:tcW w:w="22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r>
              <w:rPr>
                <w:b/>
              </w:rPr>
              <w:t xml:space="preserve">п</w:t>
            </w:r>
            <w:r>
              <w:rPr>
                <w:b/>
              </w:rPr>
              <w:t xml:space="preserve">/п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5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Наименование объекта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center"/>
              <w:tabs>
                <w:tab w:val="left" w:pos="1035" w:leader="none"/>
              </w:tabs>
              <w:rPr>
                <w:b/>
              </w:rPr>
            </w:pPr>
            <w:r>
              <w:rPr>
                <w:b/>
              </w:rPr>
              <w:t xml:space="preserve">Адрес местонахождения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03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Индивидуализирующие характеристики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58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Цена первоначального предложения 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70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Величина снижения цены первоначального предложения («шаг понижения») –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10%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Величина повышения цены («шаг аукциона») –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5 %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630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Минимальная цена предложения (цена отсечения) –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50 % 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(рубли)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1.</w:t>
            </w:r>
            <w:r/>
          </w:p>
        </w:tc>
        <w:tc>
          <w:tcPr>
            <w:tcW w:w="530" w:type="pct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№ 1</w:t>
            </w:r>
            <w:r/>
          </w:p>
          <w:p>
            <w:pPr>
              <w:pStyle w:val="857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Российская Федерация, Мурманская область, муниципальный округ Печенгский</w:t>
            </w:r>
            <w:r/>
          </w:p>
          <w:p>
            <w:r/>
            <w:r/>
          </w:p>
        </w:tc>
        <w:tc>
          <w:tcPr>
            <w:tcW w:w="1033" w:type="pct"/>
            <w:textDirection w:val="lrTb"/>
            <w:noWrap w:val="false"/>
          </w:tcPr>
          <w:p>
            <w:pPr>
              <w:jc w:val="both"/>
              <w:rPr>
                <w:rStyle w:val="859"/>
                <w:rFonts w:ascii="Times New Roman" w:hAnsi="Times New Roman"/>
              </w:rPr>
            </w:pPr>
            <w:r>
              <w:t xml:space="preserve">Кадастровый номер 51:03:0060102:2724, площадь </w:t>
            </w:r>
            <w:r>
              <w:rPr>
                <w:rStyle w:val="859"/>
                <w:rFonts w:ascii="Times New Roman" w:hAnsi="Times New Roman"/>
              </w:rPr>
              <w:t xml:space="preserve">1698,7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r>
              <w:t xml:space="preserve">10 505 000 (десять миллионов пятьсот пять тысяч) рублей 00 копеек без учета НДС</w:t>
            </w:r>
            <w:r/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r>
              <w:t xml:space="preserve">1 050 500 (один миллион пятьдесят тысяч пятьсот)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r>
              <w:t xml:space="preserve">525 250 (пятьсот двадцать пять тысяч двести пятьдесят)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r>
              <w:t xml:space="preserve">5 252 500 (пять миллионов двести пятьдесят две тысячи пятьсот) рублей 00 копеек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2.</w:t>
            </w:r>
            <w:r/>
          </w:p>
        </w:tc>
        <w:tc>
          <w:tcPr>
            <w:tcW w:w="530" w:type="pct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№ 2</w:t>
            </w:r>
            <w:r/>
          </w:p>
          <w:p>
            <w:pPr>
              <w:pStyle w:val="857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>
              <w:t xml:space="preserve"> </w:t>
            </w:r>
            <w:r/>
          </w:p>
        </w:tc>
        <w:tc>
          <w:tcPr>
            <w:tcW w:w="1033" w:type="pct"/>
            <w:textDirection w:val="lrTb"/>
            <w:noWrap w:val="false"/>
          </w:tcPr>
          <w:p>
            <w:pPr>
              <w:jc w:val="both"/>
              <w:rPr>
                <w:rStyle w:val="859"/>
                <w:rFonts w:ascii="Times New Roman" w:hAnsi="Times New Roman"/>
              </w:rPr>
            </w:pPr>
            <w:r>
              <w:t xml:space="preserve">Кадастровый номер 51:03:0060102:2723, площадь </w:t>
            </w:r>
            <w:r>
              <w:rPr>
                <w:rStyle w:val="859"/>
                <w:rFonts w:ascii="Times New Roman" w:hAnsi="Times New Roman"/>
              </w:rPr>
              <w:t xml:space="preserve">1683,2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r>
              <w:t xml:space="preserve">10 409 000 (десять миллионов четыреста девять тысяч) рублей 00 копеек без учета НДС</w:t>
            </w:r>
            <w:r/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r>
              <w:t xml:space="preserve">1 040 900 (один миллион сорок тысяч девятьсот)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r>
              <w:t xml:space="preserve">520 450 (пятьсот двадцать тысяч четыреста пятьдесят)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r>
              <w:t xml:space="preserve">5 204 500 (пять миллионов двести четыре тысячи пятьсот) рублей 00 копеек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3.</w:t>
            </w:r>
            <w:r/>
          </w:p>
        </w:tc>
        <w:tc>
          <w:tcPr>
            <w:tcW w:w="530" w:type="pct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№ 3</w:t>
            </w:r>
            <w:r/>
          </w:p>
          <w:p>
            <w:pPr>
              <w:pStyle w:val="857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/>
          </w:p>
        </w:tc>
        <w:tc>
          <w:tcPr>
            <w:tcW w:w="1033" w:type="pct"/>
            <w:textDirection w:val="lrTb"/>
            <w:noWrap w:val="false"/>
          </w:tcPr>
          <w:p>
            <w:pPr>
              <w:jc w:val="both"/>
              <w:rPr>
                <w:rStyle w:val="859"/>
                <w:rFonts w:ascii="Times New Roman" w:hAnsi="Times New Roman"/>
              </w:rPr>
            </w:pPr>
            <w:r>
              <w:t xml:space="preserve">Кадастровый номер 51:03:0060102:2721, площадь </w:t>
            </w:r>
            <w:r>
              <w:rPr>
                <w:rStyle w:val="859"/>
                <w:rFonts w:ascii="Times New Roman" w:hAnsi="Times New Roman"/>
              </w:rPr>
              <w:t xml:space="preserve">389,9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r>
              <w:t xml:space="preserve">3 768 000 (три миллиона семьсот шестьдесят восемь тысяч) рублей 00 копеек без учета НДС</w:t>
            </w:r>
            <w:r/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r>
              <w:t xml:space="preserve">376 800 (триста семьдесят шесть тысяч восемьсот)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r>
              <w:t xml:space="preserve">188 400 (сто восемьдесят восемь тысяч четыреста)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r>
              <w:t xml:space="preserve">1 884 000 (один миллион восемьсот восемьдесят четыре тысячи) рублей 00 копеек </w:t>
            </w:r>
            <w:r/>
          </w:p>
        </w:tc>
      </w:tr>
      <w:tr>
        <w:tblPrEx/>
        <w:trPr/>
        <w:tc>
          <w:tcPr>
            <w:tcW w:w="222" w:type="pct"/>
            <w:textDirection w:val="lrTb"/>
            <w:noWrap w:val="false"/>
          </w:tcPr>
          <w:p>
            <w:pPr>
              <w:jc w:val="center"/>
            </w:pPr>
            <w:r>
              <w:t xml:space="preserve">4.</w:t>
            </w:r>
            <w:r/>
          </w:p>
        </w:tc>
        <w:tc>
          <w:tcPr>
            <w:tcW w:w="530" w:type="pct"/>
            <w:textDirection w:val="lrTb"/>
            <w:noWrap w:val="false"/>
          </w:tcPr>
          <w:p>
            <w:r>
              <w:rPr>
                <w:rStyle w:val="859"/>
                <w:rFonts w:ascii="Times New Roman" w:hAnsi="Times New Roman"/>
              </w:rPr>
              <w:t xml:space="preserve">Нежилое здание № 4</w:t>
            </w:r>
            <w:r/>
          </w:p>
          <w:p>
            <w:pPr>
              <w:pStyle w:val="857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611" w:type="pct"/>
            <w:textDirection w:val="lrTb"/>
            <w:noWrap w:val="false"/>
          </w:tcPr>
          <w:p>
            <w:pPr>
              <w:jc w:val="both"/>
            </w:pPr>
            <w:r>
              <w:rPr>
                <w:shd w:val="clear" w:color="auto" w:fill="ffffff"/>
              </w:rPr>
              <w:t xml:space="preserve">Российская Федерация, Мурманская область, муниципальный округ Печенгский, поселок городского типа Никель</w:t>
            </w:r>
            <w:r>
              <w:t xml:space="preserve"> </w:t>
            </w:r>
            <w:r/>
          </w:p>
        </w:tc>
        <w:tc>
          <w:tcPr>
            <w:tcW w:w="1033" w:type="pct"/>
            <w:textDirection w:val="lrTb"/>
            <w:noWrap w:val="false"/>
          </w:tcPr>
          <w:p>
            <w:pPr>
              <w:jc w:val="both"/>
              <w:rPr>
                <w:rStyle w:val="859"/>
                <w:rFonts w:ascii="Times New Roman" w:hAnsi="Times New Roman"/>
              </w:rPr>
            </w:pPr>
            <w:r>
              <w:t xml:space="preserve">Кадастровый номер 51:03:0060102:2722, площадь </w:t>
            </w:r>
            <w:r>
              <w:rPr>
                <w:rStyle w:val="859"/>
                <w:rFonts w:ascii="Times New Roman" w:hAnsi="Times New Roman"/>
              </w:rPr>
              <w:t xml:space="preserve">71,2 кв. м, количество этажей: </w:t>
            </w:r>
            <w:r>
              <w:rPr>
                <w:rStyle w:val="859"/>
                <w:rFonts w:ascii="Times New Roman" w:hAnsi="Times New Roman"/>
              </w:rPr>
            </w:r>
            <w:r>
              <w:rPr>
                <w:rStyle w:val="859"/>
                <w:rFonts w:ascii="Times New Roman" w:hAnsi="Times New Roman"/>
              </w:rPr>
            </w:r>
          </w:p>
          <w:p>
            <w:pPr>
              <w:jc w:val="both"/>
            </w:pPr>
            <w:r>
              <w:rPr>
                <w:rStyle w:val="859"/>
                <w:rFonts w:ascii="Times New Roman" w:hAnsi="Times New Roman"/>
              </w:rPr>
              <w:t xml:space="preserve">1, в том числе </w:t>
            </w:r>
            <w:r>
              <w:rPr>
                <w:rStyle w:val="859"/>
                <w:rFonts w:ascii="Times New Roman" w:hAnsi="Times New Roman"/>
              </w:rPr>
              <w:t xml:space="preserve">подземных</w:t>
            </w:r>
            <w:r>
              <w:rPr>
                <w:rStyle w:val="859"/>
                <w:rFonts w:ascii="Times New Roman" w:hAnsi="Times New Roman"/>
              </w:rPr>
              <w:t xml:space="preserve"> 0.  </w:t>
            </w:r>
            <w:r/>
          </w:p>
          <w:p>
            <w:pPr>
              <w:jc w:val="both"/>
            </w:pPr>
            <w:r>
              <w:t xml:space="preserve">Техническое состояние неудовлетворительное. Требуется капитальный ремонт.</w:t>
            </w:r>
            <w:r/>
          </w:p>
        </w:tc>
        <w:tc>
          <w:tcPr>
            <w:tcBorders>
              <w:right w:val="single" w:color="auto" w:sz="4" w:space="0"/>
            </w:tcBorders>
            <w:tcW w:w="658" w:type="pct"/>
            <w:textDirection w:val="lrTb"/>
            <w:noWrap w:val="false"/>
          </w:tcPr>
          <w:p>
            <w:r>
              <w:t xml:space="preserve">780 000 (семьсот восемьдесят тысяч) рублей 00 копеек без учета НДС</w:t>
            </w:r>
            <w:r/>
          </w:p>
        </w:tc>
        <w:tc>
          <w:tcPr>
            <w:tcBorders>
              <w:right w:val="single" w:color="auto" w:sz="4" w:space="0"/>
            </w:tcBorders>
            <w:tcW w:w="705" w:type="pct"/>
            <w:textDirection w:val="lrTb"/>
            <w:noWrap w:val="false"/>
          </w:tcPr>
          <w:p>
            <w:r>
              <w:t xml:space="preserve">78 000 (семьдесят восемь тысяч) рублей 00 копеек </w:t>
            </w:r>
            <w:r/>
          </w:p>
        </w:tc>
        <w:tc>
          <w:tcPr>
            <w:tcBorders>
              <w:right w:val="single" w:color="auto" w:sz="4" w:space="0"/>
            </w:tcBorders>
            <w:tcW w:w="611" w:type="pct"/>
            <w:textDirection w:val="lrTb"/>
            <w:noWrap w:val="false"/>
          </w:tcPr>
          <w:p>
            <w:r>
              <w:t xml:space="preserve">39 000 (тридцать девять тысяч) рублей 00 копеек</w:t>
            </w:r>
            <w:r/>
          </w:p>
        </w:tc>
        <w:tc>
          <w:tcPr>
            <w:tcBorders>
              <w:right w:val="single" w:color="auto" w:sz="4" w:space="0"/>
            </w:tcBorders>
            <w:tcW w:w="630" w:type="pct"/>
            <w:textDirection w:val="lrTb"/>
            <w:noWrap w:val="false"/>
          </w:tcPr>
          <w:p>
            <w:r>
              <w:t xml:space="preserve">390 000 (триста девяносто тысяч) рублей 00 копеек</w:t>
            </w:r>
            <w:r/>
          </w:p>
        </w:tc>
      </w:tr>
    </w:tbl>
    <w:p>
      <w:pPr>
        <w:jc w:val="center"/>
        <w:rPr>
          <w:b/>
        </w:rPr>
        <w:sectPr>
          <w:footnotePr/>
          <w:endnotePr/>
          <w:type w:val="nextPage"/>
          <w:pgSz w:w="16838" w:h="11906" w:orient="landscape"/>
          <w:pgMar w:top="1134" w:right="1134" w:bottom="851" w:left="1134" w:header="709" w:footer="709" w:gutter="0"/>
          <w:cols w:num="1" w:sep="0" w:space="708" w:equalWidth="1"/>
          <w:docGrid w:linePitch="360"/>
        </w:sectPr>
      </w:pPr>
      <w:r/>
      <w:bookmarkStart w:id="0" w:name="_GoBack"/>
      <w:r/>
      <w:bookmarkEnd w:id="0"/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1"/>
    <w:next w:val="841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43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1"/>
    <w:next w:val="841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basedOn w:val="843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1"/>
    <w:next w:val="841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basedOn w:val="843"/>
    <w:link w:val="670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843"/>
    <w:link w:val="842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1"/>
    <w:next w:val="841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1"/>
    <w:next w:val="841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1"/>
    <w:next w:val="841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1"/>
    <w:next w:val="841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1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1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rPr>
      <w:rFonts w:ascii="Times New Roman" w:hAnsi="Times New Roman" w:eastAsia="Times New Roman"/>
    </w:rPr>
  </w:style>
  <w:style w:type="paragraph" w:styleId="842">
    <w:name w:val="Heading 4"/>
    <w:basedOn w:val="841"/>
    <w:next w:val="841"/>
    <w:link w:val="847"/>
    <w:qFormat/>
    <w:pPr>
      <w:ind w:firstLine="709"/>
      <w:keepNext/>
      <w:outlineLvl w:val="3"/>
    </w:pPr>
    <w:rPr>
      <w:sz w:val="28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 w:customStyle="1">
    <w:name w:val="Стиль1"/>
    <w:basedOn w:val="841"/>
    <w:qFormat/>
    <w:rPr>
      <w:sz w:val="24"/>
    </w:rPr>
  </w:style>
  <w:style w:type="character" w:styleId="847" w:customStyle="1">
    <w:name w:val="Заголовок 4 Знак"/>
    <w:link w:val="842"/>
    <w:rPr>
      <w:rFonts w:ascii="Times New Roman" w:hAnsi="Times New Roman" w:eastAsia="Times New Roman"/>
      <w:szCs w:val="20"/>
      <w:lang w:eastAsia="ru-RU"/>
    </w:rPr>
  </w:style>
  <w:style w:type="paragraph" w:styleId="84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49">
    <w:name w:val="Balloon Text"/>
    <w:basedOn w:val="841"/>
    <w:link w:val="850"/>
    <w:uiPriority w:val="99"/>
    <w:semiHidden/>
    <w:unhideWhenUsed/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link w:val="84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1">
    <w:name w:val="List Paragraph"/>
    <w:basedOn w:val="841"/>
    <w:uiPriority w:val="34"/>
    <w:qFormat/>
    <w:pPr>
      <w:contextualSpacing/>
      <w:ind w:left="720"/>
    </w:pPr>
  </w:style>
  <w:style w:type="paragraph" w:styleId="852" w:customStyle="1">
    <w:name w:val="Знак Знак1 Знак Знак 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3" w:customStyle="1">
    <w:name w:val="Знак Знак1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4">
    <w:name w:val="Table Grid"/>
    <w:basedOn w:val="84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Plain Text"/>
    <w:basedOn w:val="841"/>
    <w:link w:val="856"/>
    <w:rPr>
      <w:rFonts w:ascii="Courier New" w:hAnsi="Courier New" w:cs="Courier New"/>
    </w:rPr>
  </w:style>
  <w:style w:type="character" w:styleId="856" w:customStyle="1">
    <w:name w:val="Текст Знак"/>
    <w:link w:val="855"/>
    <w:rPr>
      <w:rFonts w:ascii="Courier New" w:hAnsi="Courier New" w:eastAsia="Times New Roman" w:cs="Courier New"/>
    </w:rPr>
  </w:style>
  <w:style w:type="paragraph" w:styleId="857">
    <w:name w:val="Body Text"/>
    <w:basedOn w:val="841"/>
    <w:link w:val="858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58" w:customStyle="1">
    <w:name w:val="Основной текст Знак"/>
    <w:basedOn w:val="843"/>
    <w:link w:val="857"/>
    <w:uiPriority w:val="99"/>
    <w:rPr>
      <w:sz w:val="22"/>
      <w:szCs w:val="22"/>
      <w:lang w:eastAsia="en-US"/>
    </w:rPr>
  </w:style>
  <w:style w:type="character" w:styleId="859" w:customStyle="1">
    <w:name w:val="fontstyle01"/>
    <w:basedOn w:val="843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9C506-75C0-43DC-8F73-0D65504B6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</cp:revision>
  <dcterms:created xsi:type="dcterms:W3CDTF">2025-07-29T07:34:00Z</dcterms:created>
  <dcterms:modified xsi:type="dcterms:W3CDTF">2025-08-06T07:23:44Z</dcterms:modified>
</cp:coreProperties>
</file>