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widowControl w:val="off"/>
        <w:rPr>
          <w:b/>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44"/>
          <w:szCs w:val="44"/>
        </w:rPr>
      </w:pPr>
      <w:r>
        <w:rPr>
          <w:b/>
          <w:sz w:val="44"/>
          <w:szCs w:val="44"/>
        </w:rPr>
        <w:t xml:space="preserve">АДМИНИСТРАЦИЯ </w:t>
      </w:r>
      <w:r>
        <w:rPr>
          <w:b/>
          <w:sz w:val="44"/>
          <w:szCs w:val="44"/>
        </w:rPr>
      </w:r>
      <w:r>
        <w:rPr>
          <w:b/>
          <w:sz w:val="44"/>
          <w:szCs w:val="44"/>
        </w:rPr>
      </w:r>
    </w:p>
    <w:p>
      <w:pPr>
        <w:ind w:firstLine="0"/>
        <w:jc w:val="center"/>
        <w:widowControl w:val="off"/>
        <w:rPr>
          <w:b/>
          <w:sz w:val="28"/>
        </w:rPr>
      </w:pPr>
      <w:r>
        <w:rPr>
          <w:b/>
          <w:sz w:val="28"/>
        </w:rPr>
        <w:t xml:space="preserve">ПЕЧЕНГСКОГО МУНИЦИПАЛЬНОГО ОКРУГА</w:t>
      </w:r>
      <w:r>
        <w:rPr>
          <w:b/>
          <w:sz w:val="28"/>
        </w:rPr>
      </w:r>
      <w:r>
        <w:rPr>
          <w:b/>
          <w:sz w:val="28"/>
        </w:rPr>
      </w:r>
    </w:p>
    <w:p>
      <w:pPr>
        <w:ind w:firstLine="0"/>
        <w:jc w:val="center"/>
        <w:widowControl w:val="off"/>
        <w:rPr>
          <w:b/>
          <w:sz w:val="28"/>
        </w:rPr>
      </w:pPr>
      <w:r>
        <w:rPr>
          <w:b/>
          <w:sz w:val="28"/>
        </w:rPr>
        <w:t xml:space="preserve">МУРМАНСКОЙ ОБЛАСТИ</w:t>
      </w:r>
      <w:r>
        <w:rPr>
          <w:b/>
          <w:sz w:val="28"/>
        </w:rPr>
      </w:r>
      <w:r>
        <w:rPr>
          <w:b/>
          <w:sz w:val="28"/>
        </w:rPr>
      </w:r>
    </w:p>
    <w:p>
      <w:pPr>
        <w:ind w:firstLine="0"/>
        <w:jc w:val="center"/>
        <w:widowControl w:val="off"/>
        <w:rPr>
          <w:b/>
          <w:sz w:val="16"/>
          <w:szCs w:val="16"/>
        </w:rPr>
      </w:pPr>
      <w:r>
        <w:rPr>
          <w:b/>
          <w:sz w:val="16"/>
          <w:szCs w:val="16"/>
        </w:rPr>
      </w:r>
      <w:r>
        <w:rPr>
          <w:b/>
          <w:sz w:val="16"/>
          <w:szCs w:val="16"/>
        </w:rPr>
      </w:r>
      <w:r>
        <w:rPr>
          <w:b/>
          <w:sz w:val="16"/>
          <w:szCs w:val="16"/>
        </w:rPr>
      </w:r>
    </w:p>
    <w:p>
      <w:pPr>
        <w:ind w:firstLine="0"/>
        <w:jc w:val="center"/>
        <w:widowControl w:val="off"/>
        <w:rPr>
          <w:b/>
          <w:sz w:val="44"/>
          <w:szCs w:val="44"/>
        </w:rPr>
      </w:pPr>
      <w:r>
        <w:rPr>
          <w:b/>
          <w:sz w:val="44"/>
          <w:szCs w:val="44"/>
        </w:rPr>
        <w:t xml:space="preserve">ПОСТАНОВЛЕНИЕ</w:t>
      </w:r>
      <w:r>
        <w:rPr>
          <w:b/>
          <w:sz w:val="44"/>
          <w:szCs w:val="44"/>
        </w:rPr>
      </w:r>
      <w:r>
        <w:rPr>
          <w:b/>
          <w:sz w:val="44"/>
          <w:szCs w:val="44"/>
        </w:rPr>
      </w:r>
    </w:p>
    <w:p>
      <w:pPr>
        <w:ind w:firstLine="0"/>
        <w:jc w:val="center"/>
        <w:widowControl w:val="off"/>
      </w:pPr>
      <w:r/>
      <w:r/>
    </w:p>
    <w:p>
      <w:pPr>
        <w:ind w:firstLine="0"/>
        <w:widowControl w:val="off"/>
        <w:rPr>
          <w:b/>
        </w:rPr>
      </w:pPr>
      <w:r>
        <w:rPr>
          <w:b/>
        </w:rPr>
        <w:t xml:space="preserve">от</w:t>
      </w:r>
      <w:r>
        <w:rPr>
          <w:b/>
        </w:rPr>
        <w:t xml:space="preserve"> 21.08.2025</w:t>
        <w:tab/>
      </w:r>
      <w:r>
        <w:rPr>
          <w:b/>
        </w:rPr>
        <w:tab/>
      </w:r>
      <w:r>
        <w:rPr>
          <w:b/>
        </w:rPr>
        <w:tab/>
      </w:r>
      <w:r>
        <w:rPr>
          <w:b/>
        </w:rPr>
        <w:tab/>
      </w:r>
      <w:r>
        <w:rPr>
          <w:b/>
        </w:rPr>
        <w:tab/>
      </w:r>
      <w:r>
        <w:rPr>
          <w:b/>
        </w:rPr>
        <w:tab/>
      </w:r>
      <w:r>
        <w:rPr>
          <w:b/>
        </w:rPr>
        <w:tab/>
      </w:r>
      <w:r>
        <w:rPr>
          <w:b/>
        </w:rPr>
        <w:tab/>
      </w:r>
      <w:r>
        <w:rPr>
          <w:b/>
        </w:rPr>
        <w:tab/>
        <w:t xml:space="preserve">                              № 1371</w:t>
      </w:r>
      <w:r>
        <w:rPr>
          <w:b/>
        </w:rPr>
      </w:r>
      <w:r>
        <w:rPr>
          <w:b/>
        </w:rPr>
      </w:r>
    </w:p>
    <w:p>
      <w:pPr>
        <w:ind w:firstLine="0"/>
        <w:jc w:val="center"/>
        <w:widowControl w:val="off"/>
        <w:rPr>
          <w:b/>
          <w:sz w:val="28"/>
        </w:rPr>
      </w:pPr>
      <w:r>
        <w:rPr>
          <w:b/>
        </w:rPr>
        <w:t xml:space="preserve">п.г.т. Никель</w:t>
      </w:r>
      <w:r>
        <w:rPr>
          <w:b/>
          <w:sz w:val="28"/>
        </w:rPr>
      </w:r>
      <w:r>
        <w:rPr>
          <w:b/>
          <w:sz w:val="28"/>
        </w:rPr>
      </w:r>
    </w:p>
    <w:p>
      <w:pPr>
        <w:ind w:firstLine="0"/>
        <w:jc w:val="center"/>
        <w:widowControl w:val="off"/>
        <w:rPr>
          <w:b/>
          <w:bCs/>
        </w:rPr>
      </w:pPr>
      <w:r>
        <w:rPr>
          <w:b/>
        </w:rPr>
      </w:r>
      <w:r>
        <w:rPr>
          <w:b/>
        </w:rPr>
      </w:r>
      <w:r>
        <w:rPr>
          <w:b/>
          <w:bCs/>
        </w:rPr>
      </w:r>
    </w:p>
    <w:p>
      <w:pPr>
        <w:ind w:firstLine="0"/>
        <w:jc w:val="center"/>
        <w:widowControl w:val="off"/>
        <w:rPr>
          <w:b/>
          <w:bCs/>
        </w:rPr>
      </w:pPr>
      <w:r>
        <w:rPr>
          <w:b/>
        </w:rPr>
      </w:r>
      <w:r>
        <w:rPr>
          <w:b/>
          <w:bCs/>
        </w:rPr>
      </w:r>
      <w:r>
        <w:rPr>
          <w:b/>
          <w:bCs/>
        </w:rPr>
      </w:r>
    </w:p>
    <w:p>
      <w:pPr>
        <w:jc w:val="center"/>
        <w:rPr>
          <w:b/>
          <w:bCs/>
          <w:iCs/>
          <w:color w:val="ff0000"/>
          <w:sz w:val="20"/>
          <w:szCs w:val="20"/>
        </w:rPr>
        <w:outlineLvl w:val="0"/>
      </w:pPr>
      <w:r>
        <w:rPr>
          <w:b/>
          <w:bCs/>
          <w:iCs/>
          <w:sz w:val="20"/>
          <w:szCs w:val="20"/>
        </w:rPr>
        <w:t xml:space="preserve">Об утверждении </w:t>
      </w:r>
      <w:r>
        <w:rPr>
          <w:b/>
          <w:bCs/>
          <w:iCs/>
          <w:sz w:val="20"/>
          <w:szCs w:val="20"/>
        </w:rPr>
        <w:t xml:space="preserve">Перечня</w:t>
      </w:r>
      <w:r>
        <w:rPr>
          <w:b/>
          <w:bCs/>
          <w:iCs/>
          <w:sz w:val="20"/>
          <w:szCs w:val="20"/>
        </w:rPr>
        <w:t xml:space="preserve"> муниципальных услуг (государственных услуг по переданным полномочиям) </w:t>
      </w:r>
      <w:r>
        <w:rPr>
          <w:b/>
          <w:bCs/>
          <w:iCs/>
          <w:sz w:val="20"/>
          <w:szCs w:val="20"/>
        </w:rPr>
        <w:t xml:space="preserve">предоставляемых администрацией </w:t>
      </w:r>
      <w:r>
        <w:rPr>
          <w:b/>
          <w:bCs/>
          <w:iCs/>
          <w:sz w:val="20"/>
          <w:szCs w:val="20"/>
        </w:rPr>
        <w:t xml:space="preserve">Печенгск</w:t>
      </w:r>
      <w:r>
        <w:rPr>
          <w:b/>
          <w:bCs/>
          <w:iCs/>
          <w:sz w:val="20"/>
          <w:szCs w:val="20"/>
        </w:rPr>
        <w:t xml:space="preserve">ого</w:t>
      </w:r>
      <w:r>
        <w:rPr>
          <w:b/>
          <w:bCs/>
          <w:iCs/>
          <w:sz w:val="20"/>
          <w:szCs w:val="20"/>
        </w:rPr>
        <w:t xml:space="preserve"> </w:t>
      </w:r>
      <w:r>
        <w:rPr>
          <w:b/>
          <w:bCs/>
          <w:iCs/>
          <w:sz w:val="20"/>
          <w:szCs w:val="20"/>
        </w:rPr>
        <w:t xml:space="preserve">муниципальн</w:t>
      </w:r>
      <w:r>
        <w:rPr>
          <w:b/>
          <w:bCs/>
          <w:iCs/>
          <w:sz w:val="20"/>
          <w:szCs w:val="20"/>
        </w:rPr>
        <w:t xml:space="preserve">ого</w:t>
      </w:r>
      <w:r>
        <w:rPr>
          <w:b/>
          <w:bCs/>
          <w:iCs/>
          <w:sz w:val="20"/>
          <w:szCs w:val="20"/>
        </w:rPr>
        <w:t xml:space="preserve"> округ</w:t>
      </w:r>
      <w:r>
        <w:rPr>
          <w:b/>
          <w:bCs/>
          <w:iCs/>
          <w:sz w:val="20"/>
          <w:szCs w:val="20"/>
        </w:rPr>
        <w:t xml:space="preserve">а, а так же подведомственными ей учреждениями</w:t>
      </w:r>
      <w:r>
        <w:rPr>
          <w:b/>
          <w:bCs/>
          <w:iCs/>
          <w:sz w:val="20"/>
          <w:szCs w:val="20"/>
        </w:rPr>
        <w:t xml:space="preserve"> </w:t>
      </w:r>
      <w:r>
        <w:rPr>
          <w:b/>
          <w:bCs/>
          <w:iCs/>
          <w:color w:val="ff0000"/>
          <w:sz w:val="20"/>
          <w:szCs w:val="20"/>
        </w:rPr>
      </w:r>
      <w:r>
        <w:rPr>
          <w:b/>
          <w:bCs/>
          <w:iCs/>
          <w:color w:val="ff0000"/>
          <w:sz w:val="20"/>
          <w:szCs w:val="20"/>
        </w:rPr>
      </w:r>
    </w:p>
    <w:p>
      <w:pPr>
        <w:ind w:firstLine="0"/>
        <w:jc w:val="left"/>
        <w:tabs>
          <w:tab w:val="left" w:pos="3750" w:leader="none"/>
        </w:tabs>
        <w:rPr>
          <w:b/>
          <w:bCs/>
          <w:iCs/>
          <w:sz w:val="20"/>
          <w:szCs w:val="20"/>
        </w:rPr>
      </w:pPr>
      <w:r>
        <w:rPr>
          <w:b/>
          <w:bCs/>
          <w:iCs/>
          <w:sz w:val="20"/>
          <w:szCs w:val="20"/>
        </w:rPr>
      </w:r>
      <w:r>
        <w:rPr>
          <w:b/>
          <w:bCs/>
          <w:iCs/>
          <w:sz w:val="20"/>
          <w:szCs w:val="20"/>
        </w:rPr>
      </w:r>
      <w:r>
        <w:rPr>
          <w:b/>
          <w:bCs/>
          <w:iCs/>
          <w:sz w:val="20"/>
          <w:szCs w:val="20"/>
        </w:rPr>
      </w:r>
    </w:p>
    <w:p>
      <w:pPr>
        <w:ind w:firstLine="708"/>
      </w:pPr>
      <w:r>
        <w:t xml:space="preserve">Во исполнение Федерального закона от 27.07.2010 № 210-ФЗ </w:t>
      </w:r>
      <w:r>
        <w:t xml:space="preserve">«</w:t>
      </w:r>
      <w:r>
        <w:t xml:space="preserve">Об организации предоставления государственных и муниципальных услуг</w:t>
      </w:r>
      <w:r>
        <w:t xml:space="preserve">»</w:t>
      </w:r>
      <w:r>
        <w:t xml:space="preserve">, </w:t>
      </w:r>
      <w:r/>
    </w:p>
    <w:p>
      <w:pPr>
        <w:ind w:firstLine="708"/>
      </w:pPr>
      <w:r/>
      <w:r/>
    </w:p>
    <w:p>
      <w:pPr>
        <w:ind w:firstLine="0"/>
        <w:rPr>
          <w:b/>
        </w:rPr>
      </w:pPr>
      <w:r>
        <w:rPr>
          <w:b/>
        </w:rPr>
        <w:t xml:space="preserve">ПОСТАНОВЛЯЮ:</w:t>
      </w:r>
      <w:r>
        <w:rPr>
          <w:b/>
        </w:rPr>
      </w:r>
      <w:r>
        <w:rPr>
          <w:b/>
        </w:rPr>
      </w:r>
    </w:p>
    <w:p>
      <w:r/>
      <w:r/>
    </w:p>
    <w:p>
      <w:r>
        <w:t xml:space="preserve">1.</w:t>
      </w:r>
      <w:r>
        <w:t xml:space="preserve"> Утвердить </w:t>
      </w:r>
      <w:r>
        <w:rPr>
          <w:bCs/>
          <w:iCs/>
        </w:rPr>
        <w:t xml:space="preserve">Переч</w:t>
      </w:r>
      <w:r>
        <w:rPr>
          <w:bCs/>
          <w:iCs/>
        </w:rPr>
        <w:t xml:space="preserve">е</w:t>
      </w:r>
      <w:r>
        <w:rPr>
          <w:bCs/>
          <w:iCs/>
        </w:rPr>
        <w:t xml:space="preserve">нь муниципальных услуг (государственных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w:t>
      </w:r>
      <w:r>
        <w:t xml:space="preserve"> </w:t>
      </w:r>
      <w:r>
        <w:t xml:space="preserve">согласно приложению.</w:t>
      </w:r>
      <w:r/>
    </w:p>
    <w:p>
      <w:pPr>
        <w:spacing w:line="276" w:lineRule="auto"/>
      </w:pPr>
      <w:r>
        <w:t xml:space="preserve">2. </w:t>
      </w:r>
      <w:r>
        <w:t xml:space="preserve">Отделу информационных технологий МКУ </w:t>
      </w:r>
      <w:r>
        <w:t xml:space="preserve">«</w:t>
      </w:r>
      <w:r>
        <w:t xml:space="preserve">Управление по обеспечению деятельности администрации Печенгск</w:t>
      </w:r>
      <w:r>
        <w:t xml:space="preserve">ого</w:t>
      </w:r>
      <w:r>
        <w:t xml:space="preserve"> </w:t>
      </w:r>
      <w:r>
        <w:t xml:space="preserve">округа</w:t>
      </w:r>
      <w:r>
        <w:t xml:space="preserve">»</w:t>
      </w:r>
      <w:r>
        <w:t xml:space="preserve"> </w:t>
      </w:r>
      <w:r>
        <w:t xml:space="preserve">разместить</w:t>
      </w:r>
      <w:r>
        <w:t xml:space="preserve"> </w:t>
      </w:r>
      <w:r>
        <w:rPr>
          <w:bCs/>
          <w:iCs/>
        </w:rPr>
        <w:t xml:space="preserve">Переч</w:t>
      </w:r>
      <w:r>
        <w:rPr>
          <w:bCs/>
          <w:iCs/>
        </w:rPr>
        <w:t xml:space="preserve">е</w:t>
      </w:r>
      <w:r>
        <w:rPr>
          <w:bCs/>
          <w:iCs/>
        </w:rPr>
        <w:t xml:space="preserve">нь муниципальных услуг (государственных услуг по переданным </w:t>
      </w:r>
      <w:r>
        <w:rPr>
          <w:bCs/>
          <w:iCs/>
        </w:rPr>
        <w:t xml:space="preserve">полномочиям) предоставляемых </w:t>
      </w:r>
      <w:r>
        <w:rPr>
          <w:bCs/>
          <w:iCs/>
        </w:rPr>
        <w:t xml:space="preserve">администрацией Печенгского муниципального округа, а так же подведомственными ей учреждениями</w:t>
      </w:r>
      <w:r>
        <w:t xml:space="preserve"> </w:t>
      </w:r>
      <w:r>
        <w:t xml:space="preserve">на официальном сайте Печенгск</w:t>
      </w:r>
      <w:r>
        <w:t xml:space="preserve">ого</w:t>
      </w:r>
      <w:r>
        <w:t xml:space="preserve"> </w:t>
      </w:r>
      <w:r>
        <w:t xml:space="preserve">мунициипальн</w:t>
      </w:r>
      <w:r>
        <w:t xml:space="preserve">ого</w:t>
      </w:r>
      <w:r>
        <w:rPr>
          <w:rFonts w:eastAsiaTheme="minorHAnsi"/>
        </w:rPr>
        <w:t xml:space="preserve"> </w:t>
      </w:r>
      <w:r>
        <w:rPr>
          <w:rFonts w:eastAsiaTheme="minorHAnsi"/>
        </w:rPr>
        <w:t xml:space="preserve">округа </w:t>
      </w:r>
      <w:hyperlink r:id="rId11" w:tooltip="https://pechengamr.gov-murman.ru/" w:history="1">
        <w:r>
          <w:rPr>
            <w:rStyle w:val="908"/>
            <w:rFonts w:eastAsiaTheme="minorHAnsi"/>
          </w:rPr>
          <w:t xml:space="preserve">https://pechengamr.gov-murman.ru/</w:t>
        </w:r>
      </w:hyperlink>
      <w:r>
        <w:rPr>
          <w:rFonts w:eastAsiaTheme="minorHAnsi"/>
        </w:rPr>
        <w:t xml:space="preserve">.</w:t>
      </w:r>
      <w:r/>
    </w:p>
    <w:p>
      <w:pPr>
        <w:rPr>
          <w:bCs/>
          <w:iCs/>
        </w:rPr>
        <w:outlineLvl w:val="0"/>
      </w:pPr>
      <w:r>
        <w:rPr>
          <w:bCs/>
          <w:iCs/>
        </w:rPr>
        <w:t xml:space="preserve">3. </w:t>
      </w:r>
      <w:r>
        <w:rPr>
          <w:bCs/>
          <w:iCs/>
        </w:rPr>
        <w:t xml:space="preserve">Признать утратившими силу следующ</w:t>
      </w:r>
      <w:r>
        <w:rPr>
          <w:bCs/>
          <w:iCs/>
        </w:rPr>
        <w:t xml:space="preserve">ие постановления администрации Пе</w:t>
      </w:r>
      <w:r>
        <w:rPr>
          <w:bCs/>
          <w:iCs/>
        </w:rPr>
        <w:t xml:space="preserve">ченгского муниципального округа:</w:t>
      </w:r>
      <w:r>
        <w:rPr>
          <w:bCs/>
          <w:iCs/>
        </w:rPr>
      </w:r>
      <w:r>
        <w:rPr>
          <w:bCs/>
          <w:iCs/>
        </w:rPr>
      </w:r>
    </w:p>
    <w:p>
      <w:pPr>
        <w:rPr>
          <w:bCs/>
          <w:iCs/>
        </w:rPr>
        <w:outlineLvl w:val="0"/>
      </w:pPr>
      <w:r>
        <w:rPr>
          <w:bCs/>
          <w:iCs/>
        </w:rPr>
        <w:t xml:space="preserve">- от 28.12.2023 № 2033 «Об утверждении Перечня муниципальных услуг (государственных услуг по переданным полномочиям) предоставляемых администрацией Печенгского муниципального округа, а также подведомственными ей учреждениями»;</w:t>
      </w:r>
      <w:r>
        <w:rPr>
          <w:bCs/>
          <w:iCs/>
        </w:rPr>
      </w:r>
      <w:r>
        <w:rPr>
          <w:bCs/>
          <w:iCs/>
        </w:rPr>
      </w:r>
    </w:p>
    <w:p>
      <w:pPr>
        <w:outlineLvl w:val="0"/>
      </w:pPr>
      <w:r>
        <w:t xml:space="preserve">- от 25.07.2024 № 1197 «О внесении изменений в Перечень муниципальных услуг (го</w:t>
      </w:r>
      <w:r>
        <w:t xml:space="preserve">с</w:t>
      </w:r>
      <w:r>
        <w:t xml:space="preserve">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 утвержденный постановлением администрации Печенгского муниципального округа </w:t>
        <w:br/>
        <w:t xml:space="preserve">от 28.12.2023 № 2033»;</w:t>
      </w:r>
      <w:r/>
    </w:p>
    <w:p>
      <w:pPr>
        <w:rPr>
          <w:bCs/>
          <w:iCs/>
        </w:rPr>
        <w:outlineLvl w:val="0"/>
      </w:pPr>
      <w:r>
        <w:t xml:space="preserve">- от 01.10.2024 № 1509 «</w:t>
      </w:r>
      <w:r>
        <w:t xml:space="preserve">О внесении изменений в Перечень муниципальных услуг (г</w:t>
      </w:r>
      <w:r>
        <w:t xml:space="preserve">о</w:t>
      </w:r>
      <w:r>
        <w:t xml:space="preserve">сударственных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 утвержденный постановлением администрации Печенгского муниципального округа </w:t>
        <w:br/>
        <w:t xml:space="preserve">от 28.12.2023 № 2033»</w:t>
      </w:r>
      <w:r>
        <w:t xml:space="preserve">.</w:t>
      </w:r>
      <w:r>
        <w:rPr>
          <w:bCs/>
          <w:iCs/>
        </w:rPr>
      </w:r>
      <w:r>
        <w:rPr>
          <w:bCs/>
          <w:iCs/>
        </w:rPr>
      </w:r>
    </w:p>
    <w:p>
      <w:pPr>
        <w:rPr>
          <w:bCs/>
          <w:iCs/>
        </w:rPr>
        <w:outlineLvl w:val="0"/>
      </w:pPr>
      <w:r>
        <w:rPr>
          <w:bCs/>
          <w:iCs/>
        </w:rPr>
        <w:t xml:space="preserve">4. </w:t>
      </w:r>
      <w:r>
        <w:t xml:space="preserve">Настоящее постановление вступает в силу со дня подписания.</w:t>
      </w:r>
      <w:r>
        <w:t xml:space="preserve"> </w:t>
      </w:r>
      <w:r>
        <w:rPr>
          <w:bCs/>
          <w:iCs/>
        </w:rPr>
      </w:r>
      <w:r>
        <w:rPr>
          <w:bCs/>
          <w:iCs/>
        </w:rPr>
      </w:r>
    </w:p>
    <w:p>
      <w:r>
        <w:rPr>
          <w:szCs w:val="16"/>
        </w:rPr>
      </w:r>
      <w:r>
        <w:rPr>
          <w:szCs w:val="16"/>
        </w:rPr>
      </w:r>
      <w:r/>
    </w:p>
    <w:p>
      <w:r>
        <w:rPr>
          <w:szCs w:val="16"/>
        </w:rPr>
      </w:r>
      <w:r/>
    </w:p>
    <w:p>
      <w:pPr>
        <w:ind w:firstLine="0"/>
      </w:pPr>
      <w:r>
        <w:t xml:space="preserve">Г</w:t>
      </w:r>
      <w:r>
        <w:t xml:space="preserve">лав</w:t>
      </w:r>
      <w:r>
        <w:t xml:space="preserve">а</w:t>
      </w:r>
      <w:r>
        <w:t xml:space="preserve"> Печенгского муниципального округа </w:t>
      </w:r>
      <w:r>
        <w:tab/>
      </w:r>
      <w:r>
        <w:tab/>
      </w:r>
      <w:r>
        <w:tab/>
        <w:t xml:space="preserve">     </w:t>
      </w:r>
      <w:r>
        <w:t xml:space="preserve">             </w:t>
      </w:r>
      <w:r>
        <w:t xml:space="preserve">                А.В. </w:t>
      </w:r>
      <w:r>
        <w:t xml:space="preserve">Кузнецов</w:t>
      </w:r>
      <w:r/>
    </w:p>
    <w:p>
      <w:pPr>
        <w:ind w:left="0" w:firstLine="0"/>
        <w:rPr>
          <w:rFonts w:ascii="Times New Roman" w:hAnsi="Times New Roman" w:cs="Times New Roman"/>
          <w:sz w:val="20"/>
          <w:szCs w:val="20"/>
        </w:rPr>
      </w:pP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r>
        <w:rPr>
          <w:rFonts w:ascii="Times New Roman" w:hAnsi="Times New Roman" w:cs="Times New Roman"/>
          <w:sz w:val="20"/>
          <w:szCs w:val="20"/>
        </w:rPr>
      </w:r>
    </w:p>
    <w:p>
      <w:pPr>
        <w:ind w:left="0" w:firstLine="0"/>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p>
    <w:p>
      <w:pPr>
        <w:ind w:left="0" w:firstLine="0"/>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p>
    <w:p>
      <w:pPr>
        <w:ind w:left="0" w:firstLine="0"/>
        <w:rPr>
          <w:rFonts w:ascii="Times New Roman" w:hAnsi="Times New Roman" w:eastAsia="Times New Roman" w:cs="Times New Roman"/>
          <w:sz w:val="20"/>
          <w:szCs w:val="20"/>
          <w:highlight w:val="none"/>
        </w:rPr>
        <w:sectPr>
          <w:footnotePr/>
          <w:endnotePr/>
          <w:type w:val="nextPage"/>
          <w:pgSz w:w="11906" w:h="16838" w:orient="portrait"/>
          <w:pgMar w:top="284" w:right="850" w:bottom="255" w:left="1701" w:header="709" w:footer="709" w:gutter="0"/>
          <w:cols w:num="1" w:sep="0" w:space="708" w:equalWidth="1"/>
          <w:docGrid w:linePitch="360"/>
        </w:sectPr>
      </w:pPr>
      <w:r>
        <w:rPr>
          <w:rFonts w:ascii="Times New Roman" w:hAnsi="Times New Roman" w:eastAsia="Times New Roman" w:cs="Times New Roman"/>
          <w:sz w:val="20"/>
          <w:szCs w:val="20"/>
        </w:rPr>
        <w:t xml:space="preserve">Сосина Т.М.,</w:t>
      </w:r>
      <w:bookmarkStart w:id="0" w:name="_GoBack"/>
      <w:r>
        <w:rPr>
          <w:rFonts w:ascii="Times New Roman" w:hAnsi="Times New Roman" w:eastAsia="Times New Roman" w:cs="Times New Roman"/>
          <w:sz w:val="20"/>
          <w:szCs w:val="20"/>
        </w:rPr>
      </w:r>
      <w:bookmarkEnd w:id="0"/>
      <w:r>
        <w:rPr>
          <w:rFonts w:ascii="Times New Roman" w:hAnsi="Times New Roman" w:eastAsia="Times New Roman" w:cs="Times New Roman"/>
          <w:sz w:val="20"/>
          <w:szCs w:val="20"/>
        </w:rPr>
        <w:t xml:space="preserve"> (881554) 50305</w:t>
      </w:r>
      <w:r>
        <w:rPr>
          <w:rFonts w:ascii="Times New Roman" w:hAnsi="Times New Roman" w:eastAsia="Times New Roman" w:cs="Times New Roman"/>
          <w:sz w:val="20"/>
          <w:szCs w:val="20"/>
          <w:highlight w:val="none"/>
        </w:rPr>
      </w:r>
      <w:r>
        <w:rPr>
          <w:rFonts w:ascii="Times New Roman" w:hAnsi="Times New Roman" w:eastAsia="Times New Roman" w:cs="Times New Roman"/>
          <w:sz w:val="20"/>
          <w:szCs w:val="20"/>
          <w:highlight w:val="none"/>
        </w:rPr>
      </w:r>
    </w:p>
    <w:p>
      <w:pPr>
        <w:ind w:left="5529" w:firstLine="0"/>
        <w:rPr>
          <w:highlight w:val="none"/>
          <w:lang w:eastAsia="ru-RU"/>
        </w:rPr>
      </w:pPr>
      <w:r>
        <w:rPr>
          <w:lang w:eastAsia="ru-RU"/>
        </w:rPr>
        <w:t xml:space="preserve">Приложение </w:t>
      </w:r>
      <w:r>
        <w:rPr>
          <w:highlight w:val="none"/>
          <w:lang w:eastAsia="ru-RU"/>
        </w:rPr>
      </w:r>
      <w:r>
        <w:rPr>
          <w:highlight w:val="none"/>
          <w:lang w:eastAsia="ru-RU"/>
        </w:rPr>
      </w:r>
    </w:p>
    <w:p>
      <w:pPr>
        <w:ind w:left="5529" w:firstLine="0"/>
        <w:rPr>
          <w:lang w:eastAsia="ru-RU"/>
        </w:rPr>
      </w:pPr>
      <w:r>
        <w:rPr>
          <w:lang w:eastAsia="ru-RU"/>
        </w:rPr>
        <w:t xml:space="preserve">к постановлению администрации Печенгского муниципального округа</w:t>
      </w:r>
      <w:r>
        <w:rPr>
          <w:lang w:eastAsia="ru-RU"/>
        </w:rPr>
      </w:r>
      <w:r>
        <w:rPr>
          <w:lang w:eastAsia="ru-RU"/>
        </w:rPr>
      </w:r>
    </w:p>
    <w:p>
      <w:pPr>
        <w:ind w:left="5529" w:firstLine="0"/>
        <w:rPr>
          <w:lang w:eastAsia="ru-RU"/>
        </w:rPr>
      </w:pPr>
      <w:r>
        <w:rPr>
          <w:lang w:eastAsia="ru-RU"/>
        </w:rPr>
        <w:t xml:space="preserve">от </w:t>
      </w:r>
      <w:r>
        <w:rPr>
          <w:lang w:eastAsia="ru-RU"/>
        </w:rPr>
        <w:t xml:space="preserve">21.08.2025 № 1371</w:t>
      </w:r>
      <w:r>
        <w:rPr>
          <w:lang w:eastAsia="ru-RU"/>
        </w:rPr>
      </w:r>
      <w:r>
        <w:rPr>
          <w:lang w:eastAsia="ru-RU"/>
        </w:rPr>
      </w:r>
    </w:p>
    <w:p>
      <w:pPr>
        <w:jc w:val="center"/>
        <w:rPr>
          <w:b/>
          <w:bCs/>
        </w:rPr>
        <w:outlineLvl w:val="0"/>
      </w:pPr>
      <w:r>
        <w:rPr>
          <w:b/>
          <w:bCs/>
          <w:iCs/>
          <w:szCs w:val="20"/>
        </w:rPr>
      </w:r>
      <w:r>
        <w:rPr>
          <w:b/>
          <w:bCs/>
          <w:iCs/>
          <w:szCs w:val="20"/>
        </w:rPr>
      </w:r>
      <w:r>
        <w:rPr>
          <w:b/>
          <w:bCs/>
        </w:rPr>
      </w:r>
    </w:p>
    <w:p>
      <w:pPr>
        <w:jc w:val="center"/>
        <w:rPr>
          <w:b/>
          <w:bCs/>
          <w:iCs/>
        </w:rPr>
        <w:outlineLvl w:val="0"/>
      </w:pPr>
      <w:r>
        <w:rPr>
          <w:b/>
          <w:bCs/>
          <w:iCs/>
          <w:szCs w:val="20"/>
        </w:rPr>
      </w:r>
      <w:r>
        <w:rPr>
          <w:b/>
          <w:bCs/>
          <w:iCs/>
        </w:rPr>
      </w:r>
      <w:r>
        <w:rPr>
          <w:b/>
          <w:bCs/>
          <w:iCs/>
        </w:rPr>
      </w:r>
    </w:p>
    <w:p>
      <w:pPr>
        <w:jc w:val="center"/>
        <w:rPr>
          <w:b/>
          <w:bCs/>
          <w:iCs/>
          <w:szCs w:val="20"/>
        </w:rPr>
        <w:outlineLvl w:val="0"/>
      </w:pPr>
      <w:r>
        <w:rPr>
          <w:b/>
          <w:bCs/>
          <w:iCs/>
          <w:szCs w:val="20"/>
        </w:rPr>
        <w:t xml:space="preserve">Об утверждении Перечня муниципальных услуг (государственных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w:t>
      </w:r>
      <w:r>
        <w:rPr>
          <w:b/>
          <w:bCs/>
          <w:iCs/>
          <w:szCs w:val="20"/>
        </w:rPr>
      </w:r>
      <w:r>
        <w:rPr>
          <w:b/>
          <w:bCs/>
          <w:iCs/>
          <w:szCs w:val="20"/>
        </w:rPr>
      </w:r>
    </w:p>
    <w:p>
      <w:pPr>
        <w:ind w:firstLine="6237"/>
        <w:widowControl w:val="off"/>
        <w:outlineLvl w:val="1"/>
      </w:pPr>
      <w:r/>
      <w:r/>
    </w:p>
    <w:tbl>
      <w:tblPr>
        <w:tblW w:w="5307" w:type="pct"/>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1"/>
        <w:gridCol w:w="5669"/>
        <w:gridCol w:w="1701"/>
        <w:gridCol w:w="1959"/>
      </w:tblGrid>
      <w:tr>
        <w:tblPrEx/>
        <w:trPr/>
        <w:tc>
          <w:tcPr>
            <w:shd w:val="clear" w:color="auto" w:fill="auto"/>
            <w:tcW w:w="601" w:type="dxa"/>
            <w:vAlign w:val="center"/>
            <w:textDirection w:val="lrTb"/>
            <w:noWrap w:val="false"/>
          </w:tcPr>
          <w:p>
            <w:pPr>
              <w:pStyle w:val="927"/>
              <w:contextualSpacing w:val="0"/>
              <w:ind w:left="0"/>
              <w:jc w:val="center"/>
              <w:widowControl w:val="off"/>
              <w:rPr>
                <w:b/>
                <w:sz w:val="20"/>
                <w:szCs w:val="20"/>
              </w:rPr>
            </w:pPr>
            <w:r>
              <w:rPr>
                <w:b/>
              </w:rPr>
              <w:t xml:space="preserve"> </w:t>
            </w:r>
            <w:r>
              <w:rPr>
                <w:b/>
                <w:sz w:val="20"/>
                <w:szCs w:val="20"/>
              </w:rPr>
              <w:t xml:space="preserve">п/п</w:t>
            </w:r>
            <w:r>
              <w:rPr>
                <w:b/>
                <w:sz w:val="20"/>
                <w:szCs w:val="20"/>
              </w:rPr>
            </w:r>
            <w:r>
              <w:rPr>
                <w:b/>
                <w:sz w:val="20"/>
                <w:szCs w:val="20"/>
              </w:rPr>
            </w:r>
          </w:p>
        </w:tc>
        <w:tc>
          <w:tcPr>
            <w:shd w:val="clear" w:color="auto" w:fill="auto"/>
            <w:tcW w:w="5669" w:type="dxa"/>
            <w:vAlign w:val="center"/>
            <w:textDirection w:val="lrTb"/>
            <w:noWrap w:val="false"/>
          </w:tcPr>
          <w:p>
            <w:pPr>
              <w:jc w:val="center"/>
              <w:rPr>
                <w:b/>
                <w:bCs/>
                <w:iCs/>
                <w:sz w:val="20"/>
                <w:szCs w:val="20"/>
              </w:rPr>
              <w:outlineLvl w:val="0"/>
            </w:pPr>
            <w:r>
              <w:rPr>
                <w:b/>
                <w:bCs/>
                <w:iCs/>
                <w:sz w:val="20"/>
                <w:szCs w:val="20"/>
              </w:rPr>
              <w:t xml:space="preserve">Муниципальная (</w:t>
            </w:r>
            <w:r>
              <w:rPr>
                <w:b/>
                <w:bCs/>
                <w:iCs/>
                <w:sz w:val="20"/>
                <w:szCs w:val="20"/>
              </w:rPr>
              <w:t xml:space="preserve">государственн</w:t>
            </w:r>
            <w:r>
              <w:rPr>
                <w:b/>
                <w:bCs/>
                <w:iCs/>
                <w:sz w:val="20"/>
                <w:szCs w:val="20"/>
              </w:rPr>
              <w:t xml:space="preserve">ая</w:t>
            </w:r>
            <w:r>
              <w:rPr>
                <w:b/>
                <w:bCs/>
                <w:iCs/>
                <w:sz w:val="20"/>
                <w:szCs w:val="20"/>
              </w:rPr>
              <w:t xml:space="preserve"> услуг по переданным полномочиям) </w:t>
            </w:r>
            <w:r>
              <w:rPr>
                <w:b/>
                <w:bCs/>
                <w:iCs/>
                <w:sz w:val="20"/>
                <w:szCs w:val="20"/>
              </w:rPr>
              <w:t xml:space="preserve">предоставляемая </w:t>
            </w:r>
            <w:r>
              <w:rPr>
                <w:b/>
                <w:bCs/>
                <w:iCs/>
                <w:sz w:val="20"/>
                <w:szCs w:val="20"/>
              </w:rPr>
              <w:t xml:space="preserve">администрацией </w:t>
            </w:r>
            <w:r>
              <w:rPr>
                <w:b/>
                <w:bCs/>
                <w:iCs/>
                <w:sz w:val="20"/>
                <w:szCs w:val="20"/>
              </w:rPr>
              <w:t xml:space="preserve">Печенгск</w:t>
            </w:r>
            <w:r>
              <w:rPr>
                <w:b/>
                <w:bCs/>
                <w:iCs/>
                <w:sz w:val="20"/>
                <w:szCs w:val="20"/>
              </w:rPr>
              <w:t xml:space="preserve">ого</w:t>
            </w:r>
            <w:r>
              <w:rPr>
                <w:b/>
                <w:bCs/>
                <w:iCs/>
                <w:sz w:val="20"/>
                <w:szCs w:val="20"/>
              </w:rPr>
              <w:t xml:space="preserve"> </w:t>
            </w:r>
            <w:r>
              <w:rPr>
                <w:b/>
                <w:bCs/>
                <w:iCs/>
                <w:sz w:val="20"/>
                <w:szCs w:val="20"/>
              </w:rPr>
              <w:t xml:space="preserve">муниципального округа, а так же подведомственными ей учреждениями</w:t>
            </w:r>
            <w:r>
              <w:rPr>
                <w:b/>
                <w:bCs/>
                <w:iCs/>
                <w:sz w:val="20"/>
                <w:szCs w:val="20"/>
              </w:rPr>
            </w:r>
            <w:r>
              <w:rPr>
                <w:b/>
                <w:bCs/>
                <w:iCs/>
                <w:sz w:val="20"/>
                <w:szCs w:val="20"/>
              </w:rPr>
            </w:r>
          </w:p>
          <w:p>
            <w:pPr>
              <w:jc w:val="center"/>
              <w:widowControl w:val="off"/>
              <w:rPr>
                <w:b/>
                <w:sz w:val="20"/>
                <w:szCs w:val="20"/>
              </w:rPr>
            </w:pPr>
            <w:r>
              <w:rPr>
                <w:b/>
                <w:sz w:val="20"/>
                <w:szCs w:val="20"/>
              </w:rPr>
            </w:r>
            <w:r>
              <w:rPr>
                <w:b/>
                <w:sz w:val="20"/>
                <w:szCs w:val="20"/>
              </w:rPr>
            </w:r>
            <w:r>
              <w:rPr>
                <w:b/>
                <w:sz w:val="20"/>
                <w:szCs w:val="20"/>
              </w:rPr>
            </w:r>
          </w:p>
        </w:tc>
        <w:tc>
          <w:tcPr>
            <w:tcW w:w="1701" w:type="dxa"/>
            <w:vAlign w:val="center"/>
            <w:textDirection w:val="lrTb"/>
            <w:noWrap w:val="false"/>
          </w:tcPr>
          <w:p>
            <w:pPr>
              <w:ind w:left="-109" w:right="-108" w:firstLine="0"/>
              <w:jc w:val="center"/>
              <w:widowControl w:val="off"/>
              <w:rPr>
                <w:b/>
                <w:sz w:val="20"/>
                <w:szCs w:val="20"/>
              </w:rPr>
            </w:pPr>
            <w:r>
              <w:rPr>
                <w:b/>
                <w:sz w:val="20"/>
                <w:szCs w:val="20"/>
              </w:rPr>
              <w:t xml:space="preserve">Структурное подразделение, </w:t>
            </w:r>
            <w:r>
              <w:rPr>
                <w:b/>
                <w:sz w:val="20"/>
                <w:szCs w:val="20"/>
              </w:rPr>
              <w:t xml:space="preserve">ответственное за </w:t>
            </w:r>
            <w:r>
              <w:rPr>
                <w:b/>
                <w:sz w:val="20"/>
                <w:szCs w:val="20"/>
              </w:rPr>
              <w:t xml:space="preserve">предоставл</w:t>
            </w:r>
            <w:r>
              <w:rPr>
                <w:b/>
                <w:sz w:val="20"/>
                <w:szCs w:val="20"/>
              </w:rPr>
              <w:t xml:space="preserve">ение</w:t>
            </w:r>
            <w:r>
              <w:rPr>
                <w:b/>
                <w:sz w:val="20"/>
                <w:szCs w:val="20"/>
              </w:rPr>
              <w:t xml:space="preserve"> муниципальн</w:t>
            </w:r>
            <w:r>
              <w:rPr>
                <w:b/>
                <w:sz w:val="20"/>
                <w:szCs w:val="20"/>
              </w:rPr>
              <w:t xml:space="preserve">ой</w:t>
            </w:r>
            <w:r>
              <w:rPr>
                <w:b/>
                <w:sz w:val="20"/>
                <w:szCs w:val="20"/>
              </w:rPr>
              <w:t xml:space="preserve"> (государственн</w:t>
            </w:r>
            <w:r>
              <w:rPr>
                <w:b/>
                <w:sz w:val="20"/>
                <w:szCs w:val="20"/>
              </w:rPr>
              <w:t xml:space="preserve">ой</w:t>
            </w:r>
            <w:r>
              <w:rPr>
                <w:b/>
                <w:sz w:val="20"/>
                <w:szCs w:val="20"/>
              </w:rPr>
              <w:t xml:space="preserve">) услуг</w:t>
            </w:r>
            <w:r>
              <w:rPr>
                <w:b/>
                <w:sz w:val="20"/>
                <w:szCs w:val="20"/>
              </w:rPr>
              <w:t xml:space="preserve">и</w:t>
            </w:r>
            <w:r>
              <w:rPr>
                <w:b/>
                <w:sz w:val="20"/>
                <w:szCs w:val="20"/>
              </w:rPr>
            </w:r>
            <w:r>
              <w:rPr>
                <w:b/>
                <w:sz w:val="20"/>
                <w:szCs w:val="20"/>
              </w:rPr>
            </w:r>
          </w:p>
        </w:tc>
        <w:tc>
          <w:tcPr>
            <w:tcW w:w="1959" w:type="dxa"/>
            <w:vAlign w:val="center"/>
            <w:textDirection w:val="lrTb"/>
            <w:noWrap w:val="false"/>
          </w:tcPr>
          <w:p>
            <w:pPr>
              <w:ind w:firstLine="35"/>
              <w:jc w:val="center"/>
              <w:widowControl w:val="off"/>
              <w:rPr>
                <w:b/>
                <w:sz w:val="20"/>
                <w:szCs w:val="20"/>
              </w:rPr>
            </w:pPr>
            <w:r>
              <w:rPr>
                <w:b/>
                <w:sz w:val="20"/>
                <w:szCs w:val="20"/>
              </w:rPr>
              <w:t xml:space="preserve">Иные сведения</w:t>
            </w:r>
            <w:r>
              <w:rPr>
                <w:b/>
                <w:sz w:val="20"/>
                <w:szCs w:val="20"/>
              </w:rPr>
            </w:r>
            <w:r>
              <w:rPr>
                <w:b/>
                <w:sz w:val="20"/>
                <w:szCs w:val="20"/>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«Предоставление информации о текущей успеваемости ученика, ведение электронного журнала и электронного дневника» </w:t>
            </w:r>
            <w:r/>
          </w:p>
        </w:tc>
        <w:tc>
          <w:tcPr>
            <w:tcW w:w="1701" w:type="dxa"/>
            <w:textDirection w:val="lrTb"/>
            <w:noWrap w:val="false"/>
          </w:tcPr>
          <w:p>
            <w:pPr>
              <w:ind w:firstLine="0"/>
              <w:widowControl w:val="off"/>
            </w:pPr>
            <w:r>
              <w:t xml:space="preserve">Отдел </w:t>
            </w:r>
            <w:r>
              <w:t xml:space="preserve">образования </w:t>
            </w:r>
            <w:r/>
          </w:p>
        </w:tc>
        <w:tc>
          <w:tcPr>
            <w:tcW w:w="1959" w:type="dxa"/>
            <w:textDirection w:val="lrTb"/>
            <w:noWrap w:val="false"/>
          </w:tcPr>
          <w:p>
            <w:pPr>
              <w:ind w:right="-88" w:hanging="18"/>
              <w:widowControl w:val="off"/>
            </w:pPr>
            <w:r>
              <w:t xml:space="preserve">Услуга предоставляется</w:t>
            </w:r>
            <w:r>
              <w:t xml:space="preserve"> </w:t>
            </w:r>
            <w:r>
              <w:t xml:space="preserve">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«Предоставление информации о результатах сданных экзаменов, а также о зачислении в образовательное учреждение»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 «Предоставление информации о</w:t>
            </w:r>
            <w:r>
              <w:t xml:space="preserve">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учреждениях, расположенных на территории Печенгского муниципального округа» </w:t>
            </w:r>
            <w:r/>
          </w:p>
          <w:p>
            <w:pPr>
              <w:ind w:firstLine="0"/>
              <w:widowControl w:val="off"/>
            </w:pPr>
            <w:r/>
            <w:r/>
          </w:p>
        </w:tc>
        <w:tc>
          <w:tcPr>
            <w:tcW w:w="1701" w:type="dxa"/>
            <w:textDirection w:val="lrTb"/>
            <w:noWrap w:val="false"/>
          </w:tcPr>
          <w:p>
            <w:pPr>
              <w:ind w:firstLine="0"/>
              <w:widowControl w:val="off"/>
            </w:pPr>
            <w:r>
              <w:t xml:space="preserve">Отдел </w:t>
            </w:r>
            <w:r>
              <w:t xml:space="preserve">образования </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«Прием заявлений о зачислении в муниципальные образовательные организации Печенгского муниципального округа, реализующие программы общего образования»</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«Запись на обучение по дополнительным общеобразовательным программам на территории Печенгского муниципального округа»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«Постановка на учет </w:t>
            </w:r>
            <w:r>
              <w:t xml:space="preserve">и </w:t>
            </w:r>
            <w:r>
              <w:t xml:space="preserve">направление детей в образовательные учреждения, реализующие образовательные программы дошкольного образования на территории Печенгского муниципального округа»</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«Назначение ежемесячной выплаты на содержание ребенка в семье опекуна (попечителя) и приемной семье на территории Печенгского муниципального округа»</w:t>
            </w:r>
            <w:r/>
          </w:p>
        </w:tc>
        <w:tc>
          <w:tcPr>
            <w:tcW w:w="1701" w:type="dxa"/>
            <w:textDirection w:val="lrTb"/>
            <w:noWrap w:val="false"/>
          </w:tcPr>
          <w:p>
            <w:pPr>
              <w:ind w:firstLine="0"/>
              <w:widowControl w:val="off"/>
            </w:pPr>
            <w:r>
              <w:t xml:space="preserve">Отдел </w:t>
            </w:r>
            <w:r>
              <w:t xml:space="preserve">образования </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rHeight w:val="1628"/>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w:t>
            </w:r>
            <w:r>
              <w:t xml:space="preserve">Установление опеки, попечительства (в том числе предварительные опека и попечительство), патроната, освобождение опекуна (попечителя) от исполнения им своих обязанностей на территории Печенгского муниципального округа</w:t>
            </w:r>
            <w:r>
              <w:t xml:space="preserve">» </w:t>
            </w:r>
            <w:r/>
          </w:p>
          <w:p>
            <w:pPr>
              <w:ind w:firstLine="0"/>
              <w:widowControl w:val="off"/>
            </w:pPr>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p>
            <w:pPr>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«Выдача разрешения родителям (иным законным представителям) на совершение сделок с имуществом несовершеннолетних на территории Печенгского муниципального округа»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«Выдача разрешения на перемену фамилии, имени ребенка на территории Печенгского муниципального округа»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hanging="66"/>
            </w:pPr>
            <w:r>
              <w:t xml:space="preserve">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r/>
          </w:p>
        </w:tc>
        <w:tc>
          <w:tcPr>
            <w:tcW w:w="1701" w:type="dxa"/>
            <w:textDirection w:val="lrTb"/>
            <w:noWrap w:val="false"/>
          </w:tcPr>
          <w:p>
            <w:pPr>
              <w:ind w:left="-44" w:hanging="22"/>
              <w:widowControl w:val="off"/>
            </w:pPr>
            <w:r>
              <w:t xml:space="preserve">Отдел образования</w:t>
            </w:r>
            <w:r/>
          </w:p>
        </w:tc>
        <w:tc>
          <w:tcPr>
            <w:tcW w:w="1959" w:type="dxa"/>
            <w:textDirection w:val="lrTb"/>
            <w:noWrap w:val="false"/>
          </w:tcPr>
          <w:p>
            <w:pPr>
              <w:ind w:hanging="66"/>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left="-85" w:firstLine="61"/>
            </w:pPr>
            <w:r>
              <w:rPr>
                <w:bCs/>
              </w:rPr>
              <w:t xml:space="preserve">Сокращение срока действия договора найма специализированного жилого помещения</w:t>
            </w:r>
            <w:r/>
          </w:p>
        </w:tc>
        <w:tc>
          <w:tcPr>
            <w:tcW w:w="1701" w:type="dxa"/>
            <w:textDirection w:val="lrTb"/>
            <w:noWrap w:val="false"/>
          </w:tcPr>
          <w:p>
            <w:pPr>
              <w:ind w:firstLine="80"/>
              <w:widowControl w:val="off"/>
            </w:pPr>
            <w:r>
              <w:t xml:space="preserve">Отдел образования</w:t>
            </w:r>
            <w:r/>
          </w:p>
        </w:tc>
        <w:tc>
          <w:tcPr>
            <w:tcW w:w="1959" w:type="dxa"/>
            <w:textDirection w:val="lrTb"/>
            <w:noWrap w:val="false"/>
          </w:tcPr>
          <w:p>
            <w:pPr>
              <w:ind w:left="-47" w:firstLine="8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w:t>
            </w:r>
            <w:r>
              <w:t xml:space="preserve">ние </w:t>
            </w:r>
            <w:r>
              <w:t xml:space="preserve">дополнительных гарантий по оплате жилого помещения и коммунальных услуг детям - сиротам и детям, оставшимся без попечения родителей, лицам из числа детей - сирот и детей, оставшихся без попечения родителей на территории Печенгского муниципального округа»  </w:t>
            </w:r>
            <w:r/>
          </w:p>
          <w:p>
            <w:pPr>
              <w:ind w:firstLine="0"/>
              <w:widowControl w:val="off"/>
            </w:pPr>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rHeight w:val="940"/>
        </w:trPr>
        <w:tc>
          <w:tcPr>
            <w:shd w:val="clear" w:color="auto" w:fill="auto"/>
            <w:tcW w:w="601" w:type="dxa"/>
            <w:vMerge w:val="restart"/>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vMerge w:val="restart"/>
            <w:textDirection w:val="lrTb"/>
            <w:noWrap w:val="false"/>
          </w:tcPr>
          <w:p>
            <w:pPr>
              <w:ind w:firstLine="0"/>
              <w:widowControl w:val="off"/>
            </w:pPr>
            <w: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Печенгского муниципального округа»</w:t>
            </w:r>
            <w:r/>
          </w:p>
        </w:tc>
        <w:tc>
          <w:tcPr>
            <w:tcW w:w="1701" w:type="dxa"/>
            <w:textDirection w:val="lrTb"/>
            <w:noWrap w:val="false"/>
          </w:tcPr>
          <w:p>
            <w:pPr>
              <w:ind w:firstLine="0"/>
              <w:widowControl w:val="off"/>
            </w:pPr>
            <w:r>
              <w:t xml:space="preserve">МБУ ЦБ </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rHeight w:val="683"/>
        </w:trPr>
        <w:tc>
          <w:tcPr>
            <w:shd w:val="clear" w:color="auto" w:fill="auto"/>
            <w:tcW w:w="601" w:type="dxa"/>
            <w:vMerge w:val="continue"/>
            <w:textDirection w:val="lrTb"/>
            <w:noWrap w:val="false"/>
          </w:tcPr>
          <w:p>
            <w:pPr>
              <w:pStyle w:val="927"/>
              <w:numPr>
                <w:ilvl w:val="0"/>
                <w:numId w:val="37"/>
              </w:numPr>
              <w:contextualSpacing w:val="0"/>
              <w:ind w:left="0" w:firstLine="0"/>
              <w:jc w:val="center"/>
              <w:widowControl w:val="off"/>
              <w:rPr>
                <w:sz w:val="20"/>
                <w:szCs w:val="20"/>
              </w:rPr>
            </w:pPr>
            <w:r>
              <w:rPr>
                <w:sz w:val="20"/>
                <w:szCs w:val="20"/>
              </w:rPr>
            </w:r>
            <w:r>
              <w:rPr>
                <w:sz w:val="20"/>
                <w:szCs w:val="20"/>
              </w:rPr>
            </w:r>
            <w:r>
              <w:rPr>
                <w:sz w:val="20"/>
                <w:szCs w:val="20"/>
              </w:rPr>
            </w:r>
          </w:p>
        </w:tc>
        <w:tc>
          <w:tcPr>
            <w:shd w:val="clear" w:color="auto" w:fill="auto"/>
            <w:tcW w:w="5669" w:type="dxa"/>
            <w:vMerge w:val="continue"/>
            <w:textDirection w:val="lrTb"/>
            <w:noWrap w:val="false"/>
          </w:tcPr>
          <w:p>
            <w:pPr>
              <w:ind w:firstLine="0"/>
              <w:widowControl w:val="off"/>
            </w:pPr>
            <w:r/>
            <w:r/>
          </w:p>
        </w:tc>
        <w:tc>
          <w:tcPr>
            <w:tcW w:w="1701" w:type="dxa"/>
            <w:textDirection w:val="lrTb"/>
            <w:noWrap w:val="false"/>
          </w:tcPr>
          <w:p>
            <w:pPr>
              <w:ind w:firstLine="0"/>
              <w:widowControl w:val="off"/>
            </w:pPr>
            <w:r>
              <w:t xml:space="preserve">Отдел </w:t>
            </w:r>
            <w:r>
              <w:t xml:space="preserve">образования </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«Организация отдыха детей в каникулярное время »</w:t>
            </w:r>
            <w:r/>
          </w:p>
        </w:tc>
        <w:tc>
          <w:tcPr>
            <w:tcW w:w="1701" w:type="dxa"/>
            <w:textDirection w:val="lrTb"/>
            <w:noWrap w:val="false"/>
          </w:tcPr>
          <w:p>
            <w:pPr>
              <w:ind w:firstLine="0"/>
              <w:widowControl w:val="off"/>
            </w:pPr>
            <w:r>
              <w:t xml:space="preserve">Отдел </w:t>
            </w:r>
            <w:r>
              <w:t xml:space="preserve">образования</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«Осуществление библиотечно-библиографического и информационного обслуживания населения Печенгского муниципального округа на территории Печенгского муниципального округа»</w:t>
            </w:r>
            <w:r/>
          </w:p>
        </w:tc>
        <w:tc>
          <w:tcPr>
            <w:tcW w:w="1701" w:type="dxa"/>
            <w:textDirection w:val="lrTb"/>
            <w:noWrap w:val="false"/>
          </w:tcPr>
          <w:p>
            <w:pPr>
              <w:ind w:firstLine="0"/>
              <w:widowControl w:val="off"/>
            </w:pPr>
            <w:r>
              <w:t xml:space="preserve">Отдел</w:t>
            </w:r>
            <w:r>
              <w:t xml:space="preserve"> культуры, спорта и молодежной политики </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rPr>
                <w:i/>
              </w:rPr>
            </w:pPr>
            <w:r>
              <w:t xml:space="preserve">«Предоставление доступа к оцифрованным изданиям, хранящимся в библиотеках, в том числе к фонду редких книг, с учетом соблюдения требования законодательства РФ об авторских и смежных правах на территории Печенгского муниципального округа»</w:t>
            </w:r>
            <w:r>
              <w:rPr>
                <w:i/>
              </w:rPr>
              <w:t xml:space="preserve"> </w:t>
            </w:r>
            <w:r>
              <w:rPr>
                <w:i/>
              </w:rPr>
            </w:r>
            <w:r>
              <w:rPr>
                <w:i/>
              </w:rP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«Предоставление доступа к справочно-поисковому аппарату библиотек, базам данных на территории Печенгского муниципального округа»</w:t>
            </w: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Borders>
              <w:bottom w:val="single" w:color="auto" w:sz="4" w:space="0"/>
            </w:tcBorders>
            <w:tcW w:w="5669" w:type="dxa"/>
            <w:textDirection w:val="lrTb"/>
            <w:noWrap w:val="false"/>
          </w:tcPr>
          <w:p>
            <w:pPr>
              <w:ind w:firstLine="0"/>
              <w:widowControl w:val="off"/>
            </w:pPr>
            <w:r>
              <w:t xml:space="preserve">«Услуги по публикации музейных предметов, музейных коллекций путем публичного показа, воспроизведение в печатных изданиях, на электронных и других видах носителей, в том числе в виртуальном режиме на территории Печенгского муниципального округа» </w:t>
            </w:r>
            <w:r/>
          </w:p>
        </w:tc>
        <w:tc>
          <w:tcPr>
            <w:tcBorders>
              <w:bottom w:val="single" w:color="auto" w:sz="4" w:space="0"/>
            </w:tcBorders>
            <w:tcW w:w="1701" w:type="dxa"/>
            <w:textDirection w:val="lrTb"/>
            <w:noWrap w:val="false"/>
          </w:tcPr>
          <w:p>
            <w:pPr>
              <w:ind w:firstLine="0"/>
            </w:pPr>
            <w:r>
              <w:t xml:space="preserve">Отдел культуры, спорта и молодежной политики </w:t>
            </w:r>
            <w:r/>
          </w:p>
        </w:tc>
        <w:tc>
          <w:tcPr>
            <w:tcBorders>
              <w:bottom w:val="single" w:color="auto" w:sz="4" w:space="0"/>
            </w:tcBorders>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pPr>
            <w:r>
              <w:t xml:space="preserve">«Присвоение квалификационных категорий спортивных судей на территории Печенгского муниципального округа»</w:t>
            </w: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pPr>
            <w:r>
              <w:t xml:space="preserve">«Присвоение спортивных разрядов на территории Печенгского муниципального округа» </w:t>
            </w: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rPr>
                <w:color w:val="ff0000"/>
              </w:rPr>
            </w:pPr>
            <w:r>
              <w:t xml:space="preserve"> «Обеспечение участия спортивных сборных команд </w:t>
            </w:r>
            <w:r>
              <w:t xml:space="preserve">Печенгского муниципального округа</w:t>
            </w:r>
            <w:r>
              <w:t xml:space="preserve"> в региональных, межрегиональных, всероссийских и международных физкультурных и спортивных соревнованиях» </w:t>
            </w:r>
            <w:r>
              <w:rPr>
                <w:color w:val="ff0000"/>
              </w:rPr>
            </w:r>
            <w:r>
              <w:rPr>
                <w:color w:val="ff0000"/>
              </w:rP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pPr>
            <w:r>
              <w:t xml:space="preserve">«Организация проведения муниципальных официальных физкультурных и спортивных мероприятий на территории Печенгского муниципального округа</w:t>
            </w:r>
            <w:r>
              <w:t xml:space="preserve"> </w:t>
            </w:r>
            <w:r>
              <w:t xml:space="preserve">» </w:t>
            </w:r>
            <w:r/>
          </w:p>
          <w:p>
            <w:pPr>
              <w:rPr>
                <w:color w:val="ff0000"/>
              </w:rPr>
            </w:pPr>
            <w:r>
              <w:rPr>
                <w:color w:val="ff0000"/>
              </w:rPr>
            </w:r>
            <w:r>
              <w:rPr>
                <w:color w:val="ff0000"/>
              </w:rPr>
            </w:r>
            <w:r>
              <w:rPr>
                <w:color w:val="ff0000"/>
              </w:rPr>
            </w:r>
          </w:p>
        </w:tc>
        <w:tc>
          <w:tcPr>
            <w:tcW w:w="1701" w:type="dxa"/>
            <w:textDirection w:val="lrTb"/>
            <w:noWrap w:val="false"/>
          </w:tcPr>
          <w:p>
            <w:pPr>
              <w:ind w:firstLine="0"/>
            </w:pPr>
            <w:r>
              <w:t xml:space="preserve">Отдел культуры, спорта и молодежной политики </w:t>
            </w:r>
            <w:r/>
          </w:p>
        </w:tc>
        <w:tc>
          <w:tcPr>
            <w:tcW w:w="1959" w:type="dxa"/>
            <w:textDirection w:val="lrTb"/>
            <w:noWrap w:val="false"/>
          </w:tcPr>
          <w:p>
            <w:pPr>
              <w:ind w:left="33" w:firstLine="0"/>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без проведения торгов на территории Печенгского муниципального округа»</w:t>
            </w:r>
            <w:r/>
          </w:p>
          <w:p>
            <w:pPr>
              <w:ind w:firstLine="0"/>
              <w:widowControl w:val="off"/>
            </w:pPr>
            <w: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«Предварительное согласование предоставления земельного участка на территории Печенгского муниципального округа»</w:t>
            </w: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rHeight w:val="1425"/>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rPr>
                <w:i/>
              </w:rPr>
            </w:pPr>
            <w:r>
              <w:t xml:space="preserve">«Выдача градостроительного плана земельного участка на территории Печенгского муниципального округа»</w:t>
            </w:r>
            <w:r>
              <w:rPr>
                <w:i/>
              </w:rPr>
            </w:r>
            <w:r>
              <w:rPr>
                <w:i/>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rPr>
                <w:color w:val="ff0000"/>
              </w:rPr>
            </w:pPr>
            <w:r>
              <w:t xml:space="preserve">«Предоставление земельного участка, находящегося в муниципальной собственности, на торгах на территории Печенгского муниципального округа»</w:t>
            </w:r>
            <w:r>
              <w:rPr>
                <w:color w:val="ff0000"/>
              </w:rPr>
            </w:r>
            <w:r>
              <w:rPr>
                <w:color w:val="ff0000"/>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rPr>
                <w:color w:val="000000" w:themeColor="text1"/>
              </w:rPr>
            </w:pPr>
            <w:r>
              <w:rPr>
                <w:color w:val="000000" w:themeColor="text1"/>
              </w:rPr>
              <w:t xml:space="preserve">«Предоставление информации об объектах недвижимого имущества, находящихся в муниципальной собственности </w:t>
            </w:r>
            <w:r>
              <w:rPr>
                <w:color w:val="000000" w:themeColor="text1"/>
              </w:rPr>
              <w:t xml:space="preserve">Печенгского муниципального округа</w:t>
            </w:r>
            <w:r>
              <w:rPr>
                <w:color w:val="000000" w:themeColor="text1"/>
              </w:rPr>
              <w:t xml:space="preserve"> и предназначенных для сдачи в аренду»</w:t>
            </w:r>
            <w:r>
              <w:rPr>
                <w:color w:val="000000" w:themeColor="text1"/>
              </w:rPr>
            </w:r>
            <w:r>
              <w:rPr>
                <w:color w:val="000000" w:themeColor="text1"/>
              </w:rPr>
            </w:r>
          </w:p>
          <w:p>
            <w:pPr>
              <w:ind w:firstLine="0"/>
              <w:widowControl w:val="off"/>
              <w:rPr>
                <w:color w:val="000000" w:themeColor="text1"/>
              </w:rPr>
            </w:pPr>
            <w:r>
              <w:rPr>
                <w:color w:val="000000" w:themeColor="text1"/>
              </w:rPr>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rPr>
                <w:color w:val="000000" w:themeColor="text1"/>
              </w:rPr>
            </w:r>
            <w:r>
              <w:rPr>
                <w:color w:val="000000" w:themeColor="text1"/>
              </w:rPr>
            </w:r>
            <w:r>
              <w:rPr>
                <w:color w:val="000000" w:themeColor="text1"/>
              </w:rPr>
            </w:r>
          </w:p>
        </w:tc>
      </w:tr>
      <w:tr>
        <w:tblPrEx/>
        <w:trPr>
          <w:trHeight w:val="1326"/>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pPr>
            <w:r>
              <w:t xml:space="preserve">«По сдаче в аренду без торгов объектов муниципального недвижимого и движимого имущества, находящегося в собственности Печенгского муниципального округа»</w:t>
            </w:r>
            <w:r/>
          </w:p>
          <w:p>
            <w:pPr>
              <w:ind w:firstLine="0"/>
              <w:widowControl w:val="off"/>
              <w:rPr>
                <w:i/>
              </w:rPr>
            </w:pPr>
            <w:r>
              <w:rPr>
                <w:i/>
              </w:rPr>
            </w:r>
            <w:r>
              <w:rPr>
                <w:i/>
              </w:rPr>
            </w:r>
            <w:r>
              <w:rPr>
                <w:i/>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0"/>
              <w:widowControl w:val="off"/>
              <w:rPr>
                <w:color w:val="000000" w:themeColor="text1"/>
              </w:rPr>
            </w:pPr>
            <w:r>
              <w:rPr>
                <w:color w:val="000000" w:themeColor="text1"/>
              </w:rPr>
              <w:t xml:space="preserve">«По организации и проведению аукционов по продаже </w:t>
            </w:r>
            <w:r>
              <w:rPr>
                <w:color w:val="000000" w:themeColor="text1"/>
              </w:rPr>
              <w:t xml:space="preserve">права аренды имущества, находящегося в собственности </w:t>
            </w:r>
            <w:r>
              <w:t xml:space="preserve">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widowControl w:val="off"/>
              <w:rPr>
                <w:color w:val="000000" w:themeColor="text1"/>
              </w:rPr>
            </w:pPr>
            <w:r>
              <w:t xml:space="preserve">Комитет по </w:t>
            </w:r>
            <w:r>
              <w:t xml:space="preserve">управлению имуществом</w:t>
            </w:r>
            <w:r>
              <w:rPr>
                <w:color w:val="000000" w:themeColor="text1"/>
              </w:rPr>
            </w:r>
            <w:r>
              <w:rPr>
                <w:color w:val="000000" w:themeColor="text1"/>
              </w:rPr>
            </w:r>
          </w:p>
        </w:tc>
        <w:tc>
          <w:tcPr>
            <w:tcW w:w="1959" w:type="dxa"/>
            <w:textDirection w:val="lrTb"/>
            <w:noWrap w:val="false"/>
          </w:tcPr>
          <w:p>
            <w:pPr>
              <w:ind w:left="33" w:firstLine="0"/>
              <w:widowControl w:val="off"/>
              <w:rPr>
                <w:color w:val="000000" w:themeColor="text1"/>
              </w:rPr>
            </w:pPr>
            <w:r>
              <w:rPr>
                <w:color w:val="000000" w:themeColor="text1"/>
              </w:rPr>
            </w:r>
            <w:r>
              <w:rPr>
                <w:color w:val="000000" w:themeColor="text1"/>
              </w:rPr>
            </w:r>
            <w:r>
              <w:rPr>
                <w:color w:val="000000" w:themeColor="text1"/>
              </w:rPr>
            </w:r>
          </w:p>
        </w:tc>
      </w:tr>
      <w:tr>
        <w:tblPrEx/>
        <w:trPr>
          <w:trHeight w:val="403"/>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«Предоставление информации об объектах учета из реестра муниципального имущества Печенгского муниципального округа</w:t>
            </w:r>
            <w:r>
              <w:t xml:space="preserve">»</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«Выдача разрешения на установку и эксплуатацию рекламных конструкций на территории Печенгского муниципального округа, аннулирование такого разрешения»</w:t>
            </w: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rPr>
                <w:color w:val="000000" w:themeColor="text1"/>
              </w:rPr>
              <w:t xml:space="preserve">«По организации и проведению торгов по приватизации имущества, находящегося в собственности </w:t>
            </w:r>
            <w:r>
              <w:t xml:space="preserve">Печенгского муниципального округа»</w:t>
            </w: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rPr>
                <w:color w:val="000000" w:themeColor="text1"/>
              </w:rPr>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w:t>
            </w:r>
            <w:r>
              <w:t xml:space="preserve">на территории Печенгского муниципального округа»</w:t>
            </w:r>
            <w:r>
              <w:rPr>
                <w:color w:val="000000" w:themeColor="text1"/>
              </w:rPr>
              <w:t xml:space="preserve">»</w:t>
            </w:r>
            <w:r>
              <w:rPr>
                <w:color w:val="000000" w:themeColor="text1"/>
              </w:rPr>
            </w:r>
            <w:r>
              <w:rPr>
                <w:color w:val="000000" w:themeColor="text1"/>
              </w:rPr>
            </w:r>
          </w:p>
          <w:p>
            <w:pPr>
              <w:ind w:firstLine="74"/>
              <w:widowControl w:val="off"/>
              <w:rPr>
                <w:color w:val="000000" w:themeColor="text1"/>
              </w:rPr>
            </w:pPr>
            <w:r>
              <w:rPr>
                <w:color w:val="000000" w:themeColor="text1"/>
              </w:rPr>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«Постановка граждан на учет в качестве лиц, имеющих право на предоставление земельных участков в собственность бесплатно»</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«Предоставление земельного участка, находящегося в муниципальной собственности гражданину или юридическому лицу в собственность бесплатно </w:t>
            </w:r>
            <w:r>
              <w:t xml:space="preserve">на территории 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«Перераспределение земель и земельных участков, находящихся в муниципальной собственности </w:t>
            </w:r>
            <w:r>
              <w:t xml:space="preserve">на территории 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rHeight w:val="1747"/>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 </w:t>
            </w:r>
            <w:r>
              <w:t xml:space="preserve">на территории 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rHeight w:val="1342"/>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«Установление сервитута (публичного сервитута) в отношении земельного участка, находящегося в государственной или муниципальной собственности </w:t>
            </w:r>
            <w:r>
              <w:t xml:space="preserve">на территории 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pPr>
            <w:r>
              <w:t xml:space="preserve">Комитет по управлению имуществом</w:t>
            </w: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rHeight w:val="1230"/>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w:t>
            </w:r>
            <w:r>
              <w:t xml:space="preserve">Предоставление разрешения на условно разрешенный вид использования земельного участка или объекта капитального строительства на территории 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widowControl w:val="off"/>
              <w:rPr>
                <w:color w:val="000000" w:themeColor="text1"/>
              </w:rPr>
            </w:pPr>
            <w:r>
              <w:t xml:space="preserve">Комитет по управлению имуществом</w:t>
            </w:r>
            <w:r>
              <w:rPr>
                <w:color w:val="000000" w:themeColor="text1"/>
              </w:rPr>
            </w:r>
            <w:r>
              <w:rPr>
                <w:color w:val="000000" w:themeColor="text1"/>
              </w:rP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000000" w:themeColor="text1"/>
              </w:rPr>
            </w:pPr>
            <w:r>
              <w:rPr>
                <w:color w:val="000000" w:themeColor="text1"/>
              </w:rPr>
              <w:t xml:space="preserve">«Утверждение схемы расположения земельного участка или земельных участков на кадастровом плане территории </w:t>
            </w:r>
            <w:r>
              <w:t xml:space="preserve">Печенгского муниципального округа»</w:t>
            </w:r>
            <w:r>
              <w:rPr>
                <w:color w:val="000000" w:themeColor="text1"/>
              </w:rPr>
            </w:r>
            <w:r>
              <w:rPr>
                <w:color w:val="000000" w:themeColor="text1"/>
              </w:rPr>
            </w:r>
          </w:p>
        </w:tc>
        <w:tc>
          <w:tcPr>
            <w:tcW w:w="1701" w:type="dxa"/>
            <w:textDirection w:val="lrTb"/>
            <w:noWrap w:val="false"/>
          </w:tcPr>
          <w:p>
            <w:pPr>
              <w:ind w:firstLine="0"/>
              <w:widowControl w:val="off"/>
              <w:rPr>
                <w:color w:val="000000" w:themeColor="text1"/>
              </w:rPr>
            </w:pPr>
            <w:r>
              <w:t xml:space="preserve">Комитет по управлению имуществом</w:t>
            </w:r>
            <w:r>
              <w:rPr>
                <w:color w:val="000000" w:themeColor="text1"/>
              </w:rPr>
            </w:r>
            <w:r>
              <w:rPr>
                <w:color w:val="000000" w:themeColor="text1"/>
              </w:rPr>
            </w:r>
          </w:p>
        </w:tc>
        <w:tc>
          <w:tcPr>
            <w:tcW w:w="1959" w:type="dxa"/>
            <w:textDirection w:val="lrTb"/>
            <w:noWrap w:val="false"/>
          </w:tcPr>
          <w:p>
            <w:pPr>
              <w:ind w:left="33" w:firstLine="0"/>
              <w:widowControl w:val="off"/>
              <w:rPr>
                <w:color w:val="000000" w:themeColor="text1"/>
              </w:rPr>
            </w:pPr>
            <w:r>
              <w:t xml:space="preserve">Услуга предоставляется в электронном виде</w:t>
            </w:r>
            <w:r>
              <w:rPr>
                <w:color w:val="000000" w:themeColor="text1"/>
              </w:rPr>
            </w:r>
            <w:r>
              <w:rPr>
                <w:color w:val="000000" w:themeColor="text1"/>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rPr>
                <w:rFonts w:eastAsia="Calibri"/>
                <w:bCs/>
              </w:rPr>
              <w:t xml:space="preserve">«</w:t>
            </w:r>
            <w:r>
              <w:rPr>
                <w:rFonts w:eastAsia="Calibri"/>
              </w:rPr>
              <w:t xml:space="preserve">Присвоение адреса объекту адресации, изменение и аннулирование такого адреса </w:t>
            </w:r>
            <w:r>
              <w:t xml:space="preserve">на территории Печенгского муниципального округа»</w:t>
            </w:r>
            <w:r/>
          </w:p>
          <w:p>
            <w:pPr>
              <w:ind w:firstLine="74"/>
              <w:widowControl w:val="off"/>
              <w:rPr>
                <w:rFonts w:eastAsia="Calibri"/>
              </w:rPr>
            </w:pPr>
            <w:r>
              <w:rPr>
                <w:rFonts w:eastAsia="Calibri"/>
              </w:rPr>
            </w:r>
            <w:r>
              <w:rPr>
                <w:rFonts w:eastAsia="Calibri"/>
              </w:rPr>
            </w:r>
            <w:r>
              <w:rPr>
                <w:rFonts w:eastAsia="Calibri"/>
              </w:rPr>
            </w:r>
          </w:p>
        </w:tc>
        <w:tc>
          <w:tcPr>
            <w:tcW w:w="1701" w:type="dxa"/>
            <w:textDirection w:val="lrTb"/>
            <w:noWrap w:val="false"/>
          </w:tcPr>
          <w:p>
            <w:pPr>
              <w:ind w:firstLine="0"/>
              <w:widowControl w:val="off"/>
            </w:pPr>
            <w:r>
              <w:t xml:space="preserve">Комитет по управлению имуществом</w:t>
            </w:r>
            <w:r/>
          </w:p>
        </w:tc>
        <w:tc>
          <w:tcPr>
            <w:tcW w:w="1959" w:type="dxa"/>
            <w:textDirection w:val="lrTb"/>
            <w:noWrap w:val="false"/>
          </w:tcPr>
          <w:p>
            <w:pPr>
              <w:ind w:left="33" w:firstLine="0"/>
              <w:widowControl w:val="off"/>
            </w:pPr>
            <w:r>
              <w:t xml:space="preserve">Услуга предоставляется в электронном </w:t>
            </w:r>
            <w:r>
              <w:t xml:space="preserve">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«Передача в собственность граждан занимаемых ими жилых помещений </w:t>
            </w:r>
            <w:r>
              <w:t xml:space="preserve">муниципального </w:t>
            </w:r>
            <w:r>
              <w:t xml:space="preserve">жилищного фонда (приватизация жилищного фонда)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p>
            <w:pPr>
              <w:ind w:firstLine="0"/>
            </w:pPr>
            <w:r/>
            <w:r/>
          </w:p>
        </w:tc>
        <w:tc>
          <w:tcPr>
            <w:tcW w:w="1959" w:type="dxa"/>
            <w:textDirection w:val="lrTb"/>
            <w:noWrap w:val="false"/>
          </w:tcPr>
          <w:p>
            <w:pPr>
              <w:ind w:left="33" w:firstLine="0"/>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«Предоставление жилых помещений, находящихся в собственности Печенгского муниципального округа гражданам по договорам коммерческого найма »</w:t>
            </w:r>
            <w:r/>
          </w:p>
        </w:tc>
        <w:tc>
          <w:tcPr>
            <w:tcW w:w="1701" w:type="dxa"/>
            <w:textDirection w:val="lrTb"/>
            <w:noWrap w:val="false"/>
          </w:tcPr>
          <w:p>
            <w:pPr>
              <w:ind w:firstLine="0"/>
            </w:pPr>
            <w:r>
              <w:t xml:space="preserve">Отдел строительства и ЖКХ</w:t>
            </w:r>
            <w:r/>
          </w:p>
          <w:p>
            <w:pPr>
              <w:ind w:firstLine="0"/>
              <w:widowControl w:val="off"/>
            </w:pPr>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color w:val="ff0000"/>
              </w:rPr>
            </w:pPr>
            <w:r>
              <w:t xml:space="preserve">«Предоставление жилого помещения по договору социального найма на территории Печенгского муниципального округа»»</w:t>
            </w:r>
            <w:r>
              <w:rPr>
                <w:color w:val="ff0000"/>
              </w:rPr>
            </w:r>
            <w:r>
              <w:rPr>
                <w:color w:val="ff0000"/>
              </w:rP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«Принятие на учет граждан в качестве нуждающихся в жилых помещениях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«Согласование переустройства и (или) перепланировки жилого помещения</w:t>
            </w:r>
            <w:r>
              <w:t xml:space="preserve"> в многоквартирном доме</w:t>
            </w:r>
            <w:r>
              <w:t xml:space="preserve">,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«Выдача разрешения на ввод объекта в эксплуатацию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«Оформление соглашений о передаче гражданами, принадлежащих им на праве собственности жилых помещений в собственность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«Выдача разрешения на строительство объекта  капитального строительства (в том числе внесение изменени</w:t>
            </w:r>
            <w:r>
              <w:t xml:space="preserve">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rPr>
                <w:u w:val="single"/>
              </w:rPr>
            </w:pPr>
            <w:r>
              <w:t xml:space="preserve">Услуга предоставляется в электронном виде</w:t>
            </w:r>
            <w:r>
              <w:rPr>
                <w:u w:val="single"/>
              </w:rPr>
            </w:r>
            <w:r>
              <w:rPr>
                <w:u w:val="single"/>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«Перевод жилого помещения в нежилое помещение или нежилого помещения в жилое помещение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rPr>
                <w:u w:val="single"/>
              </w:rPr>
            </w:pPr>
            <w:r>
              <w:t xml:space="preserve">Услуга предоставляется в электронном виде</w:t>
            </w:r>
            <w:r>
              <w:rPr>
                <w:u w:val="single"/>
              </w:rPr>
            </w:r>
            <w:r>
              <w:rPr>
                <w:u w:val="single"/>
              </w:rP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w:t>
            </w:r>
            <w:r>
              <w:t xml:space="preserve">Установка информационной вывески, согласование дизайн-проекта размещения вывески на территории Печенгского муниципального округа»</w:t>
            </w:r>
            <w:r/>
          </w:p>
          <w:p>
            <w:pPr>
              <w:ind w:firstLine="74"/>
            </w:pPr>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«Выдача разрешений на право вырубки зеленых насаждений на территории Печенгского муниципального округа»</w:t>
            </w:r>
            <w:r/>
          </w:p>
        </w:tc>
        <w:tc>
          <w:tcPr>
            <w:shd w:val="clear" w:color="auto" w:fill="auto"/>
            <w:tcW w:w="1701" w:type="dxa"/>
            <w:textDirection w:val="lrTb"/>
            <w:noWrap w:val="false"/>
          </w:tcPr>
          <w:p>
            <w:pPr>
              <w:ind w:firstLine="0"/>
            </w:pPr>
            <w:r>
              <w:t xml:space="preserve">Отдел строительства и ЖКХ</w:t>
            </w:r>
            <w:r/>
          </w:p>
        </w:tc>
        <w:tc>
          <w:tcPr>
            <w:shd w:val="clear" w:color="auto" w:fill="auto"/>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«Направление уведомления о соответствии построенных или реконструированных объектов ИЖС или садового дома требованиям законодательства РФ о градостроительной деятельности на территории  Печенгского муниципального округа» </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«Направление уведомления о соответствии указанных в уведомлении </w:t>
            </w:r>
            <w:r>
              <w:t xml:space="preserve">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ИЖС или садового дома на земельном участке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rHeight w:val="1054"/>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территории Печенгского муниципального округа» </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pPr>
            <w:r>
              <w:t xml:space="preserve">«Признание садового дома жилым домом и жилого дома садовым домом на территории Печенгского муниципального округа»</w:t>
            </w:r>
            <w:r/>
          </w:p>
        </w:tc>
        <w:tc>
          <w:tcPr>
            <w:tcW w:w="1701" w:type="dxa"/>
            <w:textDirection w:val="lrTb"/>
            <w:noWrap w:val="false"/>
          </w:tcPr>
          <w:p>
            <w:pPr>
              <w:ind w:firstLine="0"/>
            </w:pPr>
            <w:r>
              <w:t xml:space="preserve">Отдел строительства и ЖКХ</w:t>
            </w:r>
            <w:r/>
          </w:p>
        </w:tc>
        <w:tc>
          <w:tcPr>
            <w:tcW w:w="1959" w:type="dxa"/>
            <w:textDirection w:val="lrTb"/>
            <w:noWrap w:val="false"/>
          </w:tcPr>
          <w:p>
            <w:pPr>
              <w:ind w:left="33" w:firstLine="0"/>
              <w:jc w:val="left"/>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«Предоставление разрешения на осуществление земляных работ на территории Печенгского муниципального округа»</w:t>
            </w:r>
            <w:r/>
          </w:p>
        </w:tc>
        <w:tc>
          <w:tcPr>
            <w:shd w:val="clear" w:color="auto" w:fill="auto"/>
            <w:tcW w:w="1701" w:type="dxa"/>
            <w:textDirection w:val="lrTb"/>
            <w:noWrap w:val="false"/>
          </w:tcPr>
          <w:p>
            <w:pPr>
              <w:ind w:firstLine="0"/>
            </w:pPr>
            <w:r>
              <w:t xml:space="preserve">Отдел строительства и ЖКХ</w:t>
            </w:r>
            <w:r/>
          </w:p>
        </w:tc>
        <w:tc>
          <w:tcPr>
            <w:shd w:val="clear" w:color="auto" w:fill="auto"/>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«Назначение и вып</w:t>
            </w:r>
            <w:r>
              <w:t xml:space="preserve">лата компенсации расходов по оплате жилого помещения, в том числе оплате взносов на капитальный ремонт общего имущества в многоквартирном доме, коммунальных и других видов услуг отдельным категориям граждан на территории  Печенгского муниципального округа»</w:t>
            </w:r>
            <w:r/>
          </w:p>
        </w:tc>
        <w:tc>
          <w:tcPr>
            <w:tcW w:w="1701" w:type="dxa"/>
            <w:textDirection w:val="lrTb"/>
            <w:noWrap w:val="false"/>
          </w:tcPr>
          <w:p>
            <w:pPr>
              <w:ind w:firstLine="0"/>
              <w:widowControl w:val="off"/>
            </w:pPr>
            <w:r>
              <w:t xml:space="preserve"> МБУ ЦБ </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pPr>
            <w:r>
              <w:t xml:space="preserve">«Выдача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на территории Печенгского муниципального округа»</w:t>
            </w:r>
            <w:r/>
          </w:p>
        </w:tc>
        <w:tc>
          <w:tcPr>
            <w:tcW w:w="1701" w:type="dxa"/>
            <w:textDirection w:val="lrTb"/>
            <w:noWrap w:val="false"/>
          </w:tcPr>
          <w:p>
            <w:pPr>
              <w:ind w:firstLine="0"/>
              <w:widowControl w:val="off"/>
            </w:pPr>
            <w:r>
              <w:t xml:space="preserve">Отдел строительства и ЖКХ</w:t>
            </w:r>
            <w:r/>
          </w:p>
        </w:tc>
        <w:tc>
          <w:tcPr>
            <w:tcW w:w="1959" w:type="dxa"/>
            <w:textDirection w:val="lrTb"/>
            <w:noWrap w:val="false"/>
          </w:tcPr>
          <w:p>
            <w:pPr>
              <w:ind w:left="33" w:firstLine="0"/>
              <w:widowControl w:val="off"/>
            </w:pPr>
            <w:r>
              <w:t xml:space="preserve">Услуга предоставляется в электронном виде</w:t>
            </w:r>
            <w:r/>
          </w:p>
        </w:tc>
      </w:tr>
      <w:tr>
        <w:tblPrEx/>
        <w:trPr/>
        <w:tc>
          <w:tcPr>
            <w:shd w:val="clear" w:color="auto" w:fill="auto"/>
            <w:tcW w:w="601" w:type="dxa"/>
            <w:textDirection w:val="lrTb"/>
            <w:noWrap w:val="false"/>
          </w:tcPr>
          <w:p>
            <w:pPr>
              <w:pStyle w:val="927"/>
              <w:numPr>
                <w:ilvl w:val="0"/>
                <w:numId w:val="37"/>
              </w:numPr>
              <w:contextualSpacing w:val="0"/>
              <w:ind w:left="0" w:firstLine="0"/>
              <w:jc w:val="center"/>
              <w:widowControl w:val="off"/>
              <w:rPr>
                <w:sz w:val="24"/>
                <w:szCs w:val="24"/>
              </w:rPr>
            </w:pPr>
            <w:r>
              <w:rPr>
                <w:sz w:val="24"/>
                <w:szCs w:val="24"/>
              </w:rPr>
            </w:r>
            <w:r>
              <w:rPr>
                <w:sz w:val="24"/>
                <w:szCs w:val="24"/>
              </w:rPr>
            </w:r>
            <w:r>
              <w:rPr>
                <w:sz w:val="24"/>
                <w:szCs w:val="24"/>
              </w:rPr>
            </w:r>
          </w:p>
        </w:tc>
        <w:tc>
          <w:tcPr>
            <w:shd w:val="clear" w:color="auto" w:fill="auto"/>
            <w:tcW w:w="5669" w:type="dxa"/>
            <w:textDirection w:val="lrTb"/>
            <w:noWrap w:val="false"/>
          </w:tcPr>
          <w:p>
            <w:pPr>
              <w:ind w:firstLine="74"/>
              <w:widowControl w:val="off"/>
              <w:rPr>
                <w:i/>
                <w:u w:val="single"/>
              </w:rPr>
            </w:pPr>
            <w:r>
              <w:t xml:space="preserve">«Выдача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w:t>
            </w:r>
            <w:r>
              <w:t xml:space="preserve">ов</w:t>
            </w:r>
            <w:r>
              <w:t xml:space="preserve"> привязных аэростатов, а так же посадку (взлет) на расположенные в границах Печенгского муниципального округа</w:t>
            </w:r>
            <w:r>
              <w:t xml:space="preserve"> площадки,</w:t>
            </w:r>
            <w:r>
              <w:t xml:space="preserve"> сведения о которых не опубликованы в документах аэронавигационной информации» </w:t>
            </w:r>
            <w:r>
              <w:rPr>
                <w:i/>
                <w:u w:val="single"/>
              </w:rPr>
            </w:r>
            <w:r>
              <w:rPr>
                <w:i/>
                <w:u w:val="single"/>
              </w:rPr>
            </w:r>
          </w:p>
        </w:tc>
        <w:tc>
          <w:tcPr>
            <w:tcW w:w="1701" w:type="dxa"/>
            <w:textDirection w:val="lrTb"/>
            <w:noWrap w:val="false"/>
          </w:tcPr>
          <w:p>
            <w:pPr>
              <w:ind w:firstLine="0"/>
              <w:widowControl w:val="off"/>
            </w:pPr>
            <w:r>
              <w:t xml:space="preserve">О</w:t>
            </w:r>
            <w:r>
              <w:t xml:space="preserve">тдел ГОЧС и ПБ </w:t>
            </w:r>
            <w:r/>
          </w:p>
        </w:tc>
        <w:tc>
          <w:tcPr>
            <w:tcW w:w="1959" w:type="dxa"/>
            <w:textDirection w:val="lrTb"/>
            <w:noWrap w:val="false"/>
          </w:tcPr>
          <w:p>
            <w:pPr>
              <w:ind w:left="33" w:firstLine="0"/>
              <w:widowControl w:val="off"/>
            </w:pPr>
            <w:r/>
            <w:r/>
          </w:p>
        </w:tc>
      </w:tr>
    </w:tbl>
    <w:p>
      <w:pPr>
        <w:ind w:firstLine="0"/>
        <w:rPr>
          <w:b/>
          <w:bCs/>
        </w:rPr>
      </w:pPr>
      <w:r>
        <w:rPr>
          <w:b/>
        </w:rPr>
      </w:r>
      <w:r>
        <w:rPr>
          <w:b/>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pPr>
      <w:r>
        <w:rPr>
          <w:b/>
          <w:bCs/>
        </w:rPr>
      </w:r>
      <w:r>
        <w:rPr>
          <w:b/>
          <w:bCs/>
        </w:rPr>
      </w:r>
    </w:p>
    <w:p>
      <w:pPr>
        <w:ind w:firstLine="0"/>
        <w:rPr>
          <w:b/>
          <w:bCs/>
        </w:rPr>
        <w:sectPr>
          <w:footnotePr/>
          <w:endnotePr/>
          <w:type w:val="nextPage"/>
          <w:pgSz w:w="11906" w:h="16838" w:orient="portrait"/>
          <w:pgMar w:top="284" w:right="850" w:bottom="255" w:left="1701" w:header="709" w:footer="709" w:gutter="0"/>
          <w:cols w:num="1" w:sep="0" w:space="708" w:equalWidth="1"/>
          <w:docGrid w:linePitch="360"/>
        </w:sectPr>
      </w:pPr>
      <w:r>
        <w:rPr>
          <w:b/>
        </w:rPr>
      </w:r>
      <w:r>
        <w:rPr>
          <w:b/>
        </w:rPr>
      </w:r>
      <w:r>
        <w:rPr>
          <w:b/>
          <w:bCs/>
        </w:rPr>
      </w:r>
    </w:p>
    <w:p>
      <w:pPr>
        <w:ind w:firstLine="0"/>
        <w:shd w:val="nil" w:color="auto"/>
      </w:pPr>
      <w:r/>
      <w:r/>
    </w:p>
    <w:sectPr>
      <w:footnotePr/>
      <w:endnotePr/>
      <w:type w:val="nextPage"/>
      <w:pgSz w:w="11906" w:h="16838" w:orient="portrait"/>
      <w:pgMar w:top="851" w:right="851" w:bottom="1134" w:left="567" w:header="283" w:footer="340"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alibri">
    <w:panose1 w:val="020F0502020204030204"/>
  </w:font>
  <w:font w:name="Verdana">
    <w:panose1 w:val="020B0604030504040204"/>
  </w:font>
  <w:font w:name="Lucida Sans Unicode">
    <w:panose1 w:val="020B0602030504020204"/>
  </w:font>
  <w:font w:name="Tahom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ascii="Symbol" w:hAnsi="Symbol"/>
        <w:color w:val="auto"/>
      </w:rPr>
    </w:lvl>
    <w:lvl w:ilvl="1">
      <w:start w:val="1"/>
      <w:numFmt w:val="bullet"/>
      <w:isLgl w:val="false"/>
      <w:suff w:val="tab"/>
      <w:lvlText w:val=""/>
      <w:lvlJc w:val="left"/>
      <w:pPr>
        <w:ind w:left="1080" w:hanging="360"/>
        <w:tabs>
          <w:tab w:val="num" w:pos="1080" w:leader="none"/>
        </w:tabs>
      </w:pPr>
      <w:rPr>
        <w:rFonts w:ascii="Symbol" w:hAnsi="Symbol"/>
        <w:color w:val="auto"/>
      </w:rPr>
    </w:lvl>
    <w:lvl w:ilvl="2">
      <w:start w:val="1"/>
      <w:numFmt w:val="bullet"/>
      <w:isLgl w:val="false"/>
      <w:suff w:val="tab"/>
      <w:lvlText w:val=""/>
      <w:lvlJc w:val="left"/>
      <w:pPr>
        <w:ind w:left="1440" w:hanging="360"/>
        <w:tabs>
          <w:tab w:val="num" w:pos="1440" w:leader="none"/>
        </w:tabs>
      </w:pPr>
      <w:rPr>
        <w:rFonts w:ascii="Symbol" w:hAnsi="Symbol"/>
        <w:color w:val="auto"/>
      </w:rPr>
    </w:lvl>
    <w:lvl w:ilvl="3">
      <w:start w:val="1"/>
      <w:numFmt w:val="bullet"/>
      <w:isLgl w:val="false"/>
      <w:suff w:val="tab"/>
      <w:lvlText w:val=""/>
      <w:lvlJc w:val="left"/>
      <w:pPr>
        <w:ind w:left="1800" w:hanging="360"/>
        <w:tabs>
          <w:tab w:val="num" w:pos="1800" w:leader="none"/>
        </w:tabs>
      </w:pPr>
      <w:rPr>
        <w:rFonts w:ascii="Symbol" w:hAnsi="Symbol"/>
        <w:color w:val="auto"/>
      </w:rPr>
    </w:lvl>
    <w:lvl w:ilvl="4">
      <w:start w:val="1"/>
      <w:numFmt w:val="bullet"/>
      <w:isLgl w:val="false"/>
      <w:suff w:val="tab"/>
      <w:lvlText w:val=""/>
      <w:lvlJc w:val="left"/>
      <w:pPr>
        <w:ind w:left="2160" w:hanging="360"/>
        <w:tabs>
          <w:tab w:val="num" w:pos="2160" w:leader="none"/>
        </w:tabs>
      </w:pPr>
      <w:rPr>
        <w:rFonts w:ascii="Symbol" w:hAnsi="Symbol"/>
        <w:color w:val="auto"/>
      </w:rPr>
    </w:lvl>
    <w:lvl w:ilvl="5">
      <w:start w:val="1"/>
      <w:numFmt w:val="bullet"/>
      <w:isLgl w:val="false"/>
      <w:suff w:val="tab"/>
      <w:lvlText w:val=""/>
      <w:lvlJc w:val="left"/>
      <w:pPr>
        <w:ind w:left="2520" w:hanging="360"/>
        <w:tabs>
          <w:tab w:val="num" w:pos="2520" w:leader="none"/>
        </w:tabs>
      </w:pPr>
      <w:rPr>
        <w:rFonts w:ascii="Symbol" w:hAnsi="Symbol"/>
        <w:color w:val="auto"/>
      </w:rPr>
    </w:lvl>
    <w:lvl w:ilvl="6">
      <w:start w:val="1"/>
      <w:numFmt w:val="bullet"/>
      <w:isLgl w:val="false"/>
      <w:suff w:val="tab"/>
      <w:lvlText w:val=""/>
      <w:lvlJc w:val="left"/>
      <w:pPr>
        <w:ind w:left="2880" w:hanging="360"/>
        <w:tabs>
          <w:tab w:val="num" w:pos="2880" w:leader="none"/>
        </w:tabs>
      </w:pPr>
      <w:rPr>
        <w:rFonts w:ascii="Symbol" w:hAnsi="Symbol"/>
        <w:color w:val="auto"/>
      </w:rPr>
    </w:lvl>
    <w:lvl w:ilvl="7">
      <w:start w:val="1"/>
      <w:numFmt w:val="bullet"/>
      <w:isLgl w:val="false"/>
      <w:suff w:val="tab"/>
      <w:lvlText w:val=""/>
      <w:lvlJc w:val="left"/>
      <w:pPr>
        <w:ind w:left="3240" w:hanging="360"/>
        <w:tabs>
          <w:tab w:val="num" w:pos="3240" w:leader="none"/>
        </w:tabs>
      </w:pPr>
      <w:rPr>
        <w:rFonts w:ascii="Symbol" w:hAnsi="Symbol"/>
        <w:color w:val="auto"/>
      </w:rPr>
    </w:lvl>
    <w:lvl w:ilvl="8">
      <w:start w:val="1"/>
      <w:numFmt w:val="bullet"/>
      <w:isLgl w:val="false"/>
      <w:suff w:val="tab"/>
      <w:lvlText w:val=""/>
      <w:lvlJc w:val="left"/>
      <w:pPr>
        <w:ind w:left="3600" w:hanging="360"/>
        <w:tabs>
          <w:tab w:val="num" w:pos="3600" w:leader="none"/>
        </w:tabs>
      </w:pPr>
      <w:rPr>
        <w:rFonts w:ascii="Symbol" w:hAnsi="Symbol"/>
        <w:color w:val="auto"/>
      </w:rPr>
    </w:lvl>
  </w:abstractNum>
  <w:abstractNum w:abstractNumId="1">
    <w:multiLevelType w:val="hybridMultilevel"/>
    <w:lvl w:ilvl="0">
      <w:start w:val="1"/>
      <w:numFmt w:val="decimal"/>
      <w:isLgl w:val="false"/>
      <w:suff w:val="tab"/>
      <w:lvlText w:val="%1)"/>
      <w:lvlJc w:val="left"/>
      <w:pPr>
        <w:ind w:left="360" w:hanging="360"/>
        <w:tabs>
          <w:tab w:val="num" w:pos="0" w:leader="none"/>
        </w:tabs>
      </w:pPr>
      <w:rPr>
        <w:rFonts w:cs="Times New Roman"/>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3">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0" w:firstLine="709"/>
      </w:pPr>
      <w:rPr>
        <w:rFonts w:hint="default"/>
      </w:rPr>
    </w:lvl>
    <w:lvl w:ilvl="2">
      <w:start w:val="1"/>
      <w:numFmt w:val="decimal"/>
      <w:isLgl w:val="false"/>
      <w:suff w:val="tab"/>
      <w:lvlText w:val="%1.%2.%3."/>
      <w:lvlJc w:val="left"/>
      <w:pPr>
        <w:ind w:left="6180" w:hanging="504"/>
      </w:pPr>
      <w:rPr>
        <w:rFonts w:hint="default"/>
      </w:rPr>
    </w:lvl>
    <w:lvl w:ilvl="3">
      <w:start w:val="1"/>
      <w:numFmt w:val="decimal"/>
      <w:isLgl w:val="false"/>
      <w:suff w:val="tab"/>
      <w:lvlText w:val="%1.%2.%3.%4."/>
      <w:lvlJc w:val="left"/>
      <w:pPr>
        <w:ind w:left="6684" w:hanging="648"/>
      </w:pPr>
      <w:rPr>
        <w:rFonts w:hint="default"/>
      </w:rPr>
    </w:lvl>
    <w:lvl w:ilvl="4">
      <w:start w:val="1"/>
      <w:numFmt w:val="decimal"/>
      <w:isLgl w:val="false"/>
      <w:suff w:val="tab"/>
      <w:lvlText w:val="%1.%2.%3.%4.%5."/>
      <w:lvlJc w:val="left"/>
      <w:pPr>
        <w:ind w:left="7188" w:hanging="792"/>
      </w:pPr>
      <w:rPr>
        <w:rFonts w:hint="default"/>
      </w:rPr>
    </w:lvl>
    <w:lvl w:ilvl="5">
      <w:start w:val="1"/>
      <w:numFmt w:val="decimal"/>
      <w:isLgl w:val="false"/>
      <w:suff w:val="tab"/>
      <w:lvlText w:val="%1.%2.%3.%4.%5.%6."/>
      <w:lvlJc w:val="left"/>
      <w:pPr>
        <w:ind w:left="7692" w:hanging="936"/>
      </w:pPr>
      <w:rPr>
        <w:rFonts w:hint="default"/>
      </w:rPr>
    </w:lvl>
    <w:lvl w:ilvl="6">
      <w:start w:val="1"/>
      <w:numFmt w:val="decimal"/>
      <w:isLgl w:val="false"/>
      <w:suff w:val="tab"/>
      <w:lvlText w:val="%1.%2.%3.%4.%5.%6.%7."/>
      <w:lvlJc w:val="left"/>
      <w:pPr>
        <w:ind w:left="8196" w:hanging="1080"/>
      </w:pPr>
      <w:rPr>
        <w:rFonts w:hint="default"/>
      </w:rPr>
    </w:lvl>
    <w:lvl w:ilvl="7">
      <w:start w:val="1"/>
      <w:numFmt w:val="decimal"/>
      <w:isLgl w:val="false"/>
      <w:suff w:val="tab"/>
      <w:lvlText w:val="%1.%2.%3.%4.%5.%6.%7.%8."/>
      <w:lvlJc w:val="left"/>
      <w:pPr>
        <w:ind w:left="8700" w:hanging="1224"/>
      </w:pPr>
      <w:rPr>
        <w:rFonts w:hint="default"/>
      </w:rPr>
    </w:lvl>
    <w:lvl w:ilvl="8">
      <w:start w:val="1"/>
      <w:numFmt w:val="decimal"/>
      <w:isLgl w:val="false"/>
      <w:suff w:val="tab"/>
      <w:lvlText w:val="%1.%2.%3.%4.%5.%6.%7.%8.%9."/>
      <w:lvlJc w:val="left"/>
      <w:pPr>
        <w:ind w:left="9276" w:hanging="1440"/>
      </w:pPr>
      <w:rPr>
        <w:rFonts w:hint="default"/>
      </w:rPr>
    </w:lvl>
  </w:abstractNum>
  <w:abstractNum w:abstractNumId="4">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5">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7">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8">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0">
    <w:multiLevelType w:val="hybridMultilevel"/>
    <w:lvl w:ilvl="0">
      <w:start w:val="4"/>
      <w:numFmt w:val="decimal"/>
      <w:isLgl w:val="false"/>
      <w:suff w:val="tab"/>
      <w:lvlText w:val="%1."/>
      <w:lvlJc w:val="left"/>
      <w:pPr>
        <w:ind w:left="1069" w:hanging="360"/>
      </w:pPr>
      <w:rPr>
        <w:rFonts w:hint="default"/>
        <w:sz w:val="24"/>
        <w:szCs w:val="24"/>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1">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13">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18">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19">
    <w:multiLevelType w:val="hybridMultilevel"/>
    <w:lvl w:ilvl="0">
      <w:start w:val="4"/>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20">
    <w:multiLevelType w:val="hybridMultilevel"/>
    <w:lvl w:ilvl="0">
      <w:start w:val="1"/>
      <w:numFmt w:val="upperRoman"/>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isLgl w:val="false"/>
      <w:suff w:val="tab"/>
      <w:lvlText w:val="%1."/>
      <w:lvlJc w:val="left"/>
      <w:pPr>
        <w:ind w:left="752" w:hanging="360"/>
      </w:pPr>
      <w:rPr>
        <w:rFonts w:cs="Times New Roman"/>
        <w:b w:val="0"/>
        <w:sz w:val="16"/>
        <w:szCs w:val="16"/>
      </w:rPr>
    </w:lvl>
    <w:lvl w:ilvl="1">
      <w:start w:val="1"/>
      <w:numFmt w:val="lowerLetter"/>
      <w:isLgl w:val="false"/>
      <w:suff w:val="tab"/>
      <w:lvlText w:val="%2."/>
      <w:lvlJc w:val="left"/>
      <w:pPr>
        <w:ind w:left="1472" w:hanging="360"/>
      </w:pPr>
      <w:rPr>
        <w:rFonts w:cs="Times New Roman"/>
      </w:rPr>
    </w:lvl>
    <w:lvl w:ilvl="2">
      <w:start w:val="1"/>
      <w:numFmt w:val="lowerRoman"/>
      <w:isLgl w:val="false"/>
      <w:suff w:val="tab"/>
      <w:lvlText w:val="%3."/>
      <w:lvlJc w:val="right"/>
      <w:pPr>
        <w:ind w:left="2192" w:hanging="180"/>
      </w:pPr>
      <w:rPr>
        <w:rFonts w:cs="Times New Roman"/>
      </w:rPr>
    </w:lvl>
    <w:lvl w:ilvl="3">
      <w:start w:val="1"/>
      <w:numFmt w:val="decimal"/>
      <w:isLgl w:val="false"/>
      <w:suff w:val="tab"/>
      <w:lvlText w:val="%4."/>
      <w:lvlJc w:val="left"/>
      <w:pPr>
        <w:ind w:left="2912" w:hanging="360"/>
      </w:pPr>
      <w:rPr>
        <w:rFonts w:cs="Times New Roman"/>
      </w:rPr>
    </w:lvl>
    <w:lvl w:ilvl="4">
      <w:start w:val="1"/>
      <w:numFmt w:val="lowerLetter"/>
      <w:isLgl w:val="false"/>
      <w:suff w:val="tab"/>
      <w:lvlText w:val="%5."/>
      <w:lvlJc w:val="left"/>
      <w:pPr>
        <w:ind w:left="3632" w:hanging="360"/>
      </w:pPr>
      <w:rPr>
        <w:rFonts w:cs="Times New Roman"/>
      </w:rPr>
    </w:lvl>
    <w:lvl w:ilvl="5">
      <w:start w:val="1"/>
      <w:numFmt w:val="lowerRoman"/>
      <w:isLgl w:val="false"/>
      <w:suff w:val="tab"/>
      <w:lvlText w:val="%6."/>
      <w:lvlJc w:val="right"/>
      <w:pPr>
        <w:ind w:left="4352" w:hanging="180"/>
      </w:pPr>
      <w:rPr>
        <w:rFonts w:cs="Times New Roman"/>
      </w:rPr>
    </w:lvl>
    <w:lvl w:ilvl="6">
      <w:start w:val="1"/>
      <w:numFmt w:val="decimal"/>
      <w:isLgl w:val="false"/>
      <w:suff w:val="tab"/>
      <w:lvlText w:val="%7."/>
      <w:lvlJc w:val="left"/>
      <w:pPr>
        <w:ind w:left="5072" w:hanging="360"/>
      </w:pPr>
      <w:rPr>
        <w:rFonts w:cs="Times New Roman"/>
      </w:rPr>
    </w:lvl>
    <w:lvl w:ilvl="7">
      <w:start w:val="1"/>
      <w:numFmt w:val="lowerLetter"/>
      <w:isLgl w:val="false"/>
      <w:suff w:val="tab"/>
      <w:lvlText w:val="%8."/>
      <w:lvlJc w:val="left"/>
      <w:pPr>
        <w:ind w:left="5792" w:hanging="360"/>
      </w:pPr>
      <w:rPr>
        <w:rFonts w:cs="Times New Roman"/>
      </w:rPr>
    </w:lvl>
    <w:lvl w:ilvl="8">
      <w:start w:val="1"/>
      <w:numFmt w:val="lowerRoman"/>
      <w:isLgl w:val="false"/>
      <w:suff w:val="tab"/>
      <w:lvlText w:val="%9."/>
      <w:lvlJc w:val="right"/>
      <w:pPr>
        <w:ind w:left="6512" w:hanging="180"/>
      </w:pPr>
      <w:rPr>
        <w:rFonts w:cs="Times New Roman"/>
      </w:rPr>
    </w:lvl>
  </w:abstractNum>
  <w:abstractNum w:abstractNumId="2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720" w:hanging="360"/>
      </w:pPr>
      <w:rPr>
        <w:rFonts w:hint="default"/>
        <w:b w:val="0"/>
      </w:rPr>
    </w:lvl>
    <w:lvl w:ilvl="1">
      <w:start w:val="3"/>
      <w:numFmt w:val="decimal"/>
      <w:isLgl/>
      <w:suff w:val="tab"/>
      <w:lvlText w:val="%1.%2."/>
      <w:lvlJc w:val="left"/>
      <w:pPr>
        <w:ind w:left="927" w:hanging="360"/>
      </w:pPr>
      <w:rPr>
        <w:rFonts w:hint="default"/>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1701" w:hanging="72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475" w:hanging="1080"/>
      </w:pPr>
      <w:rPr>
        <w:rFonts w:hint="default"/>
      </w:rPr>
    </w:lvl>
    <w:lvl w:ilvl="6">
      <w:start w:val="1"/>
      <w:numFmt w:val="decimal"/>
      <w:isLgl/>
      <w:suff w:val="tab"/>
      <w:lvlText w:val="%1.%2.%3.%4.%5.%6.%7."/>
      <w:lvlJc w:val="left"/>
      <w:pPr>
        <w:ind w:left="3042" w:hanging="1440"/>
      </w:pPr>
      <w:rPr>
        <w:rFonts w:hint="default"/>
      </w:rPr>
    </w:lvl>
    <w:lvl w:ilvl="7">
      <w:start w:val="1"/>
      <w:numFmt w:val="decimal"/>
      <w:isLgl/>
      <w:suff w:val="tab"/>
      <w:lvlText w:val="%1.%2.%3.%4.%5.%6.%7.%8."/>
      <w:lvlJc w:val="left"/>
      <w:pPr>
        <w:ind w:left="3249" w:hanging="1440"/>
      </w:pPr>
      <w:rPr>
        <w:rFonts w:hint="default"/>
      </w:rPr>
    </w:lvl>
    <w:lvl w:ilvl="8">
      <w:start w:val="1"/>
      <w:numFmt w:val="decimal"/>
      <w:isLgl/>
      <w:suff w:val="tab"/>
      <w:lvlText w:val="%1.%2.%3.%4.%5.%6.%7.%8.%9."/>
      <w:lvlJc w:val="left"/>
      <w:pPr>
        <w:ind w:left="3816" w:hanging="1800"/>
      </w:pPr>
      <w:rPr>
        <w:rFonts w:hint="default"/>
      </w:rPr>
    </w:lvl>
  </w:abstractNum>
  <w:abstractNum w:abstractNumId="25">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6">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8">
    <w:multiLevelType w:val="hybridMultilevel"/>
    <w:lvl w:ilvl="0">
      <w:start w:val="1"/>
      <w:numFmt w:val="decimal"/>
      <w:isLgl w:val="false"/>
      <w:suff w:val="space"/>
      <w:lvlText w:val="%1."/>
      <w:lvlJc w:val="left"/>
      <w:pPr>
        <w:ind w:left="502"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1">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2">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4">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35">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7">
    <w:multiLevelType w:val="hybridMultilevel"/>
    <w:lvl w:ilvl="0">
      <w:start w:val="1"/>
      <w:numFmt w:val="decimal"/>
      <w:isLgl w:val="false"/>
      <w:suff w:val="tab"/>
      <w:lvlText w:val="%1."/>
      <w:lvlJc w:val="left"/>
      <w:pPr>
        <w:ind w:left="720" w:hanging="360"/>
      </w:pPr>
      <w:rPr>
        <w:rFonts w:hint="default"/>
        <w:b w:val="0"/>
      </w:rPr>
    </w:lvl>
    <w:lvl w:ilvl="1">
      <w:start w:val="3"/>
      <w:numFmt w:val="decimal"/>
      <w:isLgl/>
      <w:suff w:val="tab"/>
      <w:lvlText w:val="%1.%2."/>
      <w:lvlJc w:val="left"/>
      <w:pPr>
        <w:ind w:left="927" w:hanging="360"/>
      </w:pPr>
      <w:rPr>
        <w:rFonts w:hint="default"/>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1701" w:hanging="72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475" w:hanging="1080"/>
      </w:pPr>
      <w:rPr>
        <w:rFonts w:hint="default"/>
      </w:rPr>
    </w:lvl>
    <w:lvl w:ilvl="6">
      <w:start w:val="1"/>
      <w:numFmt w:val="decimal"/>
      <w:isLgl/>
      <w:suff w:val="tab"/>
      <w:lvlText w:val="%1.%2.%3.%4.%5.%6.%7."/>
      <w:lvlJc w:val="left"/>
      <w:pPr>
        <w:ind w:left="3042" w:hanging="1440"/>
      </w:pPr>
      <w:rPr>
        <w:rFonts w:hint="default"/>
      </w:rPr>
    </w:lvl>
    <w:lvl w:ilvl="7">
      <w:start w:val="1"/>
      <w:numFmt w:val="decimal"/>
      <w:isLgl/>
      <w:suff w:val="tab"/>
      <w:lvlText w:val="%1.%2.%3.%4.%5.%6.%7.%8."/>
      <w:lvlJc w:val="left"/>
      <w:pPr>
        <w:ind w:left="3249" w:hanging="1440"/>
      </w:pPr>
      <w:rPr>
        <w:rFonts w:hint="default"/>
      </w:rPr>
    </w:lvl>
    <w:lvl w:ilvl="8">
      <w:start w:val="1"/>
      <w:numFmt w:val="decimal"/>
      <w:isLgl/>
      <w:suff w:val="tab"/>
      <w:lvlText w:val="%1.%2.%3.%4.%5.%6.%7.%8.%9."/>
      <w:lvlJc w:val="left"/>
      <w:pPr>
        <w:ind w:left="3816" w:hanging="1800"/>
      </w:pPr>
      <w:rPr>
        <w:rFonts w:hint="default"/>
      </w:rPr>
    </w:lvl>
  </w:abstractNum>
  <w:num w:numId="1">
    <w:abstractNumId w:val="14"/>
  </w:num>
  <w:num w:numId="2">
    <w:abstractNumId w:val="3"/>
  </w:num>
  <w:num w:numId="3">
    <w:abstractNumId w:val="20"/>
  </w:num>
  <w:num w:numId="4">
    <w:abstractNumId w:val="27"/>
  </w:num>
  <w:num w:numId="5">
    <w:abstractNumId w:val="35"/>
  </w:num>
  <w:num w:numId="6">
    <w:abstractNumId w:val="25"/>
  </w:num>
  <w:num w:numId="7">
    <w:abstractNumId w:val="5"/>
  </w:num>
  <w:num w:numId="8">
    <w:abstractNumId w:val="12"/>
  </w:num>
  <w:num w:numId="9">
    <w:abstractNumId w:val="6"/>
  </w:num>
  <w:num w:numId="10">
    <w:abstractNumId w:val="18"/>
  </w:num>
  <w:num w:numId="11">
    <w:abstractNumId w:val="11"/>
  </w:num>
  <w:num w:numId="12">
    <w:abstractNumId w:val="36"/>
  </w:num>
  <w:num w:numId="13">
    <w:abstractNumId w:val="13"/>
  </w:num>
  <w:num w:numId="14">
    <w:abstractNumId w:val="22"/>
  </w:num>
  <w:num w:numId="15">
    <w:abstractNumId w:val="15"/>
  </w:num>
  <w:num w:numId="16">
    <w:abstractNumId w:val="32"/>
  </w:num>
  <w:num w:numId="17">
    <w:abstractNumId w:val="17"/>
  </w:num>
  <w:num w:numId="18">
    <w:abstractNumId w:val="31"/>
  </w:num>
  <w:num w:numId="19">
    <w:abstractNumId w:val="29"/>
  </w:num>
  <w:num w:numId="20">
    <w:abstractNumId w:val="8"/>
  </w:num>
  <w:num w:numId="21">
    <w:abstractNumId w:val="7"/>
  </w:num>
  <w:num w:numId="22">
    <w:abstractNumId w:val="4"/>
  </w:num>
  <w:num w:numId="23">
    <w:abstractNumId w:val="1"/>
    <w:lvlOverride w:ilvl="0">
      <w:startOverride w:val="1"/>
    </w:lvlOverride>
  </w:num>
  <w:num w:numId="24">
    <w:abstractNumId w:val="33"/>
  </w:num>
  <w:num w:numId="25">
    <w:abstractNumId w:val="16"/>
  </w:num>
  <w:num w:numId="26">
    <w:abstractNumId w:val="9"/>
  </w:num>
  <w:num w:numId="27">
    <w:abstractNumId w:val="0"/>
  </w:num>
  <w:num w:numId="28">
    <w:abstractNumId w:val="2"/>
  </w:num>
  <w:num w:numId="29">
    <w:abstractNumId w:val="34"/>
  </w:num>
  <w:num w:numId="30">
    <w:abstractNumId w:val="19"/>
  </w:num>
  <w:num w:numId="31">
    <w:abstractNumId w:val="21"/>
  </w:num>
  <w:num w:numId="32">
    <w:abstractNumId w:val="23"/>
  </w:num>
  <w:num w:numId="33">
    <w:abstractNumId w:val="10"/>
  </w:num>
  <w:num w:numId="34">
    <w:abstractNumId w:val="30"/>
  </w:num>
  <w:num w:numId="35">
    <w:abstractNumId w:val="26"/>
  </w:num>
  <w:num w:numId="36">
    <w:abstractNumId w:val="24"/>
  </w:num>
  <w:num w:numId="37">
    <w:abstractNumId w:val="28"/>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902"/>
    <w:link w:val="900"/>
    <w:uiPriority w:val="9"/>
    <w:rPr>
      <w:rFonts w:ascii="Arial" w:hAnsi="Arial" w:eastAsia="Arial" w:cs="Arial"/>
      <w:sz w:val="40"/>
      <w:szCs w:val="40"/>
    </w:rPr>
  </w:style>
  <w:style w:type="character" w:styleId="731">
    <w:name w:val="Heading 2 Char"/>
    <w:basedOn w:val="902"/>
    <w:link w:val="901"/>
    <w:uiPriority w:val="9"/>
    <w:rPr>
      <w:rFonts w:ascii="Arial" w:hAnsi="Arial" w:eastAsia="Arial" w:cs="Arial"/>
      <w:sz w:val="34"/>
    </w:rPr>
  </w:style>
  <w:style w:type="paragraph" w:styleId="732">
    <w:name w:val="Heading 3"/>
    <w:basedOn w:val="899"/>
    <w:next w:val="899"/>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basedOn w:val="902"/>
    <w:link w:val="732"/>
    <w:uiPriority w:val="9"/>
    <w:rPr>
      <w:rFonts w:ascii="Arial" w:hAnsi="Arial" w:eastAsia="Arial" w:cs="Arial"/>
      <w:sz w:val="30"/>
      <w:szCs w:val="30"/>
    </w:rPr>
  </w:style>
  <w:style w:type="paragraph" w:styleId="734">
    <w:name w:val="Heading 4"/>
    <w:basedOn w:val="899"/>
    <w:next w:val="899"/>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basedOn w:val="902"/>
    <w:link w:val="734"/>
    <w:uiPriority w:val="9"/>
    <w:rPr>
      <w:rFonts w:ascii="Arial" w:hAnsi="Arial" w:eastAsia="Arial" w:cs="Arial"/>
      <w:b/>
      <w:bCs/>
      <w:sz w:val="26"/>
      <w:szCs w:val="26"/>
    </w:rPr>
  </w:style>
  <w:style w:type="paragraph" w:styleId="736">
    <w:name w:val="Heading 5"/>
    <w:basedOn w:val="899"/>
    <w:next w:val="899"/>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902"/>
    <w:link w:val="736"/>
    <w:uiPriority w:val="9"/>
    <w:rPr>
      <w:rFonts w:ascii="Arial" w:hAnsi="Arial" w:eastAsia="Arial" w:cs="Arial"/>
      <w:b/>
      <w:bCs/>
      <w:sz w:val="24"/>
      <w:szCs w:val="24"/>
    </w:rPr>
  </w:style>
  <w:style w:type="paragraph" w:styleId="738">
    <w:name w:val="Heading 6"/>
    <w:basedOn w:val="899"/>
    <w:next w:val="899"/>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902"/>
    <w:link w:val="738"/>
    <w:uiPriority w:val="9"/>
    <w:rPr>
      <w:rFonts w:ascii="Arial" w:hAnsi="Arial" w:eastAsia="Arial" w:cs="Arial"/>
      <w:b/>
      <w:bCs/>
      <w:sz w:val="22"/>
      <w:szCs w:val="22"/>
    </w:rPr>
  </w:style>
  <w:style w:type="paragraph" w:styleId="740">
    <w:name w:val="Heading 7"/>
    <w:basedOn w:val="899"/>
    <w:next w:val="899"/>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basedOn w:val="902"/>
    <w:link w:val="740"/>
    <w:uiPriority w:val="9"/>
    <w:rPr>
      <w:rFonts w:ascii="Arial" w:hAnsi="Arial" w:eastAsia="Arial" w:cs="Arial"/>
      <w:b/>
      <w:bCs/>
      <w:i/>
      <w:iCs/>
      <w:sz w:val="22"/>
      <w:szCs w:val="22"/>
    </w:rPr>
  </w:style>
  <w:style w:type="paragraph" w:styleId="742">
    <w:name w:val="Heading 8"/>
    <w:basedOn w:val="899"/>
    <w:next w:val="899"/>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basedOn w:val="902"/>
    <w:link w:val="742"/>
    <w:uiPriority w:val="9"/>
    <w:rPr>
      <w:rFonts w:ascii="Arial" w:hAnsi="Arial" w:eastAsia="Arial" w:cs="Arial"/>
      <w:i/>
      <w:iCs/>
      <w:sz w:val="22"/>
      <w:szCs w:val="22"/>
    </w:rPr>
  </w:style>
  <w:style w:type="paragraph" w:styleId="744">
    <w:name w:val="Heading 9"/>
    <w:basedOn w:val="899"/>
    <w:next w:val="899"/>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902"/>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899"/>
    <w:next w:val="899"/>
    <w:link w:val="748"/>
    <w:uiPriority w:val="10"/>
    <w:qFormat/>
    <w:pPr>
      <w:contextualSpacing/>
      <w:spacing w:before="300" w:after="200"/>
    </w:pPr>
    <w:rPr>
      <w:sz w:val="48"/>
      <w:szCs w:val="48"/>
    </w:rPr>
  </w:style>
  <w:style w:type="character" w:styleId="748">
    <w:name w:val="Title Char"/>
    <w:basedOn w:val="902"/>
    <w:link w:val="747"/>
    <w:uiPriority w:val="10"/>
    <w:rPr>
      <w:sz w:val="48"/>
      <w:szCs w:val="48"/>
    </w:rPr>
  </w:style>
  <w:style w:type="paragraph" w:styleId="749">
    <w:name w:val="Subtitle"/>
    <w:basedOn w:val="899"/>
    <w:next w:val="899"/>
    <w:link w:val="750"/>
    <w:uiPriority w:val="11"/>
    <w:qFormat/>
    <w:pPr>
      <w:spacing w:before="200" w:after="200"/>
    </w:pPr>
    <w:rPr>
      <w:sz w:val="24"/>
      <w:szCs w:val="24"/>
    </w:rPr>
  </w:style>
  <w:style w:type="character" w:styleId="750">
    <w:name w:val="Subtitle Char"/>
    <w:basedOn w:val="902"/>
    <w:link w:val="749"/>
    <w:uiPriority w:val="11"/>
    <w:rPr>
      <w:sz w:val="24"/>
      <w:szCs w:val="24"/>
    </w:rPr>
  </w:style>
  <w:style w:type="paragraph" w:styleId="751">
    <w:name w:val="Quote"/>
    <w:basedOn w:val="899"/>
    <w:next w:val="899"/>
    <w:link w:val="752"/>
    <w:uiPriority w:val="29"/>
    <w:qFormat/>
    <w:pPr>
      <w:ind w:left="720" w:right="720"/>
    </w:pPr>
    <w:rPr>
      <w:i/>
    </w:rPr>
  </w:style>
  <w:style w:type="character" w:styleId="752">
    <w:name w:val="Quote Char"/>
    <w:link w:val="751"/>
    <w:uiPriority w:val="29"/>
    <w:rPr>
      <w:i/>
    </w:rPr>
  </w:style>
  <w:style w:type="paragraph" w:styleId="753">
    <w:name w:val="Intense Quote"/>
    <w:basedOn w:val="899"/>
    <w:next w:val="899"/>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902"/>
    <w:link w:val="924"/>
    <w:uiPriority w:val="99"/>
  </w:style>
  <w:style w:type="character" w:styleId="756">
    <w:name w:val="Footer Char"/>
    <w:basedOn w:val="902"/>
    <w:link w:val="922"/>
    <w:uiPriority w:val="99"/>
  </w:style>
  <w:style w:type="paragraph" w:styleId="757">
    <w:name w:val="Caption"/>
    <w:basedOn w:val="899"/>
    <w:next w:val="899"/>
    <w:uiPriority w:val="35"/>
    <w:semiHidden/>
    <w:unhideWhenUsed/>
    <w:qFormat/>
    <w:pPr>
      <w:spacing w:line="276" w:lineRule="auto"/>
    </w:pPr>
    <w:rPr>
      <w:b/>
      <w:bCs/>
      <w:color w:val="4f81bd" w:themeColor="accent1"/>
      <w:sz w:val="18"/>
      <w:szCs w:val="18"/>
    </w:rPr>
  </w:style>
  <w:style w:type="character" w:styleId="758">
    <w:name w:val="Caption Char"/>
    <w:basedOn w:val="757"/>
    <w:link w:val="922"/>
    <w:uiPriority w:val="99"/>
  </w:style>
  <w:style w:type="table" w:styleId="759">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Footnote Text Char"/>
    <w:link w:val="935"/>
    <w:uiPriority w:val="99"/>
    <w:rPr>
      <w:sz w:val="18"/>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902"/>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ind w:firstLine="709"/>
      <w:jc w:val="both"/>
      <w:spacing w:after="0" w:line="240" w:lineRule="auto"/>
    </w:pPr>
    <w:rPr>
      <w:rFonts w:ascii="Times New Roman" w:hAnsi="Times New Roman" w:eastAsia="Times New Roman" w:cs="Times New Roman"/>
      <w:sz w:val="24"/>
      <w:szCs w:val="24"/>
    </w:rPr>
  </w:style>
  <w:style w:type="paragraph" w:styleId="900">
    <w:name w:val="Heading 1"/>
    <w:basedOn w:val="899"/>
    <w:link w:val="905"/>
    <w:qFormat/>
    <w:pPr>
      <w:spacing w:before="100" w:beforeAutospacing="1" w:after="100" w:afterAutospacing="1"/>
      <w:outlineLvl w:val="0"/>
    </w:pPr>
    <w:rPr>
      <w:b/>
      <w:bCs/>
      <w:sz w:val="48"/>
      <w:szCs w:val="48"/>
      <w:lang w:eastAsia="ru-RU"/>
    </w:rPr>
  </w:style>
  <w:style w:type="paragraph" w:styleId="901">
    <w:name w:val="Heading 2"/>
    <w:basedOn w:val="899"/>
    <w:next w:val="899"/>
    <w:link w:val="906"/>
    <w:unhideWhenUsed/>
    <w:qFormat/>
    <w:pPr>
      <w:keepLines/>
      <w:keepNext/>
      <w:spacing w:before="200"/>
      <w:outlineLvl w:val="1"/>
    </w:pPr>
    <w:rPr>
      <w:rFonts w:asciiTheme="majorHAnsi" w:hAnsiTheme="majorHAnsi" w:eastAsiaTheme="majorEastAsia" w:cstheme="majorBidi"/>
      <w:b/>
      <w:bCs/>
      <w:color w:val="4f81bd" w:themeColor="accent1"/>
      <w:sz w:val="26"/>
      <w:szCs w:val="26"/>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character" w:styleId="905" w:customStyle="1">
    <w:name w:val="Заголовок 1 Знак"/>
    <w:basedOn w:val="902"/>
    <w:link w:val="900"/>
    <w:rPr>
      <w:rFonts w:ascii="Times New Roman" w:hAnsi="Times New Roman" w:eastAsia="Times New Roman" w:cs="Times New Roman"/>
      <w:b/>
      <w:bCs/>
      <w:sz w:val="48"/>
      <w:szCs w:val="48"/>
      <w:lang w:eastAsia="ru-RU"/>
    </w:rPr>
  </w:style>
  <w:style w:type="character" w:styleId="906" w:customStyle="1">
    <w:name w:val="Заголовок 2 Знак"/>
    <w:basedOn w:val="902"/>
    <w:link w:val="901"/>
    <w:rPr>
      <w:rFonts w:asciiTheme="majorHAnsi" w:hAnsiTheme="majorHAnsi" w:eastAsiaTheme="majorEastAsia" w:cstheme="majorBidi"/>
      <w:b/>
      <w:bCs/>
      <w:color w:val="4f81bd" w:themeColor="accent1"/>
      <w:sz w:val="26"/>
      <w:szCs w:val="26"/>
    </w:rPr>
  </w:style>
  <w:style w:type="paragraph" w:styleId="907" w:customStyle="1">
    <w:name w:val="ConsPlusNormal"/>
    <w:pPr>
      <w:spacing w:after="0" w:line="240" w:lineRule="auto"/>
    </w:pPr>
    <w:rPr>
      <w:rFonts w:ascii="Times New Roman" w:hAnsi="Times New Roman" w:cs="Times New Roman"/>
      <w:b/>
      <w:bCs/>
    </w:rPr>
  </w:style>
  <w:style w:type="character" w:styleId="908">
    <w:name w:val="Hyperlink"/>
    <w:basedOn w:val="902"/>
    <w:uiPriority w:val="99"/>
    <w:unhideWhenUsed/>
    <w:rPr>
      <w:color w:val="0000ff"/>
      <w:u w:val="single"/>
    </w:rPr>
  </w:style>
  <w:style w:type="paragraph" w:styleId="909">
    <w:name w:val="Balloon Text"/>
    <w:basedOn w:val="899"/>
    <w:link w:val="910"/>
    <w:unhideWhenUsed/>
    <w:rPr>
      <w:rFonts w:ascii="Tahoma" w:hAnsi="Tahoma" w:cs="Tahoma"/>
      <w:sz w:val="16"/>
      <w:szCs w:val="16"/>
    </w:rPr>
  </w:style>
  <w:style w:type="character" w:styleId="910" w:customStyle="1">
    <w:name w:val="Текст выноски Знак"/>
    <w:basedOn w:val="902"/>
    <w:link w:val="909"/>
    <w:rPr>
      <w:rFonts w:ascii="Tahoma" w:hAnsi="Tahoma" w:eastAsia="Times New Roman" w:cs="Tahoma"/>
      <w:sz w:val="16"/>
      <w:szCs w:val="16"/>
    </w:rPr>
  </w:style>
  <w:style w:type="paragraph" w:styleId="911">
    <w:name w:val="Body Text Indent 2"/>
    <w:basedOn w:val="899"/>
    <w:link w:val="912"/>
    <w:semiHidden/>
    <w:rPr>
      <w:bCs/>
      <w:sz w:val="26"/>
      <w:szCs w:val="26"/>
      <w:lang w:eastAsia="ru-RU"/>
    </w:rPr>
  </w:style>
  <w:style w:type="character" w:styleId="912" w:customStyle="1">
    <w:name w:val="Основной текст с отступом 2 Знак"/>
    <w:basedOn w:val="902"/>
    <w:link w:val="911"/>
    <w:semiHidden/>
    <w:rPr>
      <w:rFonts w:ascii="Times New Roman" w:hAnsi="Times New Roman" w:eastAsia="Times New Roman" w:cs="Times New Roman"/>
      <w:bCs/>
      <w:sz w:val="26"/>
      <w:szCs w:val="26"/>
      <w:lang w:eastAsia="ru-RU"/>
    </w:rPr>
  </w:style>
  <w:style w:type="paragraph" w:styleId="913">
    <w:name w:val="Body Text Indent 3"/>
    <w:basedOn w:val="899"/>
    <w:link w:val="914"/>
    <w:pPr>
      <w:ind w:firstLine="567"/>
      <w:widowControl w:val="off"/>
    </w:pPr>
    <w:rPr>
      <w:rFonts w:eastAsia="Lucida Sans Unicode"/>
      <w:color w:val="ff0000"/>
    </w:rPr>
  </w:style>
  <w:style w:type="character" w:styleId="914" w:customStyle="1">
    <w:name w:val="Основной текст с отступом 3 Знак"/>
    <w:basedOn w:val="902"/>
    <w:link w:val="913"/>
    <w:rPr>
      <w:rFonts w:ascii="Times New Roman" w:hAnsi="Times New Roman" w:eastAsia="Lucida Sans Unicode" w:cs="Times New Roman"/>
      <w:color w:val="ff0000"/>
      <w:sz w:val="24"/>
      <w:szCs w:val="24"/>
    </w:rPr>
  </w:style>
  <w:style w:type="paragraph" w:styleId="915">
    <w:name w:val="Body Text"/>
    <w:basedOn w:val="899"/>
    <w:link w:val="916"/>
    <w:unhideWhenUsed/>
    <w:pPr>
      <w:spacing w:after="120"/>
    </w:pPr>
  </w:style>
  <w:style w:type="character" w:styleId="916" w:customStyle="1">
    <w:name w:val="Основной текст Знак"/>
    <w:basedOn w:val="902"/>
    <w:link w:val="915"/>
    <w:rPr>
      <w:rFonts w:ascii="Times New Roman" w:hAnsi="Times New Roman" w:eastAsia="Times New Roman" w:cs="Times New Roman"/>
      <w:sz w:val="24"/>
      <w:szCs w:val="24"/>
    </w:rPr>
  </w:style>
  <w:style w:type="paragraph" w:styleId="917" w:customStyle="1">
    <w:name w:val="Стиль Заголовок 2 + Times New Roman По ширине"/>
    <w:basedOn w:val="901"/>
    <w:pPr>
      <w:ind w:firstLine="0"/>
      <w:keepLines w:val="0"/>
      <w:spacing w:before="240" w:after="240"/>
    </w:pPr>
    <w:rPr>
      <w:rFonts w:ascii="Times New Roman" w:hAnsi="Times New Roman" w:eastAsia="Calibri" w:cs="Times New Roman"/>
      <w:i/>
      <w:iCs/>
      <w:color w:val="auto"/>
      <w:sz w:val="28"/>
      <w:szCs w:val="28"/>
      <w:lang w:eastAsia="ru-RU"/>
    </w:rPr>
  </w:style>
  <w:style w:type="paragraph" w:styleId="918" w:customStyle="1">
    <w:name w:val="Знак Знак2 Знак Знак"/>
    <w:basedOn w:val="899"/>
    <w:pPr>
      <w:ind w:firstLine="0"/>
      <w:jc w:val="left"/>
      <w:spacing w:after="160" w:line="240" w:lineRule="exact"/>
    </w:pPr>
    <w:rPr>
      <w:rFonts w:ascii="Verdana" w:hAnsi="Verdana" w:cs="Verdana"/>
      <w:sz w:val="20"/>
      <w:szCs w:val="20"/>
      <w:lang w:val="en-US"/>
    </w:rPr>
  </w:style>
  <w:style w:type="paragraph" w:styleId="919">
    <w:name w:val="Body Text Indent"/>
    <w:basedOn w:val="899"/>
    <w:link w:val="920"/>
    <w:rPr>
      <w:sz w:val="28"/>
      <w:szCs w:val="20"/>
      <w:lang w:eastAsia="ru-RU"/>
    </w:rPr>
  </w:style>
  <w:style w:type="character" w:styleId="920" w:customStyle="1">
    <w:name w:val="Основной текст с отступом Знак"/>
    <w:basedOn w:val="902"/>
    <w:link w:val="919"/>
    <w:rPr>
      <w:rFonts w:ascii="Times New Roman" w:hAnsi="Times New Roman" w:eastAsia="Times New Roman" w:cs="Times New Roman"/>
      <w:sz w:val="28"/>
      <w:szCs w:val="20"/>
      <w:lang w:eastAsia="ru-RU"/>
    </w:rPr>
  </w:style>
  <w:style w:type="paragraph" w:styleId="921" w:customStyle="1">
    <w:name w:val="Postan"/>
    <w:basedOn w:val="899"/>
    <w:pPr>
      <w:ind w:firstLine="0"/>
      <w:jc w:val="center"/>
    </w:pPr>
    <w:rPr>
      <w:sz w:val="28"/>
      <w:szCs w:val="20"/>
      <w:lang w:eastAsia="ru-RU"/>
    </w:rPr>
  </w:style>
  <w:style w:type="paragraph" w:styleId="922">
    <w:name w:val="Footer"/>
    <w:basedOn w:val="899"/>
    <w:link w:val="923"/>
    <w:pPr>
      <w:ind w:firstLine="0"/>
      <w:jc w:val="left"/>
      <w:tabs>
        <w:tab w:val="center" w:pos="4153" w:leader="none"/>
        <w:tab w:val="right" w:pos="8306" w:leader="none"/>
      </w:tabs>
    </w:pPr>
    <w:rPr>
      <w:sz w:val="20"/>
      <w:szCs w:val="20"/>
      <w:lang w:eastAsia="ru-RU"/>
    </w:rPr>
  </w:style>
  <w:style w:type="character" w:styleId="923" w:customStyle="1">
    <w:name w:val="Нижний колонтитул Знак"/>
    <w:basedOn w:val="902"/>
    <w:link w:val="922"/>
    <w:rPr>
      <w:rFonts w:ascii="Times New Roman" w:hAnsi="Times New Roman" w:eastAsia="Times New Roman" w:cs="Times New Roman"/>
      <w:sz w:val="20"/>
      <w:szCs w:val="20"/>
      <w:lang w:eastAsia="ru-RU"/>
    </w:rPr>
  </w:style>
  <w:style w:type="paragraph" w:styleId="924">
    <w:name w:val="Header"/>
    <w:basedOn w:val="899"/>
    <w:link w:val="925"/>
    <w:pPr>
      <w:ind w:firstLine="0"/>
      <w:jc w:val="left"/>
      <w:tabs>
        <w:tab w:val="center" w:pos="4153" w:leader="none"/>
        <w:tab w:val="right" w:pos="8306" w:leader="none"/>
      </w:tabs>
    </w:pPr>
    <w:rPr>
      <w:sz w:val="20"/>
      <w:szCs w:val="20"/>
      <w:lang w:eastAsia="ru-RU"/>
    </w:rPr>
  </w:style>
  <w:style w:type="character" w:styleId="925" w:customStyle="1">
    <w:name w:val="Верхний колонтитул Знак"/>
    <w:basedOn w:val="902"/>
    <w:link w:val="924"/>
    <w:rPr>
      <w:rFonts w:ascii="Times New Roman" w:hAnsi="Times New Roman" w:eastAsia="Times New Roman" w:cs="Times New Roman"/>
      <w:sz w:val="20"/>
      <w:szCs w:val="20"/>
      <w:lang w:eastAsia="ru-RU"/>
    </w:rPr>
  </w:style>
  <w:style w:type="character" w:styleId="926">
    <w:name w:val="page number"/>
    <w:basedOn w:val="902"/>
  </w:style>
  <w:style w:type="paragraph" w:styleId="927">
    <w:name w:val="List Paragraph"/>
    <w:basedOn w:val="899"/>
    <w:uiPriority w:val="34"/>
    <w:qFormat/>
    <w:pPr>
      <w:contextualSpacing/>
      <w:ind w:left="720"/>
      <w:jc w:val="left"/>
    </w:pPr>
    <w:rPr>
      <w:sz w:val="28"/>
      <w:szCs w:val="28"/>
    </w:rPr>
  </w:style>
  <w:style w:type="character" w:styleId="928" w:customStyle="1">
    <w:name w:val="Font Style12"/>
    <w:rPr>
      <w:rFonts w:ascii="Times New Roman" w:hAnsi="Times New Roman" w:cs="Times New Roman"/>
      <w:sz w:val="14"/>
      <w:szCs w:val="14"/>
    </w:rPr>
  </w:style>
  <w:style w:type="paragraph" w:styleId="929" w:customStyle="1">
    <w:name w:val="Без интервала1"/>
    <w:pPr>
      <w:spacing w:after="0" w:line="240" w:lineRule="auto"/>
    </w:pPr>
    <w:rPr>
      <w:rFonts w:ascii="Calibri" w:hAnsi="Calibri" w:eastAsia="Calibri" w:cs="Times New Roman"/>
    </w:rPr>
  </w:style>
  <w:style w:type="paragraph" w:styleId="930" w:customStyle="1">
    <w:name w:val="ConsPlusCell"/>
    <w:pPr>
      <w:spacing w:after="0" w:line="240" w:lineRule="auto"/>
    </w:pPr>
    <w:rPr>
      <w:rFonts w:ascii="Arial" w:hAnsi="Arial" w:eastAsia="Times New Roman" w:cs="Arial"/>
      <w:sz w:val="20"/>
      <w:szCs w:val="20"/>
      <w:lang w:eastAsia="ru-RU"/>
    </w:rPr>
  </w:style>
  <w:style w:type="paragraph" w:styleId="931" w:customStyle="1">
    <w:name w:val="Абзац списка1"/>
    <w:basedOn w:val="899"/>
    <w:pPr>
      <w:ind w:left="708" w:firstLine="0"/>
      <w:jc w:val="left"/>
    </w:pPr>
    <w:rPr>
      <w:rFonts w:eastAsia="Calibri"/>
      <w:lang w:eastAsia="ru-RU"/>
    </w:rPr>
  </w:style>
  <w:style w:type="paragraph" w:styleId="93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9"/>
    <w:pPr>
      <w:ind w:firstLine="0"/>
      <w:jc w:val="right"/>
      <w:spacing w:after="160" w:line="240" w:lineRule="exact"/>
      <w:widowControl w:val="off"/>
    </w:pPr>
    <w:rPr>
      <w:sz w:val="20"/>
      <w:szCs w:val="20"/>
      <w:lang w:val="en-GB"/>
    </w:rPr>
  </w:style>
  <w:style w:type="paragraph" w:styleId="933">
    <w:name w:val="HTML Preformatted"/>
    <w:basedOn w:val="899"/>
    <w:link w:val="934"/>
    <w:pPr>
      <w:ind w:firstLine="0"/>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eastAsia="ru-RU"/>
    </w:rPr>
  </w:style>
  <w:style w:type="character" w:styleId="934" w:customStyle="1">
    <w:name w:val="Стандартный HTML Знак"/>
    <w:basedOn w:val="902"/>
    <w:link w:val="933"/>
    <w:rPr>
      <w:rFonts w:ascii="Courier New" w:hAnsi="Courier New" w:eastAsia="Times New Roman" w:cs="Courier New"/>
      <w:sz w:val="20"/>
      <w:szCs w:val="20"/>
      <w:lang w:eastAsia="ru-RU"/>
    </w:rPr>
  </w:style>
  <w:style w:type="paragraph" w:styleId="935">
    <w:name w:val="footnote text"/>
    <w:basedOn w:val="899"/>
    <w:link w:val="936"/>
    <w:pPr>
      <w:ind w:firstLine="0"/>
      <w:jc w:val="left"/>
    </w:pPr>
    <w:rPr>
      <w:sz w:val="20"/>
      <w:szCs w:val="20"/>
      <w:lang w:eastAsia="ru-RU"/>
    </w:rPr>
  </w:style>
  <w:style w:type="character" w:styleId="936" w:customStyle="1">
    <w:name w:val="Текст сноски Знак"/>
    <w:basedOn w:val="902"/>
    <w:link w:val="935"/>
    <w:rPr>
      <w:rFonts w:ascii="Times New Roman" w:hAnsi="Times New Roman" w:eastAsia="Times New Roman" w:cs="Times New Roman"/>
      <w:sz w:val="20"/>
      <w:szCs w:val="20"/>
      <w:lang w:eastAsia="ru-RU"/>
    </w:rPr>
  </w:style>
  <w:style w:type="paragraph" w:styleId="937" w:customStyle="1">
    <w:name w:val="Знак Знак Знак Знак Знак Знак Знак"/>
    <w:basedOn w:val="899"/>
    <w:pPr>
      <w:ind w:firstLine="0"/>
      <w:spacing w:before="100" w:beforeAutospacing="1" w:after="100" w:afterAutospacing="1"/>
    </w:pPr>
    <w:rPr>
      <w:rFonts w:ascii="Tahoma" w:hAnsi="Tahoma"/>
      <w:sz w:val="20"/>
      <w:szCs w:val="20"/>
      <w:lang w:val="en-US"/>
    </w:rPr>
  </w:style>
  <w:style w:type="paragraph" w:styleId="938" w:customStyle="1">
    <w:name w:val="ConsPlusNonformat"/>
    <w:pPr>
      <w:spacing w:after="0" w:line="240" w:lineRule="auto"/>
      <w:widowControl w:val="off"/>
    </w:pPr>
    <w:rPr>
      <w:rFonts w:ascii="Courier New" w:hAnsi="Courier New" w:eastAsia="Times New Roman" w:cs="Courier New"/>
      <w:sz w:val="20"/>
      <w:szCs w:val="20"/>
      <w:lang w:eastAsia="ru-RU"/>
    </w:rPr>
  </w:style>
  <w:style w:type="paragraph" w:styleId="939" w:customStyle="1">
    <w:name w:val="HeadDoc"/>
    <w:pPr>
      <w:jc w:val="both"/>
      <w:keepLines/>
      <w:spacing w:after="0" w:line="240" w:lineRule="auto"/>
    </w:pPr>
    <w:rPr>
      <w:rFonts w:ascii="Times New Roman" w:hAnsi="Times New Roman" w:eastAsia="Times New Roman" w:cs="Times New Roman"/>
      <w:sz w:val="28"/>
      <w:szCs w:val="28"/>
      <w:lang w:eastAsia="ru-RU"/>
    </w:rPr>
  </w:style>
  <w:style w:type="character" w:styleId="940">
    <w:name w:val="footnote reference"/>
    <w:uiPriority w:val="99"/>
    <w:rPr>
      <w:vertAlign w:val="superscript"/>
    </w:rPr>
  </w:style>
  <w:style w:type="character" w:styleId="941" w:customStyle="1">
    <w:name w:val="Основной текст + Times New Roman"/>
    <w:rPr>
      <w:rFonts w:hint="default" w:ascii="Times New Roman" w:hAnsi="Times New Roman" w:eastAsia="Times New Roman" w:cs="Times New Roman"/>
      <w:b w:val="0"/>
      <w:bCs w:val="0"/>
      <w:i w:val="0"/>
      <w:iCs w:val="0"/>
      <w:smallCaps w:val="0"/>
      <w:strike w:val="0"/>
      <w:spacing w:val="0"/>
      <w:sz w:val="24"/>
      <w:szCs w:val="24"/>
      <w:u w:val="none"/>
    </w:rPr>
  </w:style>
  <w:style w:type="paragraph" w:styleId="942">
    <w:name w:val="Body Text 2"/>
    <w:basedOn w:val="899"/>
    <w:link w:val="943"/>
    <w:uiPriority w:val="99"/>
    <w:unhideWhenUsed/>
    <w:pPr>
      <w:ind w:firstLine="0"/>
      <w:jc w:val="left"/>
      <w:spacing w:after="120" w:line="480" w:lineRule="auto"/>
    </w:pPr>
    <w:rPr>
      <w:rFonts w:ascii="Calibri" w:hAnsi="Calibri" w:eastAsia="Calibri"/>
      <w:sz w:val="22"/>
      <w:szCs w:val="22"/>
    </w:rPr>
  </w:style>
  <w:style w:type="character" w:styleId="943" w:customStyle="1">
    <w:name w:val="Основной текст 2 Знак"/>
    <w:basedOn w:val="902"/>
    <w:link w:val="942"/>
    <w:uiPriority w:val="99"/>
    <w:rPr>
      <w:rFonts w:ascii="Calibri" w:hAnsi="Calibri" w:eastAsia="Calibri" w:cs="Times New Roman"/>
    </w:rPr>
  </w:style>
  <w:style w:type="paragraph" w:styleId="944" w:customStyle="1">
    <w:name w:val="Без интервала2"/>
    <w:pPr>
      <w:spacing w:after="0" w:line="240" w:lineRule="auto"/>
    </w:pPr>
    <w:rPr>
      <w:rFonts w:ascii="Calibri" w:hAnsi="Calibri" w:eastAsia="Calibri" w:cs="Times New Roman"/>
    </w:rPr>
  </w:style>
  <w:style w:type="paragraph" w:styleId="945" w:customStyle="1">
    <w:name w:val="Абзац списка2"/>
    <w:basedOn w:val="899"/>
    <w:pPr>
      <w:ind w:left="708" w:firstLine="0"/>
      <w:jc w:val="left"/>
    </w:pPr>
    <w:rPr>
      <w:rFonts w:eastAsia="Calibri"/>
      <w:lang w:eastAsia="ru-RU"/>
    </w:rPr>
  </w:style>
  <w:style w:type="paragraph" w:styleId="946" w:customStyle="1">
    <w:name w:val="Знак Знак7"/>
    <w:basedOn w:val="899"/>
    <w:pPr>
      <w:ind w:firstLine="0"/>
      <w:jc w:val="left"/>
      <w:spacing w:after="160" w:line="240" w:lineRule="exact"/>
    </w:pPr>
    <w:rPr>
      <w:rFonts w:ascii="Verdana" w:hAnsi="Verdana" w:cs="Verdana"/>
      <w:sz w:val="20"/>
      <w:szCs w:val="20"/>
      <w:lang w:val="en-US"/>
    </w:rPr>
  </w:style>
  <w:style w:type="paragraph" w:styleId="947"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948">
    <w:name w:val="Body Text 3"/>
    <w:basedOn w:val="899"/>
    <w:link w:val="949"/>
    <w:uiPriority w:val="99"/>
    <w:pPr>
      <w:ind w:firstLine="0"/>
      <w:jc w:val="left"/>
      <w:spacing w:after="120"/>
    </w:pPr>
    <w:rPr>
      <w:sz w:val="16"/>
      <w:szCs w:val="16"/>
      <w:lang w:eastAsia="ru-RU"/>
    </w:rPr>
  </w:style>
  <w:style w:type="character" w:styleId="949" w:customStyle="1">
    <w:name w:val="Основной текст 3 Знак"/>
    <w:basedOn w:val="902"/>
    <w:link w:val="948"/>
    <w:uiPriority w:val="99"/>
    <w:rPr>
      <w:rFonts w:ascii="Times New Roman" w:hAnsi="Times New Roman" w:eastAsia="Times New Roman" w:cs="Times New Roman"/>
      <w:sz w:val="16"/>
      <w:szCs w:val="16"/>
      <w:lang w:eastAsia="ru-RU"/>
    </w:rPr>
  </w:style>
  <w:style w:type="paragraph" w:styleId="950">
    <w:name w:val="Normal (Web)"/>
    <w:basedOn w:val="899"/>
    <w:pPr>
      <w:ind w:firstLine="0"/>
      <w:jc w:val="left"/>
      <w:spacing w:before="100" w:beforeAutospacing="1" w:after="100" w:afterAutospacing="1"/>
    </w:pPr>
    <w:rPr>
      <w:color w:val="000000"/>
      <w:lang w:eastAsia="ru-RU"/>
    </w:rPr>
  </w:style>
  <w:style w:type="paragraph" w:styleId="951" w:customStyle="1">
    <w:name w:val="Знак Знак1"/>
    <w:basedOn w:val="899"/>
    <w:pPr>
      <w:ind w:firstLine="0"/>
      <w:jc w:val="left"/>
      <w:spacing w:after="160" w:line="240" w:lineRule="exact"/>
    </w:pPr>
    <w:rPr>
      <w:rFonts w:ascii="Verdana" w:hAnsi="Verdana" w:cs="Verdana"/>
      <w:sz w:val="20"/>
      <w:szCs w:val="20"/>
      <w:lang w:val="en-US"/>
    </w:rPr>
  </w:style>
  <w:style w:type="table" w:styleId="952">
    <w:name w:val="Table Grid"/>
    <w:basedOn w:val="903"/>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5F64B-856A-43EB-A0D2-4F4ED899D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Сосина Татьяна Михайловна</dc:creator>
  <cp:revision>10</cp:revision>
  <dcterms:created xsi:type="dcterms:W3CDTF">2024-09-25T12:35:00Z</dcterms:created>
  <dcterms:modified xsi:type="dcterms:W3CDTF">2025-09-04T14:22:29Z</dcterms:modified>
</cp:coreProperties>
</file>